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322正定县商务局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eastAsia="zh-CN"/>
        </w:rPr>
        <w:t>《中华人民共和国预算法》</w:t>
      </w:r>
      <w:r>
        <w:rPr>
          <w:rFonts w:hint="eastAsia" w:ascii="Times New Roman" w:hAnsi="Times New Roman" w:eastAsia="仿宋" w:cs="Times New Roman"/>
          <w:sz w:val="32"/>
          <w:szCs w:val="32"/>
        </w:rPr>
        <w:t>、《地方预决算公开操作规程》和《河北省省级预算公开办法》规定，现将正定县商务局2020年部门预算公开如下：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tabs>
          <w:tab w:val="left" w:pos="1575"/>
        </w:tabs>
        <w:autoSpaceDE w:val="0"/>
        <w:autoSpaceDN w:val="0"/>
        <w:adjustRightInd w:val="0"/>
        <w:jc w:val="left"/>
        <w:rPr>
          <w:rFonts w:ascii="仿宋" w:hAnsi="仿宋" w:eastAsia="仿宋" w:cs="仿宋"/>
          <w:kern w:val="0"/>
          <w:sz w:val="32"/>
          <w:szCs w:val="32"/>
        </w:rPr>
      </w:pPr>
      <w:r>
        <w:rPr>
          <w:rFonts w:hint="eastAsia" w:ascii="方正书宋_GBK" w:eastAsia="方正书宋_GBK"/>
          <w:b/>
          <w:sz w:val="30"/>
          <w:szCs w:val="30"/>
        </w:rPr>
        <w:t xml:space="preserve">    </w:t>
      </w:r>
      <w:r>
        <w:rPr>
          <w:rFonts w:hint="eastAsia" w:ascii="仿宋" w:hAnsi="仿宋" w:eastAsia="仿宋"/>
          <w:b/>
          <w:sz w:val="32"/>
          <w:szCs w:val="32"/>
        </w:rPr>
        <w:t>1、内贸服务管理</w:t>
      </w:r>
      <w:r>
        <w:rPr>
          <w:rFonts w:hint="eastAsia" w:ascii="方正书宋_GBK"/>
          <w:b/>
          <w:sz w:val="32"/>
          <w:szCs w:val="32"/>
        </w:rPr>
        <w:t>。</w:t>
      </w:r>
      <w:r>
        <w:rPr>
          <w:rFonts w:hint="eastAsia" w:ascii="仿宋" w:hAnsi="仿宋" w:eastAsia="仿宋" w:cs="仿宋"/>
          <w:sz w:val="32"/>
          <w:szCs w:val="32"/>
        </w:rPr>
        <w:t>牵头整顿和规范市场秩序工作。贯彻落实国家和省有关商务综合执法监督管理的政策．依法行政，对商务政策落实进行监督管理，促进商贸流通市场健康发展。负责对成品油进行管理。强化报废机动车回收拆解、旧机动车交易、典当、拍卖、商业特许经营、药品流通市场特种行业管理。加快发展内贸流通业，引导生产、扩大消费，进一步促进全县经济的持续稳定增长，发挥内贸流通在经济发展中的基础性和先导性作用。</w:t>
      </w:r>
    </w:p>
    <w:p>
      <w:pPr>
        <w:tabs>
          <w:tab w:val="left" w:pos="1575"/>
        </w:tabs>
        <w:autoSpaceDE w:val="0"/>
        <w:autoSpaceDN w:val="0"/>
        <w:adjustRightInd w:val="0"/>
        <w:jc w:val="left"/>
        <w:rPr>
          <w:rFonts w:ascii="仿宋" w:hAnsi="仿宋" w:eastAsia="仿宋" w:cs="仿宋"/>
          <w:kern w:val="0"/>
          <w:sz w:val="32"/>
          <w:szCs w:val="32"/>
        </w:rPr>
      </w:pPr>
      <w:r>
        <w:rPr>
          <w:rFonts w:hint="eastAsia" w:ascii="仿宋" w:hAnsi="仿宋" w:eastAsia="仿宋" w:cs="仿宋"/>
          <w:b/>
          <w:sz w:val="32"/>
          <w:szCs w:val="32"/>
        </w:rPr>
        <w:t xml:space="preserve">    2、商贸流通服务管理。</w:t>
      </w:r>
      <w:r>
        <w:rPr>
          <w:rFonts w:hint="eastAsia" w:ascii="仿宋" w:hAnsi="仿宋" w:eastAsia="仿宋" w:cs="仿宋"/>
          <w:sz w:val="32"/>
          <w:szCs w:val="32"/>
        </w:rPr>
        <w:t>负责商贸服务业的行业管理，贯彻落实拍卖、典当等行业政策法规，并监督管理；指导社区商业发展、扶持流通领域中小企业发展，组织开展夜经济等消费活动；推进体制改革，促进连锁经营、特许经营流通方式发展，指导流通领域节能降耗工作;组织大型会议、会展、交流活动。推进我县商贸物流企业、进出口企业、各大批发市场开拓国内外市场，同时扩大国外优质产品、原材料进口，丰富提高人民生活消费水平，降低企业生产成本。</w:t>
      </w:r>
    </w:p>
    <w:p>
      <w:pPr>
        <w:tabs>
          <w:tab w:val="left" w:pos="1575"/>
        </w:tabs>
        <w:ind w:left="420" w:leftChars="200"/>
        <w:jc w:val="left"/>
        <w:rPr>
          <w:rFonts w:ascii="仿宋" w:hAnsi="仿宋" w:eastAsia="仿宋" w:cs="仿宋"/>
          <w:sz w:val="32"/>
          <w:szCs w:val="32"/>
        </w:rPr>
      </w:pPr>
      <w:r>
        <w:rPr>
          <w:rFonts w:hint="eastAsia" w:ascii="仿宋" w:hAnsi="仿宋" w:eastAsia="仿宋" w:cs="仿宋"/>
          <w:b/>
          <w:sz w:val="32"/>
          <w:szCs w:val="32"/>
        </w:rPr>
        <w:t xml:space="preserve">    3、城乡市场体系建设。</w:t>
      </w:r>
      <w:r>
        <w:rPr>
          <w:rFonts w:hint="eastAsia" w:ascii="仿宋" w:hAnsi="仿宋" w:eastAsia="仿宋" w:cs="仿宋"/>
          <w:sz w:val="32"/>
          <w:szCs w:val="32"/>
        </w:rPr>
        <w:t>完成省、市政府下达的社会消费品零售总额增幅目标。确保生活必需品不出现大规模脱销断档，加强市场监测和预警能力，保障全县生活必需品市场平稳运行，对成品油流通进行管理。建立起以功能聚集的农产品批发市场为中心，以绿色便捷的农产品零售市场为基础，以高效规范的电子商务等新型市场为重要补充，有形无形市场相结合的农产品市场体系。</w:t>
      </w:r>
    </w:p>
    <w:p>
      <w:pPr>
        <w:tabs>
          <w:tab w:val="left" w:pos="1575"/>
        </w:tabs>
        <w:ind w:left="420" w:leftChars="200"/>
        <w:jc w:val="left"/>
        <w:rPr>
          <w:rFonts w:ascii="仿宋" w:hAnsi="仿宋" w:eastAsia="仿宋" w:cs="仿宋"/>
          <w:sz w:val="32"/>
          <w:szCs w:val="32"/>
        </w:rPr>
      </w:pPr>
      <w:r>
        <w:rPr>
          <w:rFonts w:hint="eastAsia" w:ascii="仿宋" w:hAnsi="仿宋" w:eastAsia="仿宋" w:cs="仿宋"/>
          <w:b/>
          <w:sz w:val="32"/>
          <w:szCs w:val="32"/>
        </w:rPr>
        <w:t xml:space="preserve">    4、商贸物流服务管理。</w:t>
      </w:r>
      <w:r>
        <w:rPr>
          <w:rFonts w:hint="eastAsia" w:ascii="仿宋" w:hAnsi="仿宋" w:eastAsia="仿宋" w:cs="仿宋"/>
          <w:sz w:val="32"/>
          <w:szCs w:val="32"/>
        </w:rPr>
        <w:t>指导协调全县商贸物流园区、物流配送中心和重点商贸物流项目建设；推进现代物流技术、信息化技术和物流标准化在商贸流通领域应用；组织开展城市共同配送工作；指导全县商贸物流工作。推进商贸物流标准化建设，提升现代化、信息化水平。</w:t>
      </w:r>
    </w:p>
    <w:p>
      <w:pPr>
        <w:tabs>
          <w:tab w:val="left" w:pos="1575"/>
        </w:tabs>
        <w:ind w:left="420" w:leftChars="200"/>
        <w:jc w:val="left"/>
        <w:rPr>
          <w:rFonts w:ascii="仿宋" w:hAnsi="仿宋" w:eastAsia="仿宋" w:cs="仿宋"/>
          <w:sz w:val="32"/>
          <w:szCs w:val="32"/>
        </w:rPr>
      </w:pPr>
      <w:r>
        <w:rPr>
          <w:rFonts w:hint="eastAsia" w:ascii="仿宋" w:hAnsi="仿宋" w:eastAsia="仿宋" w:cs="仿宋"/>
          <w:b/>
          <w:sz w:val="32"/>
          <w:szCs w:val="32"/>
        </w:rPr>
        <w:t xml:space="preserve">    5、电子商务产业发展。</w:t>
      </w:r>
      <w:r>
        <w:rPr>
          <w:rFonts w:hint="eastAsia" w:ascii="仿宋" w:hAnsi="仿宋" w:eastAsia="仿宋" w:cs="仿宋"/>
          <w:sz w:val="32"/>
          <w:szCs w:val="32"/>
        </w:rPr>
        <w:t>研究拟订全县商务信息建设规划，为全县网上贸易和网上招商活动提供网络平台；负责商务公共信息服务网络体系建设；组织推进电子商务创新发展；组织商务领域信息化培训和交流；促进电子商务领域招商引资和技术交流，推进电子商务特色产业平台建设，发挥电子商务对区域经济转型升级的助推引领作用。</w:t>
      </w:r>
    </w:p>
    <w:p>
      <w:pPr>
        <w:tabs>
          <w:tab w:val="left" w:pos="1575"/>
        </w:tabs>
        <w:ind w:left="420" w:leftChars="200"/>
        <w:jc w:val="left"/>
        <w:rPr>
          <w:rFonts w:ascii="仿宋" w:hAnsi="仿宋" w:eastAsia="仿宋" w:cs="仿宋"/>
          <w:sz w:val="32"/>
          <w:szCs w:val="32"/>
        </w:rPr>
      </w:pPr>
      <w:r>
        <w:rPr>
          <w:rFonts w:hint="eastAsia" w:ascii="仿宋" w:hAnsi="仿宋" w:eastAsia="仿宋" w:cs="仿宋"/>
          <w:b/>
          <w:sz w:val="32"/>
          <w:szCs w:val="32"/>
        </w:rPr>
        <w:t xml:space="preserve">    6、外经贸服务管理。</w:t>
      </w:r>
      <w:r>
        <w:rPr>
          <w:rFonts w:hint="eastAsia" w:ascii="仿宋" w:hAnsi="仿宋" w:eastAsia="仿宋" w:cs="仿宋"/>
          <w:sz w:val="32"/>
          <w:szCs w:val="32"/>
        </w:rPr>
        <w:t>负责涉外商务事宜，协调商品进出口工作；负责各类进出口统计、分析工作；负责对外贸易进出口企业各项支持资金的初步审核；负责全县外国投资企业的设立、变更和外商投资企业开设店铺的初步审核；为外商投资企业提供政策、法规等方面的咨询服务；负责直销业相关政策、规章的实施。</w:t>
      </w:r>
    </w:p>
    <w:p>
      <w:pPr>
        <w:tabs>
          <w:tab w:val="left" w:pos="1575"/>
        </w:tabs>
        <w:ind w:left="420" w:leftChars="200"/>
        <w:jc w:val="left"/>
        <w:rPr>
          <w:rFonts w:ascii="仿宋" w:hAnsi="仿宋" w:eastAsia="仿宋" w:cs="仿宋"/>
          <w:b/>
          <w:sz w:val="32"/>
          <w:szCs w:val="32"/>
        </w:rPr>
      </w:pPr>
      <w:r>
        <w:rPr>
          <w:rFonts w:hint="eastAsia" w:ascii="仿宋" w:hAnsi="仿宋" w:eastAsia="仿宋" w:cs="仿宋"/>
          <w:b/>
          <w:sz w:val="32"/>
          <w:szCs w:val="32"/>
        </w:rPr>
        <w:t xml:space="preserve">  7、商务政务管理</w:t>
      </w:r>
      <w:r>
        <w:rPr>
          <w:rFonts w:hint="eastAsia" w:ascii="仿宋" w:hAnsi="仿宋" w:eastAsia="仿宋" w:cs="仿宋"/>
          <w:sz w:val="32"/>
          <w:szCs w:val="32"/>
        </w:rPr>
        <w:t>。负责商务系统综合事务管理。做好商贸领域法规政策执行、商务综合执法、国有企业改革、信访稳定、安全保卫、新闻宣传和信息管理等工作。做好会议培训组织，内部信息化建设与维护，财务和资产</w:t>
      </w:r>
      <w:r>
        <w:rPr>
          <w:rFonts w:hint="eastAsia" w:ascii="仿宋" w:hAnsi="仿宋" w:eastAsia="仿宋"/>
          <w:sz w:val="32"/>
          <w:szCs w:val="32"/>
        </w:rPr>
        <w:t>管理，标准化建设，人事、党务</w:t>
      </w:r>
      <w:bookmarkStart w:id="7" w:name="_GoBack"/>
      <w:bookmarkEnd w:id="7"/>
      <w:r>
        <w:rPr>
          <w:rFonts w:hint="eastAsia" w:ascii="仿宋" w:hAnsi="仿宋" w:eastAsia="仿宋"/>
          <w:sz w:val="32"/>
          <w:szCs w:val="32"/>
        </w:rPr>
        <w:t>以及下属事业单位管理工作。</w:t>
      </w: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仿宋" w:hAnsi="仿宋" w:eastAsia="仿宋" w:cs="仿宋"/>
          <w:b/>
          <w:bCs/>
          <w:sz w:val="32"/>
          <w:szCs w:val="32"/>
        </w:rPr>
      </w:pPr>
      <w:r>
        <w:rPr>
          <w:rFonts w:hint="eastAsia" w:ascii="仿宋" w:hAnsi="仿宋" w:eastAsia="仿宋" w:cs="仿宋"/>
          <w:b/>
          <w:bCs/>
          <w:sz w:val="32"/>
          <w:szCs w:val="32"/>
        </w:rPr>
        <w:t>部门机构设置情况</w:t>
      </w:r>
    </w:p>
    <w:tbl>
      <w:tblPr>
        <w:tblStyle w:val="7"/>
        <w:tblW w:w="1254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0"/>
        <w:gridCol w:w="2973"/>
        <w:gridCol w:w="1635"/>
        <w:gridCol w:w="41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tblHeader/>
          <w:jc w:val="center"/>
        </w:trPr>
        <w:tc>
          <w:tcPr>
            <w:tcW w:w="3750" w:type="dxa"/>
            <w:vAlign w:val="center"/>
          </w:tcPr>
          <w:p>
            <w:pPr>
              <w:tabs>
                <w:tab w:val="left" w:pos="1035"/>
                <w:tab w:val="center" w:pos="2173"/>
              </w:tabs>
              <w:spacing w:line="300" w:lineRule="exact"/>
              <w:jc w:val="left"/>
            </w:pPr>
            <w:r>
              <w:rPr>
                <w:rFonts w:hint="eastAsia" w:ascii="仿宋" w:hAnsi="仿宋" w:eastAsia="仿宋" w:cs="仿宋"/>
                <w:b/>
                <w:sz w:val="28"/>
                <w:szCs w:val="28"/>
              </w:rPr>
              <w:tab/>
            </w:r>
            <w:r>
              <w:rPr>
                <w:rFonts w:hint="eastAsia" w:ascii="仿宋" w:hAnsi="仿宋" w:eastAsia="仿宋" w:cs="仿宋"/>
                <w:b/>
                <w:sz w:val="28"/>
                <w:szCs w:val="28"/>
              </w:rPr>
              <w:tab/>
            </w:r>
            <w:r>
              <w:rPr>
                <w:rFonts w:hint="eastAsia" w:ascii="仿宋" w:hAnsi="仿宋" w:eastAsia="仿宋" w:cs="仿宋"/>
                <w:b/>
                <w:sz w:val="28"/>
                <w:szCs w:val="28"/>
              </w:rPr>
              <w:t>单位名称</w:t>
            </w:r>
          </w:p>
        </w:tc>
        <w:tc>
          <w:tcPr>
            <w:tcW w:w="2973" w:type="dxa"/>
            <w:vAlign w:val="center"/>
          </w:tcPr>
          <w:p>
            <w:pPr>
              <w:spacing w:line="300" w:lineRule="exact"/>
              <w:jc w:val="center"/>
              <w:rPr>
                <w:rFonts w:ascii="仿宋" w:hAnsi="仿宋" w:eastAsia="仿宋" w:cs="仿宋"/>
                <w:b/>
                <w:sz w:val="28"/>
                <w:szCs w:val="28"/>
              </w:rPr>
            </w:pPr>
            <w:r>
              <w:rPr>
                <w:rFonts w:hint="eastAsia" w:ascii="仿宋" w:hAnsi="仿宋" w:eastAsia="仿宋" w:cs="仿宋"/>
                <w:b/>
                <w:sz w:val="28"/>
                <w:szCs w:val="28"/>
              </w:rPr>
              <w:t>单位性质</w:t>
            </w:r>
          </w:p>
        </w:tc>
        <w:tc>
          <w:tcPr>
            <w:tcW w:w="1635" w:type="dxa"/>
            <w:vAlign w:val="center"/>
          </w:tcPr>
          <w:p>
            <w:pPr>
              <w:spacing w:line="300" w:lineRule="exact"/>
              <w:jc w:val="center"/>
              <w:rPr>
                <w:rFonts w:ascii="仿宋" w:hAnsi="仿宋" w:eastAsia="仿宋" w:cs="仿宋"/>
                <w:b/>
                <w:sz w:val="28"/>
                <w:szCs w:val="28"/>
              </w:rPr>
            </w:pPr>
            <w:r>
              <w:rPr>
                <w:rFonts w:hint="eastAsia" w:ascii="仿宋" w:hAnsi="仿宋" w:eastAsia="仿宋" w:cs="仿宋"/>
                <w:b/>
                <w:sz w:val="28"/>
                <w:szCs w:val="28"/>
              </w:rPr>
              <w:t>单位规格</w:t>
            </w:r>
          </w:p>
        </w:tc>
        <w:tc>
          <w:tcPr>
            <w:tcW w:w="4187" w:type="dxa"/>
            <w:vAlign w:val="center"/>
          </w:tcPr>
          <w:p>
            <w:pPr>
              <w:spacing w:line="300" w:lineRule="exact"/>
              <w:jc w:val="center"/>
              <w:rPr>
                <w:rFonts w:ascii="仿宋" w:hAnsi="仿宋" w:eastAsia="仿宋" w:cs="仿宋"/>
                <w:b/>
                <w:sz w:val="28"/>
                <w:szCs w:val="28"/>
              </w:rPr>
            </w:pPr>
            <w:r>
              <w:rPr>
                <w:rFonts w:hint="eastAsia" w:ascii="仿宋" w:hAnsi="仿宋" w:eastAsia="仿宋" w:cs="仿宋"/>
                <w:b/>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5" w:hRule="atLeast"/>
          <w:jc w:val="center"/>
        </w:trPr>
        <w:tc>
          <w:tcPr>
            <w:tcW w:w="3750" w:type="dxa"/>
            <w:vAlign w:val="center"/>
          </w:tcPr>
          <w:p>
            <w:pPr>
              <w:spacing w:line="300" w:lineRule="exact"/>
              <w:jc w:val="left"/>
              <w:rPr>
                <w:rFonts w:ascii="仿宋" w:hAnsi="仿宋" w:eastAsia="仿宋" w:cs="仿宋"/>
                <w:sz w:val="30"/>
                <w:szCs w:val="30"/>
              </w:rPr>
            </w:pPr>
            <w:r>
              <w:rPr>
                <w:rFonts w:hint="eastAsia" w:ascii="仿宋" w:hAnsi="仿宋" w:eastAsia="仿宋" w:cs="仿宋"/>
                <w:sz w:val="30"/>
                <w:szCs w:val="30"/>
              </w:rPr>
              <w:t>正定县商务局（机关）</w:t>
            </w:r>
          </w:p>
        </w:tc>
        <w:tc>
          <w:tcPr>
            <w:tcW w:w="2973" w:type="dxa"/>
            <w:vAlign w:val="center"/>
          </w:tcPr>
          <w:p>
            <w:pPr>
              <w:spacing w:line="300" w:lineRule="exact"/>
              <w:jc w:val="center"/>
              <w:rPr>
                <w:rFonts w:ascii="仿宋" w:hAnsi="仿宋" w:eastAsia="仿宋" w:cs="仿宋"/>
                <w:sz w:val="30"/>
                <w:szCs w:val="30"/>
              </w:rPr>
            </w:pPr>
            <w:r>
              <w:rPr>
                <w:rFonts w:hint="eastAsia" w:ascii="仿宋" w:hAnsi="仿宋" w:eastAsia="仿宋" w:cs="仿宋"/>
                <w:sz w:val="30"/>
                <w:szCs w:val="30"/>
              </w:rPr>
              <w:t>行政</w:t>
            </w:r>
          </w:p>
        </w:tc>
        <w:tc>
          <w:tcPr>
            <w:tcW w:w="1635" w:type="dxa"/>
            <w:vAlign w:val="center"/>
          </w:tcPr>
          <w:p>
            <w:pPr>
              <w:spacing w:line="300" w:lineRule="exact"/>
              <w:jc w:val="center"/>
              <w:rPr>
                <w:rFonts w:ascii="仿宋" w:hAnsi="仿宋" w:eastAsia="仿宋" w:cs="仿宋"/>
                <w:sz w:val="30"/>
                <w:szCs w:val="30"/>
              </w:rPr>
            </w:pPr>
            <w:r>
              <w:rPr>
                <w:rFonts w:hint="eastAsia" w:ascii="仿宋" w:hAnsi="仿宋" w:eastAsia="仿宋" w:cs="仿宋"/>
                <w:sz w:val="30"/>
                <w:szCs w:val="30"/>
              </w:rPr>
              <w:t>正科级</w:t>
            </w:r>
          </w:p>
        </w:tc>
        <w:tc>
          <w:tcPr>
            <w:tcW w:w="4187" w:type="dxa"/>
            <w:vAlign w:val="center"/>
          </w:tcPr>
          <w:p>
            <w:pPr>
              <w:spacing w:line="300" w:lineRule="exact"/>
              <w:jc w:val="left"/>
              <w:rPr>
                <w:rFonts w:ascii="仿宋" w:hAnsi="仿宋" w:eastAsia="仿宋" w:cs="仿宋"/>
                <w:sz w:val="30"/>
                <w:szCs w:val="30"/>
              </w:rPr>
            </w:pPr>
            <w:r>
              <w:rPr>
                <w:rFonts w:hint="eastAsia" w:ascii="仿宋" w:hAnsi="仿宋" w:eastAsia="仿宋" w:cs="仿宋"/>
                <w:sz w:val="30"/>
                <w:szCs w:val="30"/>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0" w:hRule="atLeast"/>
          <w:jc w:val="center"/>
        </w:trPr>
        <w:tc>
          <w:tcPr>
            <w:tcW w:w="3750" w:type="dxa"/>
            <w:vAlign w:val="center"/>
          </w:tcPr>
          <w:p>
            <w:pPr>
              <w:spacing w:line="300" w:lineRule="exact"/>
              <w:jc w:val="left"/>
              <w:rPr>
                <w:rFonts w:ascii="仿宋" w:hAnsi="仿宋" w:eastAsia="仿宋" w:cs="仿宋"/>
                <w:color w:val="000000"/>
                <w:sz w:val="30"/>
                <w:szCs w:val="30"/>
              </w:rPr>
            </w:pPr>
            <w:r>
              <w:rPr>
                <w:rFonts w:hint="eastAsia" w:ascii="仿宋" w:hAnsi="仿宋" w:eastAsia="仿宋" w:cs="仿宋"/>
                <w:color w:val="000000"/>
                <w:sz w:val="30"/>
                <w:szCs w:val="30"/>
              </w:rPr>
              <w:t>正定县商务综合执法大队</w:t>
            </w:r>
          </w:p>
        </w:tc>
        <w:tc>
          <w:tcPr>
            <w:tcW w:w="2973" w:type="dxa"/>
            <w:vAlign w:val="center"/>
          </w:tcPr>
          <w:p>
            <w:pPr>
              <w:spacing w:line="300" w:lineRule="exact"/>
              <w:jc w:val="center"/>
              <w:rPr>
                <w:rFonts w:ascii="仿宋" w:hAnsi="仿宋" w:eastAsia="仿宋" w:cs="仿宋"/>
                <w:color w:val="000000"/>
                <w:sz w:val="30"/>
                <w:szCs w:val="30"/>
              </w:rPr>
            </w:pPr>
            <w:r>
              <w:rPr>
                <w:rFonts w:hint="eastAsia" w:ascii="仿宋" w:hAnsi="仿宋" w:eastAsia="仿宋" w:cs="仿宋"/>
                <w:color w:val="000000"/>
                <w:sz w:val="30"/>
                <w:szCs w:val="30"/>
              </w:rPr>
              <w:t>事业（差额）</w:t>
            </w:r>
          </w:p>
        </w:tc>
        <w:tc>
          <w:tcPr>
            <w:tcW w:w="1635" w:type="dxa"/>
            <w:vAlign w:val="center"/>
          </w:tcPr>
          <w:p>
            <w:pPr>
              <w:spacing w:line="300" w:lineRule="exact"/>
              <w:jc w:val="center"/>
              <w:rPr>
                <w:rFonts w:ascii="仿宋" w:hAnsi="仿宋" w:eastAsia="仿宋" w:cs="仿宋"/>
                <w:sz w:val="30"/>
                <w:szCs w:val="30"/>
              </w:rPr>
            </w:pPr>
            <w:r>
              <w:rPr>
                <w:rFonts w:hint="eastAsia" w:ascii="仿宋" w:hAnsi="仿宋" w:eastAsia="仿宋" w:cs="仿宋"/>
                <w:sz w:val="30"/>
                <w:szCs w:val="30"/>
              </w:rPr>
              <w:t>副科级</w:t>
            </w:r>
          </w:p>
        </w:tc>
        <w:tc>
          <w:tcPr>
            <w:tcW w:w="4187" w:type="dxa"/>
            <w:vAlign w:val="center"/>
          </w:tcPr>
          <w:p>
            <w:pPr>
              <w:spacing w:line="300" w:lineRule="exact"/>
              <w:jc w:val="left"/>
              <w:rPr>
                <w:rFonts w:ascii="仿宋" w:hAnsi="仿宋" w:eastAsia="仿宋" w:cs="仿宋"/>
                <w:sz w:val="30"/>
                <w:szCs w:val="30"/>
              </w:rPr>
            </w:pPr>
            <w:r>
              <w:rPr>
                <w:rFonts w:hint="eastAsia" w:ascii="仿宋" w:hAnsi="仿宋" w:eastAsia="仿宋" w:cs="仿宋"/>
                <w:sz w:val="30"/>
                <w:szCs w:val="30"/>
              </w:rPr>
              <w:t>财政性资金定额或定向补助</w:t>
            </w:r>
          </w:p>
        </w:tc>
      </w:tr>
    </w:tbl>
    <w:p/>
    <w:p>
      <w:pPr>
        <w:ind w:firstLine="640"/>
        <w:rPr>
          <w:rFonts w:ascii="黑体" w:hAnsi="黑体" w:eastAsia="黑体" w:cs="Times New Roman"/>
          <w:sz w:val="32"/>
          <w:szCs w:val="32"/>
        </w:rPr>
      </w:pPr>
    </w:p>
    <w:p>
      <w:pPr>
        <w:ind w:firstLine="640"/>
        <w:rPr>
          <w:rFonts w:ascii="黑体" w:hAnsi="黑体" w:eastAsia="黑体" w:cs="Times New Roman"/>
          <w:sz w:val="32"/>
          <w:szCs w:val="32"/>
        </w:rPr>
      </w:pP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firstLineChars="200"/>
        <w:rPr>
          <w:rFonts w:ascii="仿宋" w:hAnsi="仿宋" w:eastAsia="仿宋" w:cs="仿宋"/>
          <w:sz w:val="32"/>
          <w:szCs w:val="32"/>
        </w:rPr>
      </w:pPr>
      <w:r>
        <w:rPr>
          <w:rFonts w:ascii="Times New Roman" w:hAnsi="Times New Roman" w:eastAsia="仿宋" w:cs="Times New Roman"/>
          <w:sz w:val="32"/>
          <w:szCs w:val="32"/>
        </w:rPr>
        <w:t>按照预算管理有关规定，目前</w:t>
      </w:r>
      <w:r>
        <w:rPr>
          <w:rFonts w:hint="eastAsia" w:ascii="仿宋" w:hAnsi="仿宋" w:eastAsia="仿宋" w:cs="仿宋"/>
          <w:sz w:val="32"/>
          <w:szCs w:val="32"/>
        </w:rPr>
        <w:t>我县部门预算的编制实行综合预算制度</w:t>
      </w:r>
      <w:r>
        <w:rPr>
          <w:rFonts w:ascii="Times New Roman" w:hAnsi="Times New Roman" w:eastAsia="仿宋" w:cs="Times New Roman"/>
          <w:sz w:val="32"/>
          <w:szCs w:val="32"/>
        </w:rPr>
        <w:t>，即全部收入和支出都反映的预算中。正定县商务局及所属事业单位的收支包含在部门预算中。</w:t>
      </w:r>
      <w:r>
        <w:rPr>
          <w:rFonts w:hint="eastAsia" w:ascii="仿宋" w:hAnsi="仿宋" w:eastAsia="仿宋" w:cs="仿宋"/>
          <w:sz w:val="32"/>
          <w:szCs w:val="32"/>
        </w:rPr>
        <w:t xml:space="preserve"> </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ascii="Times New Roman" w:hAnsi="Times New Roman" w:eastAsia="仿宋" w:cs="Times New Roman"/>
          <w:sz w:val="32"/>
          <w:szCs w:val="32"/>
        </w:rPr>
        <w:t>3018.23</w:t>
      </w:r>
      <w:r>
        <w:rPr>
          <w:rFonts w:hint="eastAsia" w:ascii="Times New Roman" w:hAnsi="Times New Roman" w:eastAsia="仿宋" w:cs="Times New Roman"/>
          <w:sz w:val="32"/>
          <w:szCs w:val="32"/>
        </w:rPr>
        <w:t>万元，其中：一般公共预算收入3007.92万元，基金预算收入0万元，财政专户核拨收入0万元，其他来源收入10.31万元。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仿宋" w:hAnsi="仿宋"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正定县商务局年度部门预算中支出预算的总体情况。2020年部门支出预算为3018.23万元，其中基本支出507.21万元，包括人员经费</w:t>
      </w:r>
      <w:r>
        <w:rPr>
          <w:rFonts w:ascii="Times New Roman" w:hAnsi="Times New Roman" w:eastAsia="仿宋" w:cs="Times New Roman"/>
          <w:sz w:val="32"/>
          <w:szCs w:val="32"/>
        </w:rPr>
        <w:t>467.72</w:t>
      </w:r>
      <w:r>
        <w:rPr>
          <w:rFonts w:hint="eastAsia" w:ascii="Times New Roman" w:hAnsi="Times New Roman" w:eastAsia="仿宋" w:cs="Times New Roman"/>
          <w:sz w:val="32"/>
          <w:szCs w:val="32"/>
        </w:rPr>
        <w:t>万元和日常公用经费</w:t>
      </w:r>
      <w:r>
        <w:rPr>
          <w:rFonts w:ascii="Times New Roman" w:hAnsi="Times New Roman" w:eastAsia="仿宋" w:cs="Times New Roman"/>
          <w:sz w:val="32"/>
          <w:szCs w:val="32"/>
        </w:rPr>
        <w:t>39.49</w:t>
      </w:r>
      <w:r>
        <w:rPr>
          <w:rFonts w:hint="eastAsia" w:ascii="Times New Roman" w:hAnsi="Times New Roman" w:eastAsia="仿宋" w:cs="Times New Roman"/>
          <w:sz w:val="32"/>
          <w:szCs w:val="32"/>
        </w:rPr>
        <w:t>万元；项目支出</w:t>
      </w:r>
      <w:r>
        <w:rPr>
          <w:rFonts w:ascii="Times New Roman" w:hAnsi="Times New Roman" w:eastAsia="仿宋" w:cs="Times New Roman"/>
          <w:sz w:val="32"/>
          <w:szCs w:val="32"/>
        </w:rPr>
        <w:t>2511.02</w:t>
      </w:r>
      <w:r>
        <w:rPr>
          <w:rFonts w:hint="eastAsia" w:ascii="Times New Roman" w:hAnsi="Times New Roman" w:eastAsia="仿宋" w:cs="Times New Roman"/>
          <w:sz w:val="32"/>
          <w:szCs w:val="32"/>
        </w:rPr>
        <w:t>万元，主要为</w:t>
      </w:r>
      <w:r>
        <w:rPr>
          <w:rFonts w:ascii="仿宋" w:hAnsi="仿宋" w:eastAsia="仿宋"/>
          <w:sz w:val="32"/>
          <w:szCs w:val="32"/>
        </w:rPr>
        <w:t>2019</w:t>
      </w:r>
      <w:r>
        <w:rPr>
          <w:rFonts w:hint="eastAsia" w:ascii="仿宋" w:hAnsi="仿宋" w:eastAsia="仿宋"/>
          <w:sz w:val="32"/>
          <w:szCs w:val="32"/>
        </w:rPr>
        <w:t>年夜经济再提升惠民消费凭证及纪念邮折印制费22.75</w:t>
      </w:r>
      <w:r>
        <w:rPr>
          <w:rFonts w:hint="eastAsia" w:ascii="仿宋" w:hAnsi="仿宋" w:eastAsia="仿宋" w:cs="Times New Roman"/>
          <w:sz w:val="32"/>
          <w:szCs w:val="32"/>
        </w:rPr>
        <w:t>万元，</w:t>
      </w:r>
      <w:r>
        <w:rPr>
          <w:rFonts w:ascii="仿宋" w:hAnsi="仿宋" w:eastAsia="仿宋"/>
          <w:sz w:val="32"/>
          <w:szCs w:val="32"/>
        </w:rPr>
        <w:t>2020</w:t>
      </w:r>
      <w:r>
        <w:rPr>
          <w:rFonts w:hint="eastAsia" w:ascii="仿宋" w:hAnsi="仿宋" w:eastAsia="仿宋"/>
          <w:sz w:val="32"/>
          <w:szCs w:val="32"/>
        </w:rPr>
        <w:t>年鼓励夜经济发展资金</w:t>
      </w:r>
      <w:r>
        <w:rPr>
          <w:rFonts w:hint="eastAsia" w:ascii="仿宋" w:hAnsi="仿宋" w:eastAsia="仿宋" w:cs="Times New Roman"/>
          <w:sz w:val="32"/>
          <w:szCs w:val="32"/>
        </w:rPr>
        <w:t>127.25万元，</w:t>
      </w:r>
      <w:r>
        <w:rPr>
          <w:rFonts w:hint="eastAsia" w:ascii="仿宋" w:hAnsi="仿宋" w:eastAsia="仿宋"/>
          <w:sz w:val="32"/>
          <w:szCs w:val="32"/>
        </w:rPr>
        <w:t>对北国超市、瑞天商场拉动消费活动补贴25</w:t>
      </w:r>
      <w:r>
        <w:rPr>
          <w:rFonts w:hint="eastAsia" w:ascii="仿宋" w:hAnsi="仿宋" w:eastAsia="仿宋" w:cs="Times New Roman"/>
          <w:sz w:val="32"/>
          <w:szCs w:val="32"/>
        </w:rPr>
        <w:t>万元，</w:t>
      </w:r>
      <w:r>
        <w:rPr>
          <w:rFonts w:hint="eastAsia" w:ascii="仿宋" w:hAnsi="仿宋" w:eastAsia="仿宋"/>
          <w:sz w:val="32"/>
          <w:szCs w:val="32"/>
        </w:rPr>
        <w:t>商务局</w:t>
      </w:r>
      <w:r>
        <w:rPr>
          <w:rFonts w:ascii="仿宋" w:hAnsi="仿宋" w:eastAsia="仿宋"/>
          <w:sz w:val="32"/>
          <w:szCs w:val="32"/>
        </w:rPr>
        <w:t>2019</w:t>
      </w:r>
      <w:r>
        <w:rPr>
          <w:rFonts w:hint="eastAsia" w:ascii="仿宋" w:hAnsi="仿宋" w:eastAsia="仿宋"/>
          <w:sz w:val="32"/>
          <w:szCs w:val="32"/>
        </w:rPr>
        <w:t>年新增限额以上企业奖励57.34</w:t>
      </w:r>
      <w:r>
        <w:rPr>
          <w:rFonts w:hint="eastAsia" w:ascii="仿宋" w:hAnsi="仿宋" w:eastAsia="仿宋" w:cs="Times New Roman"/>
          <w:sz w:val="32"/>
          <w:szCs w:val="32"/>
        </w:rPr>
        <w:t>万元，</w:t>
      </w:r>
      <w:r>
        <w:rPr>
          <w:rFonts w:hint="eastAsia" w:ascii="仿宋" w:hAnsi="仿宋" w:eastAsia="仿宋"/>
          <w:sz w:val="32"/>
          <w:szCs w:val="32"/>
        </w:rPr>
        <w:t>商务局</w:t>
      </w:r>
      <w:r>
        <w:rPr>
          <w:rFonts w:ascii="仿宋" w:hAnsi="仿宋" w:eastAsia="仿宋"/>
          <w:sz w:val="32"/>
          <w:szCs w:val="32"/>
        </w:rPr>
        <w:t>4.26</w:t>
      </w:r>
      <w:r>
        <w:rPr>
          <w:rFonts w:hint="eastAsia" w:ascii="仿宋" w:hAnsi="仿宋" w:eastAsia="仿宋"/>
          <w:sz w:val="32"/>
          <w:szCs w:val="32"/>
        </w:rPr>
        <w:t>举办正博会经费县级资金400</w:t>
      </w:r>
      <w:r>
        <w:rPr>
          <w:rFonts w:hint="eastAsia" w:ascii="仿宋" w:hAnsi="仿宋" w:eastAsia="仿宋" w:cs="Times New Roman"/>
          <w:sz w:val="32"/>
          <w:szCs w:val="32"/>
        </w:rPr>
        <w:t>万元，</w:t>
      </w:r>
      <w:r>
        <w:rPr>
          <w:rFonts w:hint="eastAsia" w:ascii="仿宋" w:hAnsi="仿宋" w:eastAsia="仿宋"/>
          <w:sz w:val="32"/>
          <w:szCs w:val="32"/>
        </w:rPr>
        <w:t>、商务局归还借国资局转制资金县级资,110.71万元，商务局回民肉食补贴资金7.67万元，商务局惠民生促消费补贴资金1492.7万元，商务局商业街区电费补贴资金200万元，商务局自贸区活动经费10万元，自贸区编制规划费用57.6万元</w:t>
      </w:r>
      <w:r>
        <w:rPr>
          <w:rFonts w:hint="eastAsia" w:ascii="仿宋" w:hAnsi="仿宋" w:eastAsia="仿宋" w:cs="Times New Roman"/>
          <w:sz w:val="32"/>
          <w:szCs w:val="32"/>
        </w:rPr>
        <w:t>；其他支出0万元。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3018.23</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较2019年增加1706.01万元，其中：基本支出减少6.47万元，主要是人员减少，相应减少人员经费和日常公用经费；项目支出增加1712.48万元，主要是增加</w:t>
      </w:r>
      <w:r>
        <w:rPr>
          <w:rFonts w:hint="eastAsia" w:ascii="仿宋" w:hAnsi="仿宋" w:eastAsia="仿宋"/>
          <w:sz w:val="32"/>
          <w:szCs w:val="32"/>
        </w:rPr>
        <w:t>商务局惠民生促消费补贴资金项目及商务局商业街区电费补贴资金项目</w:t>
      </w:r>
      <w:r>
        <w:rPr>
          <w:rFonts w:hint="eastAsia" w:ascii="Times New Roman" w:hAnsi="Times New Roman" w:eastAsia="仿宋" w:cs="Times New Roman"/>
          <w:sz w:val="32"/>
          <w:szCs w:val="32"/>
        </w:rPr>
        <w:t>；其他支出无增减变化。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ascii="Times New Roman" w:hAnsi="Times New Roman" w:eastAsia="仿宋" w:cs="Times New Roman"/>
          <w:sz w:val="32"/>
          <w:szCs w:val="32"/>
        </w:rPr>
        <w:t>39.49</w:t>
      </w:r>
      <w:r>
        <w:rPr>
          <w:rFonts w:hint="eastAsia" w:ascii="Times New Roman" w:hAnsi="Times New Roman" w:eastAsia="仿宋" w:cs="Times New Roman"/>
          <w:sz w:val="32"/>
          <w:szCs w:val="32"/>
        </w:rPr>
        <w:t>万元，主要用于保证机关正常运转的办公及印刷费、邮电费、差旅费、会议费、福利费、公务车运行维护费等支出。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2020年，我部门财政拨款“三公”经费预算安排2.28万元，其中：因公出国（境）费0万元；公务用车购置及运维费2.28万元（其中</w:t>
      </w:r>
      <w:r>
        <w:rPr>
          <w:rFonts w:hint="eastAsia" w:ascii="仿宋" w:hAnsi="仿宋" w:eastAsia="仿宋" w:cs="仿宋"/>
          <w:sz w:val="32"/>
          <w:szCs w:val="32"/>
        </w:rPr>
        <w:t>：公务用车购置费0万元，公务用车运行维护费2.28万元)；公务接待费0万元。“三公”经费比上年减少0.57万元</w:t>
      </w:r>
      <w:r>
        <w:rPr>
          <w:rFonts w:hint="eastAsia" w:ascii="仿宋" w:hAnsi="仿宋" w:eastAsia="仿宋" w:cs="仿宋"/>
          <w:sz w:val="32"/>
          <w:szCs w:val="32"/>
          <w:lang w:eastAsia="zh-CN"/>
        </w:rPr>
        <w:t>，</w:t>
      </w:r>
      <w:r>
        <w:rPr>
          <w:rFonts w:hint="eastAsia" w:ascii="仿宋" w:hAnsi="仿宋" w:eastAsia="仿宋" w:cs="仿宋"/>
          <w:spacing w:val="-2"/>
          <w:sz w:val="32"/>
          <w:szCs w:val="32"/>
        </w:rPr>
        <w:t>主要是厉行节约</w:t>
      </w:r>
      <w:r>
        <w:rPr>
          <w:rFonts w:hint="eastAsia" w:ascii="仿宋" w:hAnsi="仿宋" w:eastAsia="仿宋" w:cs="仿宋"/>
          <w:spacing w:val="-2"/>
          <w:sz w:val="32"/>
          <w:szCs w:val="32"/>
          <w:lang w:eastAsia="zh-CN"/>
        </w:rPr>
        <w:t>。</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 xml:space="preserve">第一部分  部门整体绩效目标                                      </w:t>
      </w:r>
    </w:p>
    <w:tbl>
      <w:tblPr>
        <w:tblStyle w:val="7"/>
        <w:tblpPr w:leftFromText="180" w:rightFromText="180" w:vertAnchor="text" w:horzAnchor="margin" w:tblpY="204"/>
        <w:tblW w:w="1314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00"/>
        <w:gridCol w:w="2976"/>
        <w:gridCol w:w="2976"/>
        <w:gridCol w:w="1417"/>
        <w:gridCol w:w="737"/>
        <w:gridCol w:w="737"/>
        <w:gridCol w:w="737"/>
        <w:gridCol w:w="8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trPr>
        <w:tc>
          <w:tcPr>
            <w:tcW w:w="2700"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3080"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trPr>
        <w:tc>
          <w:tcPr>
            <w:tcW w:w="2700"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869"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700" w:type="dxa"/>
            <w:vAlign w:val="center"/>
          </w:tcPr>
          <w:p>
            <w:pPr>
              <w:spacing w:line="300" w:lineRule="exact"/>
              <w:jc w:val="left"/>
              <w:rPr>
                <w:rFonts w:ascii="仿宋" w:hAnsi="仿宋" w:eastAsia="仿宋" w:cs="仿宋"/>
                <w:b/>
                <w:sz w:val="24"/>
                <w:szCs w:val="24"/>
              </w:rPr>
            </w:pPr>
            <w:r>
              <w:rPr>
                <w:rFonts w:hint="eastAsia" w:ascii="仿宋" w:hAnsi="仿宋" w:eastAsia="仿宋" w:cs="仿宋"/>
                <w:b/>
                <w:sz w:val="24"/>
                <w:szCs w:val="24"/>
              </w:rPr>
              <w:t>一、对内商贸管理</w:t>
            </w:r>
          </w:p>
        </w:tc>
        <w:tc>
          <w:tcPr>
            <w:tcW w:w="297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拟定全县国内贸易发展规划，推进农村市场体系建设，推动流通标准化和现代流通方式的发展，组织实施重要生产资料流通管理的责任。</w:t>
            </w:r>
          </w:p>
        </w:tc>
        <w:tc>
          <w:tcPr>
            <w:tcW w:w="297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按照县委、县政府关于搞活商贸流通的相关要求，完成任务分解、资金安排等相关工作</w:t>
            </w:r>
          </w:p>
        </w:tc>
        <w:tc>
          <w:tcPr>
            <w:tcW w:w="1417" w:type="dxa"/>
            <w:vAlign w:val="center"/>
          </w:tcPr>
          <w:p>
            <w:pPr>
              <w:spacing w:line="300" w:lineRule="exact"/>
              <w:jc w:val="left"/>
              <w:rPr>
                <w:rFonts w:ascii="仿宋" w:hAnsi="仿宋" w:eastAsia="仿宋" w:cs="仿宋"/>
                <w:sz w:val="24"/>
                <w:szCs w:val="24"/>
              </w:rPr>
            </w:pPr>
          </w:p>
        </w:tc>
        <w:tc>
          <w:tcPr>
            <w:tcW w:w="737" w:type="dxa"/>
            <w:vAlign w:val="center"/>
          </w:tcPr>
          <w:p>
            <w:pPr>
              <w:spacing w:line="300" w:lineRule="exact"/>
              <w:jc w:val="center"/>
              <w:rPr>
                <w:rFonts w:ascii="仿宋" w:hAnsi="仿宋" w:eastAsia="仿宋" w:cs="仿宋"/>
                <w:sz w:val="24"/>
                <w:szCs w:val="24"/>
              </w:rPr>
            </w:pPr>
          </w:p>
        </w:tc>
        <w:tc>
          <w:tcPr>
            <w:tcW w:w="737" w:type="dxa"/>
            <w:vAlign w:val="center"/>
          </w:tcPr>
          <w:p>
            <w:pPr>
              <w:spacing w:line="300" w:lineRule="exact"/>
              <w:jc w:val="center"/>
              <w:rPr>
                <w:rFonts w:ascii="仿宋" w:hAnsi="仿宋" w:eastAsia="仿宋" w:cs="仿宋"/>
                <w:sz w:val="24"/>
                <w:szCs w:val="24"/>
              </w:rPr>
            </w:pPr>
          </w:p>
        </w:tc>
        <w:tc>
          <w:tcPr>
            <w:tcW w:w="737" w:type="dxa"/>
            <w:vAlign w:val="center"/>
          </w:tcPr>
          <w:p>
            <w:pPr>
              <w:spacing w:line="300" w:lineRule="exact"/>
              <w:jc w:val="center"/>
              <w:rPr>
                <w:rFonts w:ascii="仿宋" w:hAnsi="仿宋" w:eastAsia="仿宋" w:cs="仿宋"/>
                <w:sz w:val="24"/>
                <w:szCs w:val="24"/>
              </w:rPr>
            </w:pPr>
          </w:p>
        </w:tc>
        <w:tc>
          <w:tcPr>
            <w:tcW w:w="869" w:type="dxa"/>
            <w:vAlign w:val="center"/>
          </w:tcPr>
          <w:p>
            <w:pPr>
              <w:spacing w:line="300" w:lineRule="exact"/>
              <w:jc w:val="center"/>
              <w:rPr>
                <w:rFonts w:ascii="仿宋" w:hAnsi="仿宋" w:eastAsia="仿宋" w:cs="仿宋"/>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700" w:type="dxa"/>
            <w:vMerge w:val="restart"/>
            <w:vAlign w:val="center"/>
          </w:tcPr>
          <w:p>
            <w:pPr>
              <w:spacing w:line="300" w:lineRule="exact"/>
              <w:jc w:val="left"/>
              <w:rPr>
                <w:rFonts w:ascii="仿宋" w:hAnsi="仿宋" w:eastAsia="仿宋" w:cs="仿宋"/>
                <w:b/>
                <w:sz w:val="24"/>
                <w:szCs w:val="24"/>
              </w:rPr>
            </w:pPr>
            <w:r>
              <w:rPr>
                <w:rFonts w:hint="eastAsia" w:ascii="仿宋" w:hAnsi="仿宋" w:eastAsia="仿宋" w:cs="仿宋"/>
                <w:b/>
                <w:sz w:val="24"/>
                <w:szCs w:val="24"/>
              </w:rPr>
              <w:t>　　1、开拓国内市场</w:t>
            </w:r>
          </w:p>
        </w:tc>
        <w:tc>
          <w:tcPr>
            <w:tcW w:w="2976" w:type="dxa"/>
            <w:vMerge w:val="restart"/>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组织我县企业参加省市组织的商贸洽谈活动</w:t>
            </w:r>
          </w:p>
        </w:tc>
        <w:tc>
          <w:tcPr>
            <w:tcW w:w="2976" w:type="dxa"/>
            <w:vMerge w:val="restart"/>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推进我县商贸企业工贸、农贸和内外贸结合，扩大我县产品的知名度，增加国内市场份额</w:t>
            </w:r>
          </w:p>
        </w:tc>
        <w:tc>
          <w:tcPr>
            <w:tcW w:w="141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参展企业数量(家)</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≥10</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≥6</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≥4</w:t>
            </w:r>
          </w:p>
        </w:tc>
        <w:tc>
          <w:tcPr>
            <w:tcW w:w="869"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&lt;4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700" w:type="dxa"/>
            <w:vMerge w:val="continue"/>
            <w:vAlign w:val="center"/>
          </w:tcPr>
          <w:p>
            <w:pPr>
              <w:spacing w:line="300" w:lineRule="exact"/>
              <w:jc w:val="left"/>
              <w:rPr>
                <w:rFonts w:ascii="仿宋" w:hAnsi="仿宋" w:eastAsia="仿宋" w:cs="仿宋"/>
                <w:b/>
                <w:sz w:val="24"/>
                <w:szCs w:val="24"/>
              </w:rPr>
            </w:pPr>
          </w:p>
        </w:tc>
        <w:tc>
          <w:tcPr>
            <w:tcW w:w="2976" w:type="dxa"/>
            <w:vMerge w:val="continue"/>
            <w:vAlign w:val="center"/>
          </w:tcPr>
          <w:p>
            <w:pPr>
              <w:spacing w:line="300" w:lineRule="exact"/>
              <w:jc w:val="left"/>
              <w:rPr>
                <w:rFonts w:ascii="仿宋" w:hAnsi="仿宋" w:eastAsia="仿宋" w:cs="仿宋"/>
                <w:sz w:val="24"/>
                <w:szCs w:val="24"/>
              </w:rPr>
            </w:pPr>
          </w:p>
        </w:tc>
        <w:tc>
          <w:tcPr>
            <w:tcW w:w="2976" w:type="dxa"/>
            <w:vMerge w:val="continue"/>
            <w:vAlign w:val="center"/>
          </w:tcPr>
          <w:p>
            <w:pPr>
              <w:spacing w:line="300" w:lineRule="exact"/>
              <w:jc w:val="left"/>
              <w:rPr>
                <w:rFonts w:ascii="仿宋" w:hAnsi="仿宋" w:eastAsia="仿宋" w:cs="仿宋"/>
                <w:sz w:val="24"/>
                <w:szCs w:val="24"/>
              </w:rPr>
            </w:pPr>
          </w:p>
        </w:tc>
        <w:tc>
          <w:tcPr>
            <w:tcW w:w="141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企业现场销售金额(万元）</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≥500</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≥400</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≥300</w:t>
            </w:r>
          </w:p>
        </w:tc>
        <w:tc>
          <w:tcPr>
            <w:tcW w:w="869"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700" w:type="dxa"/>
            <w:vMerge w:val="continue"/>
            <w:vAlign w:val="center"/>
          </w:tcPr>
          <w:p>
            <w:pPr>
              <w:spacing w:line="300" w:lineRule="exact"/>
              <w:jc w:val="left"/>
              <w:rPr>
                <w:rFonts w:ascii="仿宋" w:hAnsi="仿宋" w:eastAsia="仿宋" w:cs="仿宋"/>
                <w:b/>
                <w:sz w:val="24"/>
                <w:szCs w:val="24"/>
              </w:rPr>
            </w:pPr>
          </w:p>
        </w:tc>
        <w:tc>
          <w:tcPr>
            <w:tcW w:w="2976" w:type="dxa"/>
            <w:vMerge w:val="continue"/>
            <w:vAlign w:val="center"/>
          </w:tcPr>
          <w:p>
            <w:pPr>
              <w:spacing w:line="300" w:lineRule="exact"/>
              <w:jc w:val="left"/>
              <w:rPr>
                <w:rFonts w:ascii="仿宋" w:hAnsi="仿宋" w:eastAsia="仿宋" w:cs="仿宋"/>
                <w:sz w:val="24"/>
                <w:szCs w:val="24"/>
              </w:rPr>
            </w:pPr>
          </w:p>
        </w:tc>
        <w:tc>
          <w:tcPr>
            <w:tcW w:w="2976" w:type="dxa"/>
            <w:vMerge w:val="continue"/>
            <w:vAlign w:val="center"/>
          </w:tcPr>
          <w:p>
            <w:pPr>
              <w:spacing w:line="300" w:lineRule="exact"/>
              <w:jc w:val="left"/>
              <w:rPr>
                <w:rFonts w:ascii="仿宋" w:hAnsi="仿宋" w:eastAsia="仿宋" w:cs="仿宋"/>
                <w:sz w:val="24"/>
                <w:szCs w:val="24"/>
              </w:rPr>
            </w:pPr>
          </w:p>
        </w:tc>
        <w:tc>
          <w:tcPr>
            <w:tcW w:w="141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参加国内展会次数（次）</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≥5</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≥4</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≥3</w:t>
            </w:r>
          </w:p>
        </w:tc>
        <w:tc>
          <w:tcPr>
            <w:tcW w:w="869"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6" w:hRule="atLeast"/>
        </w:trPr>
        <w:tc>
          <w:tcPr>
            <w:tcW w:w="2700" w:type="dxa"/>
            <w:vMerge w:val="restart"/>
            <w:vAlign w:val="center"/>
          </w:tcPr>
          <w:p>
            <w:pPr>
              <w:spacing w:line="300" w:lineRule="exact"/>
              <w:jc w:val="left"/>
              <w:rPr>
                <w:rFonts w:ascii="仿宋" w:hAnsi="仿宋" w:eastAsia="仿宋" w:cs="仿宋"/>
                <w:b/>
                <w:sz w:val="24"/>
                <w:szCs w:val="24"/>
              </w:rPr>
            </w:pPr>
          </w:p>
          <w:p>
            <w:pPr>
              <w:spacing w:line="300" w:lineRule="exact"/>
              <w:jc w:val="left"/>
              <w:rPr>
                <w:rFonts w:ascii="仿宋" w:hAnsi="仿宋" w:eastAsia="仿宋" w:cs="仿宋"/>
                <w:b/>
                <w:sz w:val="24"/>
                <w:szCs w:val="24"/>
              </w:rPr>
            </w:pPr>
          </w:p>
          <w:p>
            <w:pPr>
              <w:spacing w:line="300" w:lineRule="exact"/>
              <w:jc w:val="left"/>
              <w:rPr>
                <w:rFonts w:ascii="仿宋" w:hAnsi="仿宋" w:eastAsia="仿宋" w:cs="仿宋"/>
                <w:b/>
                <w:sz w:val="24"/>
                <w:szCs w:val="24"/>
              </w:rPr>
            </w:pPr>
            <w:r>
              <w:rPr>
                <w:rFonts w:hint="eastAsia" w:ascii="仿宋" w:hAnsi="仿宋" w:eastAsia="仿宋" w:cs="仿宋"/>
                <w:b/>
                <w:sz w:val="24"/>
                <w:szCs w:val="24"/>
              </w:rPr>
              <w:t>　　2、促进商贸流通</w:t>
            </w:r>
          </w:p>
        </w:tc>
        <w:tc>
          <w:tcPr>
            <w:tcW w:w="2976" w:type="dxa"/>
            <w:vMerge w:val="restart"/>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扶持商贸流通领域，支持大型商贸企业、商贸连锁经营企业或第三方商贸物流企业的标准化配送中心建设及改造、物流信息平台建设；推动开展乡镇集贸市场试点示范建设，引导全县乡镇集贸市场向规范化、标准化、现代化方向发展，促进农村消费。对贫困地区的农村市场和农产品流通基础设施进行帮扶建设。</w:t>
            </w:r>
          </w:p>
        </w:tc>
        <w:tc>
          <w:tcPr>
            <w:tcW w:w="2976" w:type="dxa"/>
            <w:vMerge w:val="restart"/>
            <w:vAlign w:val="center"/>
          </w:tcPr>
          <w:p>
            <w:pPr>
              <w:spacing w:line="300" w:lineRule="exact"/>
              <w:jc w:val="left"/>
              <w:rPr>
                <w:rFonts w:ascii="仿宋" w:hAnsi="仿宋" w:eastAsia="仿宋" w:cs="仿宋"/>
                <w:sz w:val="24"/>
                <w:szCs w:val="24"/>
              </w:rPr>
            </w:pPr>
          </w:p>
          <w:p>
            <w:pPr>
              <w:spacing w:line="300" w:lineRule="exact"/>
              <w:jc w:val="left"/>
              <w:rPr>
                <w:rFonts w:ascii="仿宋" w:hAnsi="仿宋" w:eastAsia="仿宋" w:cs="仿宋"/>
                <w:sz w:val="24"/>
                <w:szCs w:val="24"/>
              </w:rPr>
            </w:pPr>
          </w:p>
          <w:p>
            <w:pPr>
              <w:spacing w:line="300" w:lineRule="exact"/>
              <w:jc w:val="left"/>
              <w:rPr>
                <w:rFonts w:ascii="仿宋" w:hAnsi="仿宋" w:eastAsia="仿宋" w:cs="仿宋"/>
                <w:sz w:val="24"/>
                <w:szCs w:val="24"/>
              </w:rPr>
            </w:pPr>
            <w:r>
              <w:rPr>
                <w:rFonts w:hint="eastAsia" w:ascii="仿宋" w:hAnsi="仿宋" w:eastAsia="仿宋" w:cs="仿宋"/>
                <w:sz w:val="24"/>
                <w:szCs w:val="24"/>
              </w:rPr>
              <w:t>统筹城乡商贸物流配送中心建设，提高共同配送率。通过试点建设带动试点早餐工程标准化、连锁化发展。用于农村市场和农产品流通基础设施建设，完善农产品流通和农村市场体系。</w:t>
            </w:r>
          </w:p>
        </w:tc>
        <w:tc>
          <w:tcPr>
            <w:tcW w:w="1417" w:type="dxa"/>
            <w:vAlign w:val="center"/>
          </w:tcPr>
          <w:p>
            <w:pPr>
              <w:spacing w:line="300" w:lineRule="exact"/>
              <w:jc w:val="left"/>
              <w:rPr>
                <w:rFonts w:ascii="仿宋" w:hAnsi="仿宋" w:eastAsia="仿宋" w:cs="仿宋"/>
                <w:sz w:val="24"/>
                <w:szCs w:val="24"/>
              </w:rPr>
            </w:pPr>
          </w:p>
          <w:p>
            <w:pPr>
              <w:spacing w:line="300" w:lineRule="exact"/>
              <w:jc w:val="left"/>
              <w:rPr>
                <w:rFonts w:ascii="仿宋" w:hAnsi="仿宋" w:eastAsia="仿宋" w:cs="仿宋"/>
                <w:sz w:val="24"/>
                <w:szCs w:val="24"/>
              </w:rPr>
            </w:pPr>
          </w:p>
          <w:p>
            <w:pPr>
              <w:spacing w:line="300" w:lineRule="exact"/>
              <w:jc w:val="left"/>
              <w:rPr>
                <w:rFonts w:ascii="仿宋" w:hAnsi="仿宋" w:eastAsia="仿宋" w:cs="仿宋"/>
                <w:sz w:val="24"/>
                <w:szCs w:val="24"/>
              </w:rPr>
            </w:pPr>
            <w:r>
              <w:rPr>
                <w:rFonts w:hint="eastAsia" w:ascii="仿宋" w:hAnsi="仿宋" w:eastAsia="仿宋" w:cs="仿宋"/>
                <w:sz w:val="24"/>
                <w:szCs w:val="24"/>
              </w:rPr>
              <w:t>商贸物流配送中心家数</w:t>
            </w:r>
          </w:p>
        </w:tc>
        <w:tc>
          <w:tcPr>
            <w:tcW w:w="737" w:type="dxa"/>
            <w:vAlign w:val="center"/>
          </w:tcPr>
          <w:p>
            <w:pPr>
              <w:spacing w:line="300" w:lineRule="exact"/>
              <w:jc w:val="center"/>
              <w:rPr>
                <w:rFonts w:ascii="仿宋" w:hAnsi="仿宋" w:eastAsia="仿宋" w:cs="仿宋"/>
                <w:sz w:val="24"/>
                <w:szCs w:val="24"/>
              </w:rPr>
            </w:pPr>
          </w:p>
          <w:p>
            <w:pPr>
              <w:spacing w:line="300" w:lineRule="exact"/>
              <w:jc w:val="center"/>
              <w:rPr>
                <w:rFonts w:ascii="仿宋" w:hAnsi="仿宋" w:eastAsia="仿宋" w:cs="仿宋"/>
                <w:sz w:val="24"/>
                <w:szCs w:val="24"/>
              </w:rPr>
            </w:pPr>
          </w:p>
          <w:p>
            <w:pPr>
              <w:spacing w:line="300" w:lineRule="exact"/>
              <w:jc w:val="center"/>
              <w:rPr>
                <w:rFonts w:ascii="仿宋" w:hAnsi="仿宋" w:eastAsia="仿宋" w:cs="仿宋"/>
                <w:sz w:val="24"/>
                <w:szCs w:val="24"/>
              </w:rPr>
            </w:pPr>
            <w:r>
              <w:rPr>
                <w:rFonts w:hint="eastAsia" w:ascii="仿宋" w:hAnsi="仿宋" w:eastAsia="仿宋" w:cs="仿宋"/>
                <w:sz w:val="24"/>
                <w:szCs w:val="24"/>
              </w:rPr>
              <w:t>≥5</w:t>
            </w:r>
          </w:p>
        </w:tc>
        <w:tc>
          <w:tcPr>
            <w:tcW w:w="737" w:type="dxa"/>
            <w:vAlign w:val="center"/>
          </w:tcPr>
          <w:p>
            <w:pPr>
              <w:spacing w:line="300" w:lineRule="exact"/>
              <w:jc w:val="center"/>
              <w:rPr>
                <w:rFonts w:ascii="仿宋" w:hAnsi="仿宋" w:eastAsia="仿宋" w:cs="仿宋"/>
                <w:sz w:val="24"/>
                <w:szCs w:val="24"/>
              </w:rPr>
            </w:pPr>
          </w:p>
          <w:p>
            <w:pPr>
              <w:spacing w:line="300" w:lineRule="exact"/>
              <w:jc w:val="center"/>
              <w:rPr>
                <w:rFonts w:ascii="仿宋" w:hAnsi="仿宋" w:eastAsia="仿宋" w:cs="仿宋"/>
                <w:sz w:val="24"/>
                <w:szCs w:val="24"/>
              </w:rPr>
            </w:pPr>
          </w:p>
          <w:p>
            <w:pPr>
              <w:spacing w:line="300" w:lineRule="exact"/>
              <w:jc w:val="center"/>
              <w:rPr>
                <w:rFonts w:ascii="仿宋" w:hAnsi="仿宋" w:eastAsia="仿宋" w:cs="仿宋"/>
                <w:sz w:val="24"/>
                <w:szCs w:val="24"/>
              </w:rPr>
            </w:pPr>
            <w:r>
              <w:rPr>
                <w:rFonts w:hint="eastAsia" w:ascii="仿宋" w:hAnsi="仿宋" w:eastAsia="仿宋" w:cs="仿宋"/>
                <w:sz w:val="24"/>
                <w:szCs w:val="24"/>
              </w:rPr>
              <w:t>≥3</w:t>
            </w:r>
          </w:p>
        </w:tc>
        <w:tc>
          <w:tcPr>
            <w:tcW w:w="737" w:type="dxa"/>
            <w:vAlign w:val="center"/>
          </w:tcPr>
          <w:p>
            <w:pPr>
              <w:spacing w:line="300" w:lineRule="exact"/>
              <w:jc w:val="center"/>
              <w:rPr>
                <w:rFonts w:ascii="仿宋" w:hAnsi="仿宋" w:eastAsia="仿宋" w:cs="仿宋"/>
                <w:sz w:val="24"/>
                <w:szCs w:val="24"/>
              </w:rPr>
            </w:pPr>
          </w:p>
          <w:p>
            <w:pPr>
              <w:spacing w:line="300" w:lineRule="exact"/>
              <w:jc w:val="center"/>
              <w:rPr>
                <w:rFonts w:ascii="仿宋" w:hAnsi="仿宋" w:eastAsia="仿宋" w:cs="仿宋"/>
                <w:sz w:val="24"/>
                <w:szCs w:val="24"/>
              </w:rPr>
            </w:pPr>
          </w:p>
          <w:p>
            <w:pPr>
              <w:spacing w:line="300" w:lineRule="exact"/>
              <w:jc w:val="center"/>
              <w:rPr>
                <w:rFonts w:ascii="仿宋" w:hAnsi="仿宋" w:eastAsia="仿宋" w:cs="仿宋"/>
                <w:sz w:val="24"/>
                <w:szCs w:val="24"/>
              </w:rPr>
            </w:pPr>
            <w:r>
              <w:rPr>
                <w:rFonts w:hint="eastAsia" w:ascii="仿宋" w:hAnsi="仿宋" w:eastAsia="仿宋" w:cs="仿宋"/>
                <w:sz w:val="24"/>
                <w:szCs w:val="24"/>
              </w:rPr>
              <w:t>2</w:t>
            </w:r>
          </w:p>
        </w:tc>
        <w:tc>
          <w:tcPr>
            <w:tcW w:w="869" w:type="dxa"/>
            <w:vAlign w:val="center"/>
          </w:tcPr>
          <w:p>
            <w:pPr>
              <w:spacing w:line="300" w:lineRule="exact"/>
              <w:jc w:val="center"/>
              <w:rPr>
                <w:rFonts w:ascii="仿宋" w:hAnsi="仿宋" w:eastAsia="仿宋" w:cs="仿宋"/>
                <w:sz w:val="24"/>
                <w:szCs w:val="24"/>
              </w:rPr>
            </w:pPr>
          </w:p>
          <w:p>
            <w:pPr>
              <w:spacing w:line="300" w:lineRule="exact"/>
              <w:jc w:val="center"/>
              <w:rPr>
                <w:rFonts w:ascii="仿宋" w:hAnsi="仿宋" w:eastAsia="仿宋" w:cs="仿宋"/>
                <w:sz w:val="24"/>
                <w:szCs w:val="24"/>
              </w:rPr>
            </w:pPr>
          </w:p>
          <w:p>
            <w:pPr>
              <w:spacing w:line="300" w:lineRule="exact"/>
              <w:jc w:val="center"/>
              <w:rPr>
                <w:rFonts w:ascii="仿宋" w:hAnsi="仿宋" w:eastAsia="仿宋" w:cs="仿宋"/>
                <w:sz w:val="24"/>
                <w:szCs w:val="24"/>
              </w:rPr>
            </w:pPr>
            <w:r>
              <w:rPr>
                <w:rFonts w:hint="eastAsia" w:ascii="仿宋" w:hAnsi="仿宋" w:eastAsia="仿宋" w:cs="仿宋"/>
                <w:sz w:val="24"/>
                <w:szCs w:val="24"/>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700" w:type="dxa"/>
            <w:vMerge w:val="continue"/>
            <w:vAlign w:val="center"/>
          </w:tcPr>
          <w:p>
            <w:pPr>
              <w:spacing w:line="300" w:lineRule="exact"/>
              <w:jc w:val="left"/>
              <w:rPr>
                <w:rFonts w:ascii="仿宋" w:hAnsi="仿宋" w:eastAsia="仿宋" w:cs="仿宋"/>
                <w:b/>
                <w:sz w:val="24"/>
                <w:szCs w:val="24"/>
              </w:rPr>
            </w:pPr>
          </w:p>
        </w:tc>
        <w:tc>
          <w:tcPr>
            <w:tcW w:w="2976" w:type="dxa"/>
            <w:vMerge w:val="continue"/>
            <w:vAlign w:val="center"/>
          </w:tcPr>
          <w:p>
            <w:pPr>
              <w:spacing w:line="300" w:lineRule="exact"/>
              <w:jc w:val="left"/>
              <w:rPr>
                <w:rFonts w:ascii="仿宋" w:hAnsi="仿宋" w:eastAsia="仿宋" w:cs="仿宋"/>
                <w:sz w:val="24"/>
                <w:szCs w:val="24"/>
              </w:rPr>
            </w:pPr>
          </w:p>
        </w:tc>
        <w:tc>
          <w:tcPr>
            <w:tcW w:w="2976" w:type="dxa"/>
            <w:vMerge w:val="continue"/>
            <w:vAlign w:val="center"/>
          </w:tcPr>
          <w:p>
            <w:pPr>
              <w:spacing w:line="300" w:lineRule="exact"/>
              <w:jc w:val="left"/>
              <w:rPr>
                <w:rFonts w:ascii="仿宋" w:hAnsi="仿宋" w:eastAsia="仿宋" w:cs="仿宋"/>
                <w:sz w:val="24"/>
                <w:szCs w:val="24"/>
              </w:rPr>
            </w:pPr>
          </w:p>
        </w:tc>
        <w:tc>
          <w:tcPr>
            <w:tcW w:w="141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投资的农产品市场或农村市场销售额增长率</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≥15%</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≥10%</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≥5%</w:t>
            </w:r>
          </w:p>
        </w:tc>
        <w:tc>
          <w:tcPr>
            <w:tcW w:w="869"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700" w:type="dxa"/>
            <w:vMerge w:val="continue"/>
            <w:vAlign w:val="center"/>
          </w:tcPr>
          <w:p>
            <w:pPr>
              <w:spacing w:line="300" w:lineRule="exact"/>
              <w:jc w:val="left"/>
              <w:rPr>
                <w:rFonts w:ascii="仿宋" w:hAnsi="仿宋" w:eastAsia="仿宋" w:cs="仿宋"/>
                <w:b/>
                <w:sz w:val="24"/>
                <w:szCs w:val="24"/>
              </w:rPr>
            </w:pPr>
          </w:p>
        </w:tc>
        <w:tc>
          <w:tcPr>
            <w:tcW w:w="2976" w:type="dxa"/>
            <w:vMerge w:val="continue"/>
            <w:vAlign w:val="center"/>
          </w:tcPr>
          <w:p>
            <w:pPr>
              <w:spacing w:line="300" w:lineRule="exact"/>
              <w:jc w:val="left"/>
              <w:rPr>
                <w:rFonts w:ascii="仿宋" w:hAnsi="仿宋" w:eastAsia="仿宋" w:cs="仿宋"/>
                <w:sz w:val="24"/>
                <w:szCs w:val="24"/>
              </w:rPr>
            </w:pPr>
          </w:p>
        </w:tc>
        <w:tc>
          <w:tcPr>
            <w:tcW w:w="2976" w:type="dxa"/>
            <w:vMerge w:val="continue"/>
            <w:vAlign w:val="center"/>
          </w:tcPr>
          <w:p>
            <w:pPr>
              <w:spacing w:line="300" w:lineRule="exact"/>
              <w:jc w:val="left"/>
              <w:rPr>
                <w:rFonts w:ascii="仿宋" w:hAnsi="仿宋" w:eastAsia="仿宋" w:cs="仿宋"/>
                <w:sz w:val="24"/>
                <w:szCs w:val="24"/>
              </w:rPr>
            </w:pPr>
          </w:p>
        </w:tc>
        <w:tc>
          <w:tcPr>
            <w:tcW w:w="141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投资农产品流通和农村市场体系项目数量（个)</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≥5</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≥3</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≥1</w:t>
            </w:r>
          </w:p>
        </w:tc>
        <w:tc>
          <w:tcPr>
            <w:tcW w:w="869"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＜1</w:t>
            </w:r>
          </w:p>
        </w:tc>
      </w:tr>
    </w:tbl>
    <w:p>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r>
        <w:rPr>
          <w:rFonts w:hint="eastAsia" w:ascii="仿宋" w:hAnsi="仿宋" w:eastAsia="仿宋" w:cs="仿宋"/>
          <w:sz w:val="32"/>
          <w:szCs w:val="32"/>
        </w:rPr>
        <w:t>：按照县委、县政府确定的2020年工作要点，以及省商务厅、市商务局部署，大力提升会展规模和质量、加快推进我县电商发展、奋力推动进出口工作、改革创新招商工作、自贸区申报建设、营造良好市场环境、做好安全生产等工作。</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jc w:val="center"/>
        <w:outlineLvl w:val="0"/>
        <w:rPr>
          <w:rFonts w:ascii="方正小标宋_GBK" w:eastAsia="方正小标宋_GBK"/>
          <w:sz w:val="32"/>
        </w:rPr>
      </w:pPr>
      <w:bookmarkStart w:id="3" w:name="_Toc480366266"/>
      <w:r>
        <w:rPr>
          <w:rFonts w:hint="eastAsia" w:ascii="方正小标宋_GBK" w:eastAsia="方正小标宋_GBK"/>
          <w:sz w:val="32"/>
        </w:rPr>
        <w:t>部门职责-工作活动绩效目标</w:t>
      </w:r>
      <w:bookmarkEnd w:id="3"/>
    </w:p>
    <w:tbl>
      <w:tblPr>
        <w:tblStyle w:val="7"/>
        <w:tblpPr w:leftFromText="180" w:rightFromText="180" w:vertAnchor="text" w:horzAnchor="page" w:tblpX="1960" w:tblpY="98"/>
        <w:tblOverlap w:val="never"/>
        <w:tblW w:w="12266"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49"/>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1949" w:type="dxa"/>
            <w:vAlign w:val="center"/>
          </w:tcPr>
          <w:p>
            <w:pPr>
              <w:spacing w:line="300" w:lineRule="exact"/>
              <w:jc w:val="left"/>
              <w:rPr>
                <w:rFonts w:ascii="仿宋" w:hAnsi="仿宋" w:eastAsia="仿宋" w:cs="仿宋"/>
                <w:b/>
                <w:sz w:val="24"/>
                <w:szCs w:val="24"/>
              </w:rPr>
            </w:pPr>
            <w:r>
              <w:rPr>
                <w:rFonts w:hint="eastAsia" w:ascii="仿宋" w:hAnsi="仿宋" w:eastAsia="仿宋" w:cs="仿宋"/>
                <w:b/>
                <w:sz w:val="24"/>
                <w:szCs w:val="24"/>
              </w:rPr>
              <w:t>二、对外贸易管理</w:t>
            </w:r>
          </w:p>
        </w:tc>
        <w:tc>
          <w:tcPr>
            <w:tcW w:w="297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实施对外经济合作及外商投资计划，协调大宗进出口商品，依法监督技术引进、设备进口等工作，拟订全县服务贸易发展规划并组织实施。</w:t>
            </w:r>
          </w:p>
        </w:tc>
        <w:tc>
          <w:tcPr>
            <w:tcW w:w="297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促进对外贸易稳定增长，优化产品结构。</w:t>
            </w:r>
          </w:p>
        </w:tc>
        <w:tc>
          <w:tcPr>
            <w:tcW w:w="1417" w:type="dxa"/>
            <w:vAlign w:val="center"/>
          </w:tcPr>
          <w:p>
            <w:pPr>
              <w:spacing w:line="300" w:lineRule="exact"/>
              <w:jc w:val="left"/>
              <w:rPr>
                <w:rFonts w:ascii="仿宋" w:hAnsi="仿宋" w:eastAsia="仿宋" w:cs="仿宋"/>
                <w:sz w:val="24"/>
                <w:szCs w:val="24"/>
              </w:rPr>
            </w:pPr>
          </w:p>
        </w:tc>
        <w:tc>
          <w:tcPr>
            <w:tcW w:w="737" w:type="dxa"/>
            <w:vAlign w:val="center"/>
          </w:tcPr>
          <w:p>
            <w:pPr>
              <w:spacing w:line="300" w:lineRule="exact"/>
              <w:jc w:val="center"/>
              <w:rPr>
                <w:rFonts w:ascii="仿宋" w:hAnsi="仿宋" w:eastAsia="仿宋" w:cs="仿宋"/>
                <w:sz w:val="24"/>
                <w:szCs w:val="24"/>
              </w:rPr>
            </w:pPr>
          </w:p>
        </w:tc>
        <w:tc>
          <w:tcPr>
            <w:tcW w:w="737" w:type="dxa"/>
            <w:vAlign w:val="center"/>
          </w:tcPr>
          <w:p>
            <w:pPr>
              <w:spacing w:line="300" w:lineRule="exact"/>
              <w:jc w:val="center"/>
              <w:rPr>
                <w:rFonts w:ascii="仿宋" w:hAnsi="仿宋" w:eastAsia="仿宋" w:cs="仿宋"/>
                <w:sz w:val="24"/>
                <w:szCs w:val="24"/>
              </w:rPr>
            </w:pPr>
          </w:p>
        </w:tc>
        <w:tc>
          <w:tcPr>
            <w:tcW w:w="737" w:type="dxa"/>
            <w:vAlign w:val="center"/>
          </w:tcPr>
          <w:p>
            <w:pPr>
              <w:spacing w:line="300" w:lineRule="exact"/>
              <w:jc w:val="center"/>
              <w:rPr>
                <w:rFonts w:ascii="仿宋" w:hAnsi="仿宋" w:eastAsia="仿宋" w:cs="仿宋"/>
                <w:sz w:val="24"/>
                <w:szCs w:val="24"/>
              </w:rPr>
            </w:pPr>
          </w:p>
        </w:tc>
        <w:tc>
          <w:tcPr>
            <w:tcW w:w="737" w:type="dxa"/>
            <w:vAlign w:val="center"/>
          </w:tcPr>
          <w:p>
            <w:pPr>
              <w:spacing w:line="300" w:lineRule="exact"/>
              <w:jc w:val="center"/>
              <w:rPr>
                <w:rFonts w:ascii="仿宋" w:hAnsi="仿宋" w:eastAsia="仿宋" w:cs="仿宋"/>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1949" w:type="dxa"/>
            <w:vMerge w:val="restart"/>
            <w:vAlign w:val="center"/>
          </w:tcPr>
          <w:p>
            <w:pPr>
              <w:spacing w:line="300" w:lineRule="exact"/>
              <w:jc w:val="left"/>
              <w:rPr>
                <w:rFonts w:ascii="仿宋" w:hAnsi="仿宋" w:eastAsia="仿宋" w:cs="仿宋"/>
                <w:b/>
                <w:sz w:val="24"/>
                <w:szCs w:val="24"/>
              </w:rPr>
            </w:pPr>
            <w:r>
              <w:rPr>
                <w:rFonts w:hint="eastAsia" w:ascii="仿宋" w:hAnsi="仿宋" w:eastAsia="仿宋" w:cs="仿宋"/>
                <w:b/>
                <w:sz w:val="24"/>
                <w:szCs w:val="24"/>
              </w:rPr>
              <w:t>　</w:t>
            </w:r>
          </w:p>
          <w:p>
            <w:pPr>
              <w:spacing w:line="300" w:lineRule="exact"/>
              <w:jc w:val="left"/>
              <w:rPr>
                <w:rFonts w:ascii="仿宋" w:hAnsi="仿宋" w:eastAsia="仿宋" w:cs="仿宋"/>
                <w:b/>
                <w:sz w:val="24"/>
                <w:szCs w:val="24"/>
              </w:rPr>
            </w:pPr>
            <w:r>
              <w:rPr>
                <w:rFonts w:hint="eastAsia" w:ascii="仿宋" w:hAnsi="仿宋" w:eastAsia="仿宋" w:cs="仿宋"/>
                <w:b/>
                <w:sz w:val="24"/>
                <w:szCs w:val="24"/>
              </w:rPr>
              <w:t>　1、招商引资</w:t>
            </w:r>
          </w:p>
        </w:tc>
        <w:tc>
          <w:tcPr>
            <w:tcW w:w="2976" w:type="dxa"/>
            <w:vMerge w:val="restart"/>
            <w:vAlign w:val="center"/>
          </w:tcPr>
          <w:p>
            <w:pPr>
              <w:spacing w:line="300" w:lineRule="exact"/>
              <w:jc w:val="left"/>
              <w:rPr>
                <w:rFonts w:ascii="仿宋" w:hAnsi="仿宋" w:eastAsia="仿宋" w:cs="仿宋"/>
                <w:sz w:val="24"/>
                <w:szCs w:val="24"/>
              </w:rPr>
            </w:pPr>
          </w:p>
          <w:p>
            <w:pPr>
              <w:spacing w:line="300" w:lineRule="exact"/>
              <w:jc w:val="left"/>
              <w:rPr>
                <w:rFonts w:ascii="仿宋" w:hAnsi="仿宋" w:eastAsia="仿宋" w:cs="仿宋"/>
                <w:sz w:val="24"/>
                <w:szCs w:val="24"/>
              </w:rPr>
            </w:pPr>
            <w:r>
              <w:rPr>
                <w:rFonts w:hint="eastAsia" w:ascii="仿宋" w:hAnsi="仿宋" w:eastAsia="仿宋" w:cs="仿宋"/>
                <w:sz w:val="24"/>
                <w:szCs w:val="24"/>
              </w:rPr>
              <w:t>规范全县对外招商引资活动，组织实施投资贸易洽谈会等活动。组织我县企业走出去，开展贸易洽谈、招商合作等活动，促进贸易往来。</w:t>
            </w:r>
          </w:p>
        </w:tc>
        <w:tc>
          <w:tcPr>
            <w:tcW w:w="2976" w:type="dxa"/>
            <w:vMerge w:val="restart"/>
            <w:vAlign w:val="center"/>
          </w:tcPr>
          <w:p>
            <w:pPr>
              <w:spacing w:line="300" w:lineRule="exact"/>
              <w:jc w:val="left"/>
              <w:rPr>
                <w:rFonts w:ascii="仿宋" w:hAnsi="仿宋" w:eastAsia="仿宋" w:cs="仿宋"/>
                <w:sz w:val="24"/>
                <w:szCs w:val="24"/>
              </w:rPr>
            </w:pPr>
          </w:p>
          <w:p>
            <w:pPr>
              <w:spacing w:line="300" w:lineRule="exact"/>
              <w:jc w:val="left"/>
              <w:rPr>
                <w:rFonts w:ascii="仿宋" w:hAnsi="仿宋" w:eastAsia="仿宋" w:cs="仿宋"/>
                <w:sz w:val="24"/>
                <w:szCs w:val="24"/>
              </w:rPr>
            </w:pPr>
            <w:r>
              <w:rPr>
                <w:rFonts w:hint="eastAsia" w:ascii="仿宋" w:hAnsi="仿宋" w:eastAsia="仿宋" w:cs="仿宋"/>
                <w:sz w:val="24"/>
                <w:szCs w:val="24"/>
              </w:rPr>
              <w:t>瞄准重点区域、重点客商和商务机构，加强企业对接、园区对接，项目对接，宣传本县投资环境，力争在重点产业引进一批战略支撑项目、龙头企业和协力配套企业。</w:t>
            </w:r>
          </w:p>
        </w:tc>
        <w:tc>
          <w:tcPr>
            <w:tcW w:w="1417" w:type="dxa"/>
            <w:vAlign w:val="center"/>
          </w:tcPr>
          <w:p>
            <w:pPr>
              <w:spacing w:line="300" w:lineRule="exact"/>
              <w:jc w:val="left"/>
              <w:rPr>
                <w:rFonts w:ascii="仿宋" w:hAnsi="仿宋" w:eastAsia="仿宋" w:cs="仿宋"/>
                <w:sz w:val="24"/>
                <w:szCs w:val="24"/>
              </w:rPr>
            </w:pPr>
          </w:p>
          <w:p>
            <w:pPr>
              <w:spacing w:line="300" w:lineRule="exact"/>
              <w:jc w:val="left"/>
              <w:rPr>
                <w:rFonts w:ascii="仿宋" w:hAnsi="仿宋" w:eastAsia="仿宋" w:cs="仿宋"/>
                <w:sz w:val="24"/>
                <w:szCs w:val="24"/>
              </w:rPr>
            </w:pPr>
            <w:r>
              <w:rPr>
                <w:rFonts w:hint="eastAsia" w:ascii="仿宋" w:hAnsi="仿宋" w:eastAsia="仿宋" w:cs="仿宋"/>
                <w:sz w:val="24"/>
                <w:szCs w:val="24"/>
              </w:rPr>
              <w:t>赴外地开展招商引资地区数量(个）</w:t>
            </w:r>
          </w:p>
        </w:tc>
        <w:tc>
          <w:tcPr>
            <w:tcW w:w="737" w:type="dxa"/>
            <w:vAlign w:val="center"/>
          </w:tcPr>
          <w:p>
            <w:pPr>
              <w:spacing w:line="300" w:lineRule="exact"/>
              <w:jc w:val="center"/>
              <w:rPr>
                <w:rFonts w:ascii="仿宋" w:hAnsi="仿宋" w:eastAsia="仿宋" w:cs="仿宋"/>
                <w:sz w:val="24"/>
                <w:szCs w:val="24"/>
              </w:rPr>
            </w:pPr>
          </w:p>
          <w:p>
            <w:pPr>
              <w:spacing w:line="300" w:lineRule="exact"/>
              <w:jc w:val="center"/>
              <w:rPr>
                <w:rFonts w:ascii="仿宋" w:hAnsi="仿宋" w:eastAsia="仿宋" w:cs="仿宋"/>
                <w:sz w:val="24"/>
                <w:szCs w:val="24"/>
              </w:rPr>
            </w:pPr>
            <w:r>
              <w:rPr>
                <w:rFonts w:hint="eastAsia" w:ascii="仿宋" w:hAnsi="仿宋" w:eastAsia="仿宋" w:cs="仿宋"/>
                <w:sz w:val="24"/>
                <w:szCs w:val="24"/>
              </w:rPr>
              <w:t>≥3</w:t>
            </w:r>
          </w:p>
        </w:tc>
        <w:tc>
          <w:tcPr>
            <w:tcW w:w="737" w:type="dxa"/>
            <w:vAlign w:val="center"/>
          </w:tcPr>
          <w:p>
            <w:pPr>
              <w:spacing w:line="300" w:lineRule="exact"/>
              <w:jc w:val="center"/>
              <w:rPr>
                <w:rFonts w:ascii="仿宋" w:hAnsi="仿宋" w:eastAsia="仿宋" w:cs="仿宋"/>
                <w:sz w:val="24"/>
                <w:szCs w:val="24"/>
              </w:rPr>
            </w:pPr>
          </w:p>
          <w:p>
            <w:pPr>
              <w:spacing w:line="300" w:lineRule="exact"/>
              <w:jc w:val="center"/>
              <w:rPr>
                <w:rFonts w:ascii="仿宋" w:hAnsi="仿宋" w:eastAsia="仿宋" w:cs="仿宋"/>
                <w:sz w:val="24"/>
                <w:szCs w:val="24"/>
              </w:rPr>
            </w:pPr>
            <w:r>
              <w:rPr>
                <w:rFonts w:hint="eastAsia" w:ascii="仿宋" w:hAnsi="仿宋" w:eastAsia="仿宋" w:cs="仿宋"/>
                <w:sz w:val="24"/>
                <w:szCs w:val="24"/>
              </w:rPr>
              <w:t>2</w:t>
            </w:r>
          </w:p>
        </w:tc>
        <w:tc>
          <w:tcPr>
            <w:tcW w:w="737" w:type="dxa"/>
            <w:vAlign w:val="center"/>
          </w:tcPr>
          <w:p>
            <w:pPr>
              <w:spacing w:line="300" w:lineRule="exact"/>
              <w:jc w:val="center"/>
              <w:rPr>
                <w:rFonts w:ascii="仿宋" w:hAnsi="仿宋" w:eastAsia="仿宋" w:cs="仿宋"/>
                <w:sz w:val="24"/>
                <w:szCs w:val="24"/>
              </w:rPr>
            </w:pPr>
          </w:p>
          <w:p>
            <w:pPr>
              <w:spacing w:line="300" w:lineRule="exact"/>
              <w:jc w:val="center"/>
              <w:rPr>
                <w:rFonts w:ascii="仿宋" w:hAnsi="仿宋" w:eastAsia="仿宋" w:cs="仿宋"/>
                <w:sz w:val="24"/>
                <w:szCs w:val="24"/>
              </w:rPr>
            </w:pPr>
            <w:r>
              <w:rPr>
                <w:rFonts w:hint="eastAsia" w:ascii="仿宋" w:hAnsi="仿宋" w:eastAsia="仿宋" w:cs="仿宋"/>
                <w:sz w:val="24"/>
                <w:szCs w:val="24"/>
              </w:rPr>
              <w:t>1</w:t>
            </w:r>
          </w:p>
        </w:tc>
        <w:tc>
          <w:tcPr>
            <w:tcW w:w="737" w:type="dxa"/>
            <w:vAlign w:val="center"/>
          </w:tcPr>
          <w:p>
            <w:pPr>
              <w:spacing w:line="300" w:lineRule="exact"/>
              <w:jc w:val="center"/>
              <w:rPr>
                <w:rFonts w:ascii="仿宋" w:hAnsi="仿宋" w:eastAsia="仿宋" w:cs="仿宋"/>
                <w:sz w:val="24"/>
                <w:szCs w:val="24"/>
              </w:rPr>
            </w:pPr>
          </w:p>
          <w:p>
            <w:pPr>
              <w:spacing w:line="300" w:lineRule="exact"/>
              <w:jc w:val="center"/>
              <w:rPr>
                <w:rFonts w:ascii="仿宋" w:hAnsi="仿宋" w:eastAsia="仿宋" w:cs="仿宋"/>
                <w:sz w:val="24"/>
                <w:szCs w:val="24"/>
              </w:rPr>
            </w:pPr>
            <w:r>
              <w:rPr>
                <w:rFonts w:hint="eastAsia" w:ascii="仿宋" w:hAnsi="仿宋" w:eastAsia="仿宋" w:cs="仿宋"/>
                <w:sz w:val="24"/>
                <w:szCs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1949" w:type="dxa"/>
            <w:vMerge w:val="continue"/>
            <w:vAlign w:val="center"/>
          </w:tcPr>
          <w:p>
            <w:pPr>
              <w:spacing w:line="300" w:lineRule="exact"/>
              <w:jc w:val="left"/>
              <w:rPr>
                <w:rFonts w:ascii="仿宋" w:hAnsi="仿宋" w:eastAsia="仿宋" w:cs="仿宋"/>
                <w:b/>
                <w:sz w:val="24"/>
                <w:szCs w:val="24"/>
              </w:rPr>
            </w:pPr>
          </w:p>
        </w:tc>
        <w:tc>
          <w:tcPr>
            <w:tcW w:w="2976" w:type="dxa"/>
            <w:vMerge w:val="continue"/>
            <w:vAlign w:val="center"/>
          </w:tcPr>
          <w:p>
            <w:pPr>
              <w:spacing w:line="300" w:lineRule="exact"/>
              <w:jc w:val="left"/>
              <w:rPr>
                <w:rFonts w:ascii="仿宋" w:hAnsi="仿宋" w:eastAsia="仿宋" w:cs="仿宋"/>
                <w:sz w:val="24"/>
                <w:szCs w:val="24"/>
              </w:rPr>
            </w:pPr>
          </w:p>
        </w:tc>
        <w:tc>
          <w:tcPr>
            <w:tcW w:w="2976" w:type="dxa"/>
            <w:vMerge w:val="continue"/>
            <w:vAlign w:val="center"/>
          </w:tcPr>
          <w:p>
            <w:pPr>
              <w:spacing w:line="300" w:lineRule="exact"/>
              <w:jc w:val="left"/>
              <w:rPr>
                <w:rFonts w:ascii="仿宋" w:hAnsi="仿宋" w:eastAsia="仿宋" w:cs="仿宋"/>
                <w:sz w:val="24"/>
                <w:szCs w:val="24"/>
              </w:rPr>
            </w:pPr>
          </w:p>
        </w:tc>
        <w:tc>
          <w:tcPr>
            <w:tcW w:w="141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举办活动数量（场）</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≥3</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2</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1</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1949" w:type="dxa"/>
            <w:vMerge w:val="continue"/>
            <w:vAlign w:val="center"/>
          </w:tcPr>
          <w:p>
            <w:pPr>
              <w:spacing w:line="300" w:lineRule="exact"/>
              <w:jc w:val="left"/>
              <w:rPr>
                <w:rFonts w:ascii="仿宋" w:hAnsi="仿宋" w:eastAsia="仿宋" w:cs="仿宋"/>
                <w:b/>
                <w:sz w:val="24"/>
                <w:szCs w:val="24"/>
              </w:rPr>
            </w:pPr>
          </w:p>
        </w:tc>
        <w:tc>
          <w:tcPr>
            <w:tcW w:w="2976" w:type="dxa"/>
            <w:vMerge w:val="continue"/>
            <w:vAlign w:val="center"/>
          </w:tcPr>
          <w:p>
            <w:pPr>
              <w:spacing w:line="300" w:lineRule="exact"/>
              <w:jc w:val="left"/>
              <w:rPr>
                <w:rFonts w:ascii="仿宋" w:hAnsi="仿宋" w:eastAsia="仿宋" w:cs="仿宋"/>
                <w:sz w:val="24"/>
                <w:szCs w:val="24"/>
              </w:rPr>
            </w:pPr>
          </w:p>
        </w:tc>
        <w:tc>
          <w:tcPr>
            <w:tcW w:w="2976" w:type="dxa"/>
            <w:vMerge w:val="continue"/>
            <w:vAlign w:val="center"/>
          </w:tcPr>
          <w:p>
            <w:pPr>
              <w:spacing w:line="300" w:lineRule="exact"/>
              <w:jc w:val="left"/>
              <w:rPr>
                <w:rFonts w:ascii="仿宋" w:hAnsi="仿宋" w:eastAsia="仿宋" w:cs="仿宋"/>
                <w:sz w:val="24"/>
                <w:szCs w:val="24"/>
              </w:rPr>
            </w:pPr>
          </w:p>
        </w:tc>
        <w:tc>
          <w:tcPr>
            <w:tcW w:w="141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招商引资规模增长率</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≥4%</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≥2%</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≥1%</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1949" w:type="dxa"/>
            <w:vMerge w:val="continue"/>
            <w:vAlign w:val="center"/>
          </w:tcPr>
          <w:p>
            <w:pPr>
              <w:spacing w:line="300" w:lineRule="exact"/>
              <w:jc w:val="left"/>
              <w:rPr>
                <w:rFonts w:ascii="仿宋" w:hAnsi="仿宋" w:eastAsia="仿宋" w:cs="仿宋"/>
                <w:b/>
                <w:sz w:val="24"/>
                <w:szCs w:val="24"/>
              </w:rPr>
            </w:pPr>
          </w:p>
        </w:tc>
        <w:tc>
          <w:tcPr>
            <w:tcW w:w="2976" w:type="dxa"/>
            <w:vMerge w:val="continue"/>
            <w:vAlign w:val="center"/>
          </w:tcPr>
          <w:p>
            <w:pPr>
              <w:spacing w:line="300" w:lineRule="exact"/>
              <w:jc w:val="left"/>
              <w:rPr>
                <w:rFonts w:ascii="仿宋" w:hAnsi="仿宋" w:eastAsia="仿宋" w:cs="仿宋"/>
                <w:sz w:val="24"/>
                <w:szCs w:val="24"/>
              </w:rPr>
            </w:pPr>
          </w:p>
        </w:tc>
        <w:tc>
          <w:tcPr>
            <w:tcW w:w="2976" w:type="dxa"/>
            <w:vMerge w:val="continue"/>
            <w:vAlign w:val="center"/>
          </w:tcPr>
          <w:p>
            <w:pPr>
              <w:spacing w:line="300" w:lineRule="exact"/>
              <w:jc w:val="left"/>
              <w:rPr>
                <w:rFonts w:ascii="仿宋" w:hAnsi="仿宋" w:eastAsia="仿宋" w:cs="仿宋"/>
                <w:sz w:val="24"/>
                <w:szCs w:val="24"/>
              </w:rPr>
            </w:pPr>
          </w:p>
        </w:tc>
        <w:tc>
          <w:tcPr>
            <w:tcW w:w="141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到会客商人数（人）</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≥300</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≥200</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≥100</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1949" w:type="dxa"/>
            <w:vMerge w:val="restart"/>
            <w:vAlign w:val="center"/>
          </w:tcPr>
          <w:p>
            <w:pPr>
              <w:spacing w:line="300" w:lineRule="exact"/>
              <w:jc w:val="left"/>
              <w:rPr>
                <w:rFonts w:ascii="仿宋" w:hAnsi="仿宋" w:eastAsia="仿宋" w:cs="仿宋"/>
                <w:b/>
                <w:sz w:val="24"/>
                <w:szCs w:val="24"/>
              </w:rPr>
            </w:pPr>
            <w:r>
              <w:rPr>
                <w:rFonts w:hint="eastAsia" w:ascii="仿宋" w:hAnsi="仿宋" w:eastAsia="仿宋" w:cs="仿宋"/>
                <w:b/>
                <w:sz w:val="24"/>
                <w:szCs w:val="24"/>
              </w:rPr>
              <w:t>　　2、加快培育外贸竞争新优势</w:t>
            </w:r>
          </w:p>
        </w:tc>
        <w:tc>
          <w:tcPr>
            <w:tcW w:w="2976" w:type="dxa"/>
            <w:vMerge w:val="restart"/>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支持外贸基地、品牌、境外营销网络建设，发展跨境电商、市场采购、外贸综合服务企业等新业态。开展外贸政策业务免费培训，助力企业开拓国际市场。</w:t>
            </w:r>
          </w:p>
        </w:tc>
        <w:tc>
          <w:tcPr>
            <w:tcW w:w="2976" w:type="dxa"/>
            <w:vMerge w:val="restart"/>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优化外贸商品结构、市场结构、主体结构、贸易方式结构</w:t>
            </w:r>
          </w:p>
        </w:tc>
        <w:tc>
          <w:tcPr>
            <w:tcW w:w="141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货物出口占有率</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≥10%</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≥5%</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≥2%</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&lt;2%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1949" w:type="dxa"/>
            <w:vMerge w:val="continue"/>
            <w:vAlign w:val="center"/>
          </w:tcPr>
          <w:p>
            <w:pPr>
              <w:spacing w:line="300" w:lineRule="exact"/>
              <w:jc w:val="left"/>
              <w:rPr>
                <w:rFonts w:ascii="仿宋" w:hAnsi="仿宋" w:eastAsia="仿宋" w:cs="仿宋"/>
                <w:b/>
                <w:sz w:val="24"/>
                <w:szCs w:val="24"/>
              </w:rPr>
            </w:pPr>
          </w:p>
        </w:tc>
        <w:tc>
          <w:tcPr>
            <w:tcW w:w="2976" w:type="dxa"/>
            <w:vMerge w:val="continue"/>
            <w:vAlign w:val="center"/>
          </w:tcPr>
          <w:p>
            <w:pPr>
              <w:spacing w:line="300" w:lineRule="exact"/>
              <w:jc w:val="left"/>
              <w:rPr>
                <w:rFonts w:ascii="仿宋" w:hAnsi="仿宋" w:eastAsia="仿宋" w:cs="仿宋"/>
                <w:sz w:val="24"/>
                <w:szCs w:val="24"/>
              </w:rPr>
            </w:pPr>
          </w:p>
        </w:tc>
        <w:tc>
          <w:tcPr>
            <w:tcW w:w="2976" w:type="dxa"/>
            <w:vMerge w:val="continue"/>
            <w:vAlign w:val="center"/>
          </w:tcPr>
          <w:p>
            <w:pPr>
              <w:spacing w:line="300" w:lineRule="exact"/>
              <w:jc w:val="left"/>
              <w:rPr>
                <w:rFonts w:ascii="仿宋" w:hAnsi="仿宋" w:eastAsia="仿宋" w:cs="仿宋"/>
                <w:sz w:val="24"/>
                <w:szCs w:val="24"/>
              </w:rPr>
            </w:pPr>
          </w:p>
        </w:tc>
        <w:tc>
          <w:tcPr>
            <w:tcW w:w="141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货物出口占有率</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≥10%</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≥4%</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≥2%</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&lt;2%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1949" w:type="dxa"/>
            <w:vMerge w:val="continue"/>
            <w:vAlign w:val="center"/>
          </w:tcPr>
          <w:p>
            <w:pPr>
              <w:spacing w:line="300" w:lineRule="exact"/>
              <w:jc w:val="left"/>
              <w:rPr>
                <w:rFonts w:ascii="仿宋" w:hAnsi="仿宋" w:eastAsia="仿宋" w:cs="仿宋"/>
                <w:b/>
                <w:sz w:val="24"/>
                <w:szCs w:val="24"/>
              </w:rPr>
            </w:pPr>
          </w:p>
        </w:tc>
        <w:tc>
          <w:tcPr>
            <w:tcW w:w="2976" w:type="dxa"/>
            <w:vMerge w:val="continue"/>
            <w:vAlign w:val="center"/>
          </w:tcPr>
          <w:p>
            <w:pPr>
              <w:spacing w:line="300" w:lineRule="exact"/>
              <w:jc w:val="left"/>
              <w:rPr>
                <w:rFonts w:ascii="仿宋" w:hAnsi="仿宋" w:eastAsia="仿宋" w:cs="仿宋"/>
                <w:sz w:val="24"/>
                <w:szCs w:val="24"/>
              </w:rPr>
            </w:pPr>
          </w:p>
        </w:tc>
        <w:tc>
          <w:tcPr>
            <w:tcW w:w="2976" w:type="dxa"/>
            <w:vMerge w:val="continue"/>
            <w:vAlign w:val="center"/>
          </w:tcPr>
          <w:p>
            <w:pPr>
              <w:spacing w:line="300" w:lineRule="exact"/>
              <w:jc w:val="left"/>
              <w:rPr>
                <w:rFonts w:ascii="仿宋" w:hAnsi="仿宋" w:eastAsia="仿宋" w:cs="仿宋"/>
                <w:sz w:val="24"/>
                <w:szCs w:val="24"/>
              </w:rPr>
            </w:pPr>
          </w:p>
        </w:tc>
        <w:tc>
          <w:tcPr>
            <w:tcW w:w="141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外贸综合服务企业出口增长率</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≥5</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≥3</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≥2</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1949" w:type="dxa"/>
            <w:vAlign w:val="center"/>
          </w:tcPr>
          <w:p>
            <w:pPr>
              <w:spacing w:line="300" w:lineRule="exact"/>
              <w:jc w:val="left"/>
              <w:rPr>
                <w:rFonts w:ascii="仿宋" w:hAnsi="仿宋" w:eastAsia="仿宋" w:cs="仿宋"/>
                <w:b/>
                <w:sz w:val="24"/>
                <w:szCs w:val="24"/>
              </w:rPr>
            </w:pPr>
            <w:r>
              <w:rPr>
                <w:rFonts w:hint="eastAsia" w:ascii="仿宋" w:hAnsi="仿宋" w:eastAsia="仿宋" w:cs="仿宋"/>
                <w:b/>
                <w:sz w:val="24"/>
                <w:szCs w:val="24"/>
              </w:rPr>
              <w:t>三、商务行政综合执法</w:t>
            </w:r>
          </w:p>
        </w:tc>
        <w:tc>
          <w:tcPr>
            <w:tcW w:w="297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按有关规定对成品油流通、药品流通、和拍卖、典当、租赁、旧机动车交易、报废汽车回收等进行监督管理，开展商务行政综合执法工作</w:t>
            </w:r>
          </w:p>
        </w:tc>
        <w:tc>
          <w:tcPr>
            <w:tcW w:w="297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维护市场秩序、净化经营行为</w:t>
            </w:r>
          </w:p>
        </w:tc>
        <w:tc>
          <w:tcPr>
            <w:tcW w:w="1417" w:type="dxa"/>
            <w:vAlign w:val="center"/>
          </w:tcPr>
          <w:p>
            <w:pPr>
              <w:spacing w:line="300" w:lineRule="exact"/>
              <w:jc w:val="left"/>
              <w:rPr>
                <w:rFonts w:ascii="仿宋" w:hAnsi="仿宋" w:eastAsia="仿宋" w:cs="仿宋"/>
                <w:sz w:val="24"/>
                <w:szCs w:val="24"/>
              </w:rPr>
            </w:pPr>
          </w:p>
        </w:tc>
        <w:tc>
          <w:tcPr>
            <w:tcW w:w="737" w:type="dxa"/>
            <w:vAlign w:val="center"/>
          </w:tcPr>
          <w:p>
            <w:pPr>
              <w:spacing w:line="300" w:lineRule="exact"/>
              <w:jc w:val="center"/>
              <w:rPr>
                <w:rFonts w:ascii="仿宋" w:hAnsi="仿宋" w:eastAsia="仿宋" w:cs="仿宋"/>
                <w:sz w:val="24"/>
                <w:szCs w:val="24"/>
              </w:rPr>
            </w:pPr>
          </w:p>
        </w:tc>
        <w:tc>
          <w:tcPr>
            <w:tcW w:w="737" w:type="dxa"/>
            <w:vAlign w:val="center"/>
          </w:tcPr>
          <w:p>
            <w:pPr>
              <w:spacing w:line="300" w:lineRule="exact"/>
              <w:jc w:val="center"/>
              <w:rPr>
                <w:rFonts w:ascii="仿宋" w:hAnsi="仿宋" w:eastAsia="仿宋" w:cs="仿宋"/>
                <w:sz w:val="24"/>
                <w:szCs w:val="24"/>
              </w:rPr>
            </w:pPr>
          </w:p>
        </w:tc>
        <w:tc>
          <w:tcPr>
            <w:tcW w:w="737" w:type="dxa"/>
            <w:vAlign w:val="center"/>
          </w:tcPr>
          <w:p>
            <w:pPr>
              <w:spacing w:line="300" w:lineRule="exact"/>
              <w:jc w:val="center"/>
              <w:rPr>
                <w:rFonts w:ascii="仿宋" w:hAnsi="仿宋" w:eastAsia="仿宋" w:cs="仿宋"/>
                <w:sz w:val="24"/>
                <w:szCs w:val="24"/>
              </w:rPr>
            </w:pPr>
          </w:p>
        </w:tc>
        <w:tc>
          <w:tcPr>
            <w:tcW w:w="737" w:type="dxa"/>
            <w:vAlign w:val="center"/>
          </w:tcPr>
          <w:p>
            <w:pPr>
              <w:spacing w:line="300" w:lineRule="exact"/>
              <w:jc w:val="center"/>
              <w:rPr>
                <w:rFonts w:ascii="仿宋" w:hAnsi="仿宋" w:eastAsia="仿宋" w:cs="仿宋"/>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1949" w:type="dxa"/>
            <w:vMerge w:val="restart"/>
            <w:vAlign w:val="center"/>
          </w:tcPr>
          <w:p>
            <w:pPr>
              <w:spacing w:line="300" w:lineRule="exact"/>
              <w:jc w:val="left"/>
              <w:rPr>
                <w:rFonts w:ascii="仿宋" w:hAnsi="仿宋" w:eastAsia="仿宋" w:cs="仿宋"/>
                <w:b/>
                <w:sz w:val="24"/>
                <w:szCs w:val="24"/>
              </w:rPr>
            </w:pPr>
            <w:r>
              <w:rPr>
                <w:rFonts w:hint="eastAsia" w:ascii="仿宋" w:hAnsi="仿宋" w:eastAsia="仿宋" w:cs="仿宋"/>
                <w:b/>
                <w:sz w:val="24"/>
                <w:szCs w:val="24"/>
              </w:rPr>
              <w:t>　　</w:t>
            </w:r>
          </w:p>
          <w:p>
            <w:pPr>
              <w:spacing w:line="300" w:lineRule="exact"/>
              <w:jc w:val="left"/>
              <w:rPr>
                <w:rFonts w:ascii="仿宋" w:hAnsi="仿宋" w:eastAsia="仿宋" w:cs="仿宋"/>
                <w:b/>
                <w:sz w:val="24"/>
                <w:szCs w:val="24"/>
              </w:rPr>
            </w:pPr>
          </w:p>
          <w:p>
            <w:pPr>
              <w:spacing w:line="300" w:lineRule="exact"/>
              <w:jc w:val="left"/>
              <w:rPr>
                <w:rFonts w:ascii="仿宋" w:hAnsi="仿宋" w:eastAsia="仿宋" w:cs="仿宋"/>
                <w:b/>
                <w:sz w:val="24"/>
                <w:szCs w:val="24"/>
              </w:rPr>
            </w:pPr>
            <w:r>
              <w:rPr>
                <w:rFonts w:hint="eastAsia" w:ascii="仿宋" w:hAnsi="仿宋" w:eastAsia="仿宋" w:cs="仿宋"/>
                <w:b/>
                <w:sz w:val="24"/>
                <w:szCs w:val="24"/>
              </w:rPr>
              <w:t>1、负责成品油市场监管、联合执法、行政处罚</w:t>
            </w:r>
          </w:p>
        </w:tc>
        <w:tc>
          <w:tcPr>
            <w:tcW w:w="2976" w:type="dxa"/>
            <w:vMerge w:val="restart"/>
            <w:vAlign w:val="center"/>
          </w:tcPr>
          <w:p>
            <w:pPr>
              <w:spacing w:line="300" w:lineRule="exact"/>
              <w:jc w:val="left"/>
              <w:rPr>
                <w:rFonts w:ascii="仿宋" w:hAnsi="仿宋" w:eastAsia="仿宋" w:cs="仿宋"/>
                <w:sz w:val="24"/>
                <w:szCs w:val="24"/>
              </w:rPr>
            </w:pPr>
          </w:p>
          <w:p>
            <w:pPr>
              <w:spacing w:line="300" w:lineRule="exact"/>
              <w:jc w:val="left"/>
              <w:rPr>
                <w:rFonts w:ascii="仿宋" w:hAnsi="仿宋" w:eastAsia="仿宋" w:cs="仿宋"/>
                <w:sz w:val="24"/>
                <w:szCs w:val="24"/>
              </w:rPr>
            </w:pPr>
          </w:p>
          <w:p>
            <w:pPr>
              <w:spacing w:line="300" w:lineRule="exact"/>
              <w:jc w:val="left"/>
              <w:rPr>
                <w:rFonts w:ascii="仿宋" w:hAnsi="仿宋" w:eastAsia="仿宋" w:cs="仿宋"/>
                <w:sz w:val="24"/>
                <w:szCs w:val="24"/>
              </w:rPr>
            </w:pPr>
            <w:r>
              <w:rPr>
                <w:rFonts w:hint="eastAsia" w:ascii="仿宋" w:hAnsi="仿宋" w:eastAsia="仿宋" w:cs="仿宋"/>
                <w:sz w:val="24"/>
                <w:szCs w:val="24"/>
              </w:rPr>
              <w:t>负责成品油市场监管、联合执法、行政处罚</w:t>
            </w:r>
          </w:p>
        </w:tc>
        <w:tc>
          <w:tcPr>
            <w:tcW w:w="2976" w:type="dxa"/>
            <w:vMerge w:val="restart"/>
            <w:vAlign w:val="center"/>
          </w:tcPr>
          <w:p>
            <w:pPr>
              <w:spacing w:line="300" w:lineRule="exact"/>
              <w:jc w:val="left"/>
              <w:rPr>
                <w:rFonts w:ascii="仿宋" w:hAnsi="仿宋" w:eastAsia="仿宋" w:cs="仿宋"/>
                <w:sz w:val="24"/>
                <w:szCs w:val="24"/>
              </w:rPr>
            </w:pPr>
          </w:p>
          <w:p>
            <w:pPr>
              <w:spacing w:line="300" w:lineRule="exact"/>
              <w:jc w:val="left"/>
              <w:rPr>
                <w:rFonts w:ascii="仿宋" w:hAnsi="仿宋" w:eastAsia="仿宋" w:cs="仿宋"/>
                <w:sz w:val="24"/>
                <w:szCs w:val="24"/>
              </w:rPr>
            </w:pPr>
            <w:r>
              <w:rPr>
                <w:rFonts w:hint="eastAsia" w:ascii="仿宋" w:hAnsi="仿宋" w:eastAsia="仿宋" w:cs="仿宋"/>
                <w:sz w:val="24"/>
                <w:szCs w:val="24"/>
              </w:rPr>
              <w:t>维护成品油市场秩序、净化经营行为</w:t>
            </w:r>
          </w:p>
        </w:tc>
        <w:tc>
          <w:tcPr>
            <w:tcW w:w="1417" w:type="dxa"/>
            <w:vAlign w:val="center"/>
          </w:tcPr>
          <w:p>
            <w:pPr>
              <w:spacing w:line="300" w:lineRule="exact"/>
              <w:jc w:val="left"/>
              <w:rPr>
                <w:rFonts w:ascii="仿宋" w:hAnsi="仿宋" w:eastAsia="仿宋" w:cs="仿宋"/>
                <w:sz w:val="24"/>
                <w:szCs w:val="24"/>
              </w:rPr>
            </w:pPr>
          </w:p>
          <w:p>
            <w:pPr>
              <w:spacing w:line="300" w:lineRule="exact"/>
              <w:jc w:val="left"/>
              <w:rPr>
                <w:rFonts w:ascii="仿宋" w:hAnsi="仿宋" w:eastAsia="仿宋" w:cs="仿宋"/>
                <w:sz w:val="24"/>
                <w:szCs w:val="24"/>
              </w:rPr>
            </w:pPr>
            <w:r>
              <w:rPr>
                <w:rFonts w:hint="eastAsia" w:ascii="仿宋" w:hAnsi="仿宋" w:eastAsia="仿宋" w:cs="仿宋"/>
                <w:sz w:val="24"/>
                <w:szCs w:val="24"/>
              </w:rPr>
              <w:t>特种行业监管考核完成率</w:t>
            </w:r>
          </w:p>
        </w:tc>
        <w:tc>
          <w:tcPr>
            <w:tcW w:w="737" w:type="dxa"/>
            <w:vAlign w:val="center"/>
          </w:tcPr>
          <w:p>
            <w:pPr>
              <w:spacing w:line="300" w:lineRule="exact"/>
              <w:jc w:val="center"/>
              <w:rPr>
                <w:rFonts w:ascii="仿宋" w:hAnsi="仿宋" w:eastAsia="仿宋" w:cs="仿宋"/>
                <w:sz w:val="24"/>
                <w:szCs w:val="24"/>
              </w:rPr>
            </w:pPr>
          </w:p>
          <w:p>
            <w:pPr>
              <w:spacing w:line="300" w:lineRule="exact"/>
              <w:jc w:val="center"/>
              <w:rPr>
                <w:rFonts w:ascii="仿宋" w:hAnsi="仿宋" w:eastAsia="仿宋" w:cs="仿宋"/>
                <w:sz w:val="24"/>
                <w:szCs w:val="24"/>
              </w:rPr>
            </w:pPr>
            <w:r>
              <w:rPr>
                <w:rFonts w:hint="eastAsia" w:ascii="仿宋" w:hAnsi="仿宋" w:eastAsia="仿宋" w:cs="仿宋"/>
                <w:sz w:val="24"/>
                <w:szCs w:val="24"/>
              </w:rPr>
              <w:t>≥90%</w:t>
            </w:r>
          </w:p>
        </w:tc>
        <w:tc>
          <w:tcPr>
            <w:tcW w:w="737" w:type="dxa"/>
            <w:vAlign w:val="center"/>
          </w:tcPr>
          <w:p>
            <w:pPr>
              <w:spacing w:line="300" w:lineRule="exact"/>
              <w:jc w:val="center"/>
              <w:rPr>
                <w:rFonts w:ascii="仿宋" w:hAnsi="仿宋" w:eastAsia="仿宋" w:cs="仿宋"/>
                <w:sz w:val="24"/>
                <w:szCs w:val="24"/>
              </w:rPr>
            </w:pPr>
          </w:p>
          <w:p>
            <w:pPr>
              <w:spacing w:line="300" w:lineRule="exact"/>
              <w:jc w:val="center"/>
              <w:rPr>
                <w:rFonts w:ascii="仿宋" w:hAnsi="仿宋" w:eastAsia="仿宋" w:cs="仿宋"/>
                <w:sz w:val="24"/>
                <w:szCs w:val="24"/>
              </w:rPr>
            </w:pPr>
            <w:r>
              <w:rPr>
                <w:rFonts w:hint="eastAsia" w:ascii="仿宋" w:hAnsi="仿宋" w:eastAsia="仿宋" w:cs="仿宋"/>
                <w:sz w:val="24"/>
                <w:szCs w:val="24"/>
              </w:rPr>
              <w:t>≥80%</w:t>
            </w:r>
          </w:p>
        </w:tc>
        <w:tc>
          <w:tcPr>
            <w:tcW w:w="737" w:type="dxa"/>
            <w:vAlign w:val="center"/>
          </w:tcPr>
          <w:p>
            <w:pPr>
              <w:spacing w:line="300" w:lineRule="exact"/>
              <w:jc w:val="center"/>
              <w:rPr>
                <w:rFonts w:ascii="仿宋" w:hAnsi="仿宋" w:eastAsia="仿宋" w:cs="仿宋"/>
                <w:sz w:val="24"/>
                <w:szCs w:val="24"/>
              </w:rPr>
            </w:pPr>
          </w:p>
          <w:p>
            <w:pPr>
              <w:spacing w:line="300" w:lineRule="exact"/>
              <w:jc w:val="center"/>
              <w:rPr>
                <w:rFonts w:ascii="仿宋" w:hAnsi="仿宋" w:eastAsia="仿宋" w:cs="仿宋"/>
                <w:sz w:val="24"/>
                <w:szCs w:val="24"/>
              </w:rPr>
            </w:pPr>
            <w:r>
              <w:rPr>
                <w:rFonts w:hint="eastAsia" w:ascii="仿宋" w:hAnsi="仿宋" w:eastAsia="仿宋" w:cs="仿宋"/>
                <w:sz w:val="24"/>
                <w:szCs w:val="24"/>
              </w:rPr>
              <w:t>≥70%</w:t>
            </w:r>
          </w:p>
        </w:tc>
        <w:tc>
          <w:tcPr>
            <w:tcW w:w="737" w:type="dxa"/>
            <w:vAlign w:val="center"/>
          </w:tcPr>
          <w:p>
            <w:pPr>
              <w:spacing w:line="300" w:lineRule="exact"/>
              <w:jc w:val="center"/>
              <w:rPr>
                <w:rFonts w:ascii="仿宋" w:hAnsi="仿宋" w:eastAsia="仿宋" w:cs="仿宋"/>
                <w:sz w:val="24"/>
                <w:szCs w:val="24"/>
              </w:rPr>
            </w:pPr>
          </w:p>
          <w:p>
            <w:pPr>
              <w:spacing w:line="300" w:lineRule="exact"/>
              <w:jc w:val="center"/>
              <w:rPr>
                <w:rFonts w:ascii="仿宋" w:hAnsi="仿宋" w:eastAsia="仿宋" w:cs="仿宋"/>
                <w:sz w:val="24"/>
                <w:szCs w:val="24"/>
              </w:rPr>
            </w:pPr>
            <w:r>
              <w:rPr>
                <w:rFonts w:hint="eastAsia" w:ascii="仿宋" w:hAnsi="仿宋" w:eastAsia="仿宋" w:cs="仿宋"/>
                <w:sz w:val="24"/>
                <w:szCs w:val="24"/>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1949" w:type="dxa"/>
            <w:vMerge w:val="continue"/>
            <w:vAlign w:val="center"/>
          </w:tcPr>
          <w:p>
            <w:pPr>
              <w:spacing w:line="300" w:lineRule="exact"/>
              <w:jc w:val="left"/>
              <w:rPr>
                <w:rFonts w:ascii="仿宋" w:hAnsi="仿宋" w:eastAsia="仿宋" w:cs="仿宋"/>
                <w:b/>
                <w:sz w:val="24"/>
                <w:szCs w:val="24"/>
              </w:rPr>
            </w:pPr>
          </w:p>
        </w:tc>
        <w:tc>
          <w:tcPr>
            <w:tcW w:w="2976" w:type="dxa"/>
            <w:vMerge w:val="continue"/>
            <w:vAlign w:val="center"/>
          </w:tcPr>
          <w:p>
            <w:pPr>
              <w:spacing w:line="300" w:lineRule="exact"/>
              <w:jc w:val="left"/>
              <w:rPr>
                <w:rFonts w:ascii="仿宋" w:hAnsi="仿宋" w:eastAsia="仿宋" w:cs="仿宋"/>
                <w:sz w:val="24"/>
                <w:szCs w:val="24"/>
              </w:rPr>
            </w:pPr>
          </w:p>
        </w:tc>
        <w:tc>
          <w:tcPr>
            <w:tcW w:w="2976" w:type="dxa"/>
            <w:vMerge w:val="continue"/>
            <w:vAlign w:val="center"/>
          </w:tcPr>
          <w:p>
            <w:pPr>
              <w:spacing w:line="300" w:lineRule="exact"/>
              <w:jc w:val="left"/>
              <w:rPr>
                <w:rFonts w:ascii="仿宋" w:hAnsi="仿宋" w:eastAsia="仿宋" w:cs="仿宋"/>
                <w:sz w:val="24"/>
                <w:szCs w:val="24"/>
              </w:rPr>
            </w:pPr>
          </w:p>
        </w:tc>
        <w:tc>
          <w:tcPr>
            <w:tcW w:w="1417" w:type="dxa"/>
            <w:vAlign w:val="center"/>
          </w:tcPr>
          <w:p>
            <w:pPr>
              <w:spacing w:line="300" w:lineRule="exact"/>
              <w:jc w:val="left"/>
              <w:rPr>
                <w:rFonts w:ascii="仿宋" w:hAnsi="仿宋" w:eastAsia="仿宋" w:cs="仿宋"/>
                <w:sz w:val="24"/>
                <w:szCs w:val="24"/>
              </w:rPr>
            </w:pPr>
          </w:p>
          <w:p>
            <w:pPr>
              <w:spacing w:line="300" w:lineRule="exact"/>
              <w:jc w:val="left"/>
              <w:rPr>
                <w:rFonts w:ascii="仿宋" w:hAnsi="仿宋" w:eastAsia="仿宋" w:cs="仿宋"/>
                <w:sz w:val="24"/>
                <w:szCs w:val="24"/>
              </w:rPr>
            </w:pPr>
            <w:r>
              <w:rPr>
                <w:rFonts w:hint="eastAsia" w:ascii="仿宋" w:hAnsi="仿宋" w:eastAsia="仿宋" w:cs="仿宋"/>
                <w:sz w:val="24"/>
                <w:szCs w:val="24"/>
              </w:rPr>
              <w:t>不发成较大及以上事故</w:t>
            </w:r>
          </w:p>
        </w:tc>
        <w:tc>
          <w:tcPr>
            <w:tcW w:w="737" w:type="dxa"/>
            <w:vAlign w:val="center"/>
          </w:tcPr>
          <w:p>
            <w:pPr>
              <w:spacing w:line="300" w:lineRule="exact"/>
              <w:jc w:val="center"/>
              <w:rPr>
                <w:rFonts w:ascii="仿宋" w:hAnsi="仿宋" w:eastAsia="仿宋" w:cs="仿宋"/>
                <w:sz w:val="24"/>
                <w:szCs w:val="24"/>
              </w:rPr>
            </w:pPr>
          </w:p>
          <w:p>
            <w:pPr>
              <w:spacing w:line="300" w:lineRule="exact"/>
              <w:jc w:val="center"/>
              <w:rPr>
                <w:rFonts w:ascii="仿宋" w:hAnsi="仿宋" w:eastAsia="仿宋" w:cs="仿宋"/>
                <w:sz w:val="24"/>
                <w:szCs w:val="24"/>
              </w:rPr>
            </w:pPr>
            <w:r>
              <w:rPr>
                <w:rFonts w:hint="eastAsia" w:ascii="仿宋" w:hAnsi="仿宋" w:eastAsia="仿宋" w:cs="仿宋"/>
                <w:sz w:val="24"/>
                <w:szCs w:val="24"/>
              </w:rPr>
              <w:t>100%</w:t>
            </w:r>
          </w:p>
        </w:tc>
        <w:tc>
          <w:tcPr>
            <w:tcW w:w="737" w:type="dxa"/>
            <w:vAlign w:val="center"/>
          </w:tcPr>
          <w:p>
            <w:pPr>
              <w:spacing w:line="300" w:lineRule="exact"/>
              <w:jc w:val="center"/>
              <w:rPr>
                <w:rFonts w:ascii="仿宋" w:hAnsi="仿宋" w:eastAsia="仿宋" w:cs="仿宋"/>
                <w:sz w:val="24"/>
                <w:szCs w:val="24"/>
              </w:rPr>
            </w:pPr>
          </w:p>
          <w:p>
            <w:pPr>
              <w:spacing w:line="300" w:lineRule="exact"/>
              <w:jc w:val="center"/>
              <w:rPr>
                <w:rFonts w:ascii="仿宋" w:hAnsi="仿宋" w:eastAsia="仿宋" w:cs="仿宋"/>
                <w:sz w:val="24"/>
                <w:szCs w:val="24"/>
              </w:rPr>
            </w:pPr>
            <w:r>
              <w:rPr>
                <w:rFonts w:hint="eastAsia" w:ascii="仿宋" w:hAnsi="仿宋" w:eastAsia="仿宋" w:cs="仿宋"/>
                <w:sz w:val="24"/>
                <w:szCs w:val="24"/>
              </w:rPr>
              <w:t>≥98%</w:t>
            </w:r>
          </w:p>
        </w:tc>
        <w:tc>
          <w:tcPr>
            <w:tcW w:w="737" w:type="dxa"/>
            <w:vAlign w:val="center"/>
          </w:tcPr>
          <w:p>
            <w:pPr>
              <w:spacing w:line="300" w:lineRule="exact"/>
              <w:jc w:val="center"/>
              <w:rPr>
                <w:rFonts w:ascii="仿宋" w:hAnsi="仿宋" w:eastAsia="仿宋" w:cs="仿宋"/>
                <w:sz w:val="24"/>
                <w:szCs w:val="24"/>
              </w:rPr>
            </w:pPr>
          </w:p>
          <w:p>
            <w:pPr>
              <w:spacing w:line="300" w:lineRule="exact"/>
              <w:jc w:val="center"/>
              <w:rPr>
                <w:rFonts w:ascii="仿宋" w:hAnsi="仿宋" w:eastAsia="仿宋" w:cs="仿宋"/>
                <w:sz w:val="24"/>
                <w:szCs w:val="24"/>
              </w:rPr>
            </w:pPr>
            <w:r>
              <w:rPr>
                <w:rFonts w:hint="eastAsia" w:ascii="仿宋" w:hAnsi="仿宋" w:eastAsia="仿宋" w:cs="仿宋"/>
                <w:sz w:val="24"/>
                <w:szCs w:val="24"/>
              </w:rPr>
              <w:t>≥95%</w:t>
            </w:r>
          </w:p>
        </w:tc>
        <w:tc>
          <w:tcPr>
            <w:tcW w:w="737" w:type="dxa"/>
            <w:vAlign w:val="center"/>
          </w:tcPr>
          <w:p>
            <w:pPr>
              <w:spacing w:line="300" w:lineRule="exact"/>
              <w:jc w:val="center"/>
              <w:rPr>
                <w:rFonts w:ascii="仿宋" w:hAnsi="仿宋" w:eastAsia="仿宋" w:cs="仿宋"/>
                <w:sz w:val="24"/>
                <w:szCs w:val="24"/>
              </w:rPr>
            </w:pPr>
          </w:p>
          <w:p>
            <w:pPr>
              <w:spacing w:line="300" w:lineRule="exact"/>
              <w:jc w:val="center"/>
              <w:rPr>
                <w:rFonts w:ascii="仿宋" w:hAnsi="仿宋" w:eastAsia="仿宋" w:cs="仿宋"/>
                <w:sz w:val="24"/>
                <w:szCs w:val="24"/>
              </w:rPr>
            </w:pPr>
            <w:r>
              <w:rPr>
                <w:rFonts w:hint="eastAsia" w:ascii="仿宋" w:hAnsi="仿宋" w:eastAsia="仿宋" w:cs="仿宋"/>
                <w:sz w:val="24"/>
                <w:szCs w:val="24"/>
              </w:rP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65" w:hRule="atLeast"/>
        </w:trPr>
        <w:tc>
          <w:tcPr>
            <w:tcW w:w="1949" w:type="dxa"/>
            <w:vMerge w:val="continue"/>
            <w:vAlign w:val="center"/>
          </w:tcPr>
          <w:p>
            <w:pPr>
              <w:spacing w:line="300" w:lineRule="exact"/>
              <w:jc w:val="left"/>
              <w:rPr>
                <w:rFonts w:ascii="仿宋" w:hAnsi="仿宋" w:eastAsia="仿宋" w:cs="仿宋"/>
                <w:b/>
                <w:sz w:val="24"/>
                <w:szCs w:val="24"/>
              </w:rPr>
            </w:pPr>
          </w:p>
        </w:tc>
        <w:tc>
          <w:tcPr>
            <w:tcW w:w="2976" w:type="dxa"/>
            <w:vMerge w:val="continue"/>
            <w:vAlign w:val="center"/>
          </w:tcPr>
          <w:p>
            <w:pPr>
              <w:spacing w:line="300" w:lineRule="exact"/>
              <w:jc w:val="left"/>
              <w:rPr>
                <w:rFonts w:ascii="仿宋" w:hAnsi="仿宋" w:eastAsia="仿宋" w:cs="仿宋"/>
                <w:sz w:val="24"/>
                <w:szCs w:val="24"/>
              </w:rPr>
            </w:pPr>
          </w:p>
        </w:tc>
        <w:tc>
          <w:tcPr>
            <w:tcW w:w="2976" w:type="dxa"/>
            <w:vMerge w:val="continue"/>
            <w:vAlign w:val="center"/>
          </w:tcPr>
          <w:p>
            <w:pPr>
              <w:spacing w:line="300" w:lineRule="exact"/>
              <w:jc w:val="left"/>
              <w:rPr>
                <w:rFonts w:ascii="仿宋" w:hAnsi="仿宋" w:eastAsia="仿宋" w:cs="仿宋"/>
                <w:sz w:val="24"/>
                <w:szCs w:val="24"/>
              </w:rPr>
            </w:pPr>
          </w:p>
        </w:tc>
        <w:tc>
          <w:tcPr>
            <w:tcW w:w="141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成品油市场秩序专项整治行动完成率</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≥90%</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≥80%</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≥70%</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1949" w:type="dxa"/>
            <w:vAlign w:val="center"/>
          </w:tcPr>
          <w:p>
            <w:pPr>
              <w:spacing w:line="300" w:lineRule="exact"/>
              <w:jc w:val="left"/>
              <w:rPr>
                <w:rFonts w:ascii="仿宋" w:hAnsi="仿宋" w:eastAsia="仿宋" w:cs="仿宋"/>
                <w:b/>
                <w:sz w:val="24"/>
                <w:szCs w:val="24"/>
              </w:rPr>
            </w:pPr>
            <w:r>
              <w:rPr>
                <w:rFonts w:hint="eastAsia" w:ascii="仿宋" w:hAnsi="仿宋" w:eastAsia="仿宋" w:cs="仿宋"/>
                <w:b/>
                <w:sz w:val="24"/>
                <w:szCs w:val="24"/>
              </w:rPr>
              <w:t>四、商贸政务管理</w:t>
            </w:r>
          </w:p>
        </w:tc>
        <w:tc>
          <w:tcPr>
            <w:tcW w:w="297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负责机关综合业务管理和机关综合事务管理</w:t>
            </w:r>
          </w:p>
        </w:tc>
        <w:tc>
          <w:tcPr>
            <w:tcW w:w="297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统筹协调全县打击侵权假冒工作，增强网上办事能力，确保商务顺利完成</w:t>
            </w:r>
          </w:p>
        </w:tc>
        <w:tc>
          <w:tcPr>
            <w:tcW w:w="1417" w:type="dxa"/>
            <w:vAlign w:val="center"/>
          </w:tcPr>
          <w:p>
            <w:pPr>
              <w:spacing w:line="300" w:lineRule="exact"/>
              <w:jc w:val="left"/>
              <w:rPr>
                <w:rFonts w:ascii="仿宋" w:hAnsi="仿宋" w:eastAsia="仿宋" w:cs="仿宋"/>
                <w:sz w:val="24"/>
                <w:szCs w:val="24"/>
              </w:rPr>
            </w:pPr>
          </w:p>
        </w:tc>
        <w:tc>
          <w:tcPr>
            <w:tcW w:w="737" w:type="dxa"/>
            <w:vAlign w:val="center"/>
          </w:tcPr>
          <w:p>
            <w:pPr>
              <w:spacing w:line="300" w:lineRule="exact"/>
              <w:jc w:val="center"/>
              <w:rPr>
                <w:rFonts w:ascii="仿宋" w:hAnsi="仿宋" w:eastAsia="仿宋" w:cs="仿宋"/>
                <w:sz w:val="24"/>
                <w:szCs w:val="24"/>
              </w:rPr>
            </w:pPr>
          </w:p>
        </w:tc>
        <w:tc>
          <w:tcPr>
            <w:tcW w:w="737" w:type="dxa"/>
            <w:vAlign w:val="center"/>
          </w:tcPr>
          <w:p>
            <w:pPr>
              <w:spacing w:line="300" w:lineRule="exact"/>
              <w:jc w:val="center"/>
              <w:rPr>
                <w:rFonts w:ascii="仿宋" w:hAnsi="仿宋" w:eastAsia="仿宋" w:cs="仿宋"/>
                <w:sz w:val="24"/>
                <w:szCs w:val="24"/>
              </w:rPr>
            </w:pPr>
          </w:p>
        </w:tc>
        <w:tc>
          <w:tcPr>
            <w:tcW w:w="737" w:type="dxa"/>
            <w:vAlign w:val="center"/>
          </w:tcPr>
          <w:p>
            <w:pPr>
              <w:spacing w:line="300" w:lineRule="exact"/>
              <w:jc w:val="center"/>
              <w:rPr>
                <w:rFonts w:ascii="仿宋" w:hAnsi="仿宋" w:eastAsia="仿宋" w:cs="仿宋"/>
                <w:sz w:val="24"/>
                <w:szCs w:val="24"/>
              </w:rPr>
            </w:pPr>
          </w:p>
        </w:tc>
        <w:tc>
          <w:tcPr>
            <w:tcW w:w="737" w:type="dxa"/>
            <w:vAlign w:val="center"/>
          </w:tcPr>
          <w:p>
            <w:pPr>
              <w:spacing w:line="300" w:lineRule="exact"/>
              <w:jc w:val="center"/>
              <w:rPr>
                <w:rFonts w:ascii="仿宋" w:hAnsi="仿宋" w:eastAsia="仿宋" w:cs="仿宋"/>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1949" w:type="dxa"/>
            <w:vAlign w:val="center"/>
          </w:tcPr>
          <w:p>
            <w:pPr>
              <w:spacing w:line="300" w:lineRule="exact"/>
              <w:jc w:val="left"/>
              <w:rPr>
                <w:rFonts w:ascii="仿宋" w:hAnsi="仿宋" w:eastAsia="仿宋" w:cs="仿宋"/>
                <w:b/>
                <w:sz w:val="24"/>
                <w:szCs w:val="24"/>
              </w:rPr>
            </w:pPr>
            <w:r>
              <w:rPr>
                <w:rFonts w:hint="eastAsia" w:ascii="仿宋" w:hAnsi="仿宋" w:eastAsia="仿宋" w:cs="仿宋"/>
                <w:b/>
                <w:sz w:val="24"/>
                <w:szCs w:val="24"/>
              </w:rPr>
              <w:t>　　1、综合业务管理</w:t>
            </w:r>
          </w:p>
        </w:tc>
        <w:tc>
          <w:tcPr>
            <w:tcW w:w="297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落实商贸领域政策，推进改革，加强新闻宣传和信息管理等工作，统筹协调全县打击侵犯假冒工作进行监督管理。</w:t>
            </w:r>
          </w:p>
        </w:tc>
        <w:tc>
          <w:tcPr>
            <w:tcW w:w="297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保障各项业务工作畅通</w:t>
            </w:r>
          </w:p>
        </w:tc>
        <w:tc>
          <w:tcPr>
            <w:tcW w:w="141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综合业务管理工作完成率</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≥90%</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≥80%</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≥70%</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1949" w:type="dxa"/>
            <w:vAlign w:val="center"/>
          </w:tcPr>
          <w:p>
            <w:pPr>
              <w:spacing w:line="300" w:lineRule="exact"/>
              <w:jc w:val="left"/>
              <w:rPr>
                <w:rFonts w:ascii="仿宋" w:hAnsi="仿宋" w:eastAsia="仿宋" w:cs="仿宋"/>
                <w:b/>
                <w:sz w:val="24"/>
                <w:szCs w:val="24"/>
              </w:rPr>
            </w:pPr>
            <w:r>
              <w:rPr>
                <w:rFonts w:hint="eastAsia" w:ascii="仿宋" w:hAnsi="仿宋" w:eastAsia="仿宋" w:cs="仿宋"/>
                <w:b/>
                <w:sz w:val="24"/>
                <w:szCs w:val="24"/>
              </w:rPr>
              <w:t>　　2、综合事务管理</w:t>
            </w:r>
          </w:p>
        </w:tc>
        <w:tc>
          <w:tcPr>
            <w:tcW w:w="297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做好会议培训组织，内部信息化建设与维护，财务和资产管理，标准化建设，基础设施维修，大型设备购置，人事、党务以及老干部管理等工作。</w:t>
            </w:r>
          </w:p>
        </w:tc>
        <w:tc>
          <w:tcPr>
            <w:tcW w:w="297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保障机关正常工作有效运转</w:t>
            </w:r>
          </w:p>
        </w:tc>
        <w:tc>
          <w:tcPr>
            <w:tcW w:w="141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综合事务管理工作完成率</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≥90%</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≥80%</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≥70%</w:t>
            </w:r>
          </w:p>
        </w:tc>
        <w:tc>
          <w:tcPr>
            <w:tcW w:w="73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1949" w:type="dxa"/>
            <w:vAlign w:val="center"/>
          </w:tcPr>
          <w:p>
            <w:pPr>
              <w:spacing w:line="300" w:lineRule="exact"/>
              <w:jc w:val="left"/>
              <w:rPr>
                <w:rFonts w:ascii="仿宋" w:hAnsi="仿宋" w:eastAsia="仿宋" w:cs="仿宋"/>
                <w:b/>
                <w:sz w:val="24"/>
                <w:szCs w:val="24"/>
              </w:rPr>
            </w:pPr>
            <w:r>
              <w:rPr>
                <w:rFonts w:hint="eastAsia" w:ascii="仿宋" w:hAnsi="仿宋" w:eastAsia="仿宋" w:cs="仿宋"/>
                <w:b/>
                <w:sz w:val="24"/>
                <w:szCs w:val="24"/>
              </w:rPr>
              <w:t>　1、市场建设综合事务</w:t>
            </w:r>
          </w:p>
        </w:tc>
        <w:tc>
          <w:tcPr>
            <w:tcW w:w="2976" w:type="dxa"/>
            <w:vAlign w:val="center"/>
          </w:tcPr>
          <w:p>
            <w:pPr>
              <w:spacing w:line="300" w:lineRule="exact"/>
              <w:jc w:val="left"/>
              <w:rPr>
                <w:rFonts w:ascii="仿宋" w:hAnsi="仿宋" w:eastAsia="仿宋" w:cs="仿宋"/>
                <w:sz w:val="24"/>
                <w:szCs w:val="24"/>
              </w:rPr>
            </w:pPr>
          </w:p>
          <w:p>
            <w:pPr>
              <w:spacing w:line="300" w:lineRule="exact"/>
              <w:jc w:val="left"/>
              <w:rPr>
                <w:rFonts w:ascii="仿宋" w:hAnsi="仿宋" w:eastAsia="仿宋" w:cs="仿宋"/>
                <w:sz w:val="24"/>
                <w:szCs w:val="24"/>
              </w:rPr>
            </w:pPr>
            <w:r>
              <w:rPr>
                <w:rFonts w:hint="eastAsia" w:ascii="仿宋" w:hAnsi="仿宋" w:eastAsia="仿宋" w:cs="仿宋"/>
                <w:sz w:val="24"/>
                <w:szCs w:val="24"/>
              </w:rPr>
              <w:t>根据市场建设统一规划要求，协调有关部门，对全县各级各类市场的组合、改造、建设提出方案，做好论证、申报等工作，并组织实施</w:t>
            </w:r>
          </w:p>
        </w:tc>
        <w:tc>
          <w:tcPr>
            <w:tcW w:w="297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维护良好的市场秩序</w:t>
            </w:r>
          </w:p>
        </w:tc>
        <w:tc>
          <w:tcPr>
            <w:tcW w:w="1417" w:type="dxa"/>
            <w:vAlign w:val="center"/>
          </w:tcPr>
          <w:p>
            <w:pPr>
              <w:spacing w:line="300" w:lineRule="exact"/>
              <w:jc w:val="left"/>
              <w:rPr>
                <w:rFonts w:ascii="仿宋" w:hAnsi="仿宋" w:eastAsia="仿宋" w:cs="仿宋"/>
                <w:sz w:val="24"/>
                <w:szCs w:val="24"/>
              </w:rPr>
            </w:pPr>
          </w:p>
          <w:p>
            <w:pPr>
              <w:spacing w:line="300" w:lineRule="exact"/>
              <w:jc w:val="left"/>
              <w:rPr>
                <w:rFonts w:ascii="仿宋" w:hAnsi="仿宋" w:eastAsia="仿宋" w:cs="仿宋"/>
                <w:sz w:val="24"/>
                <w:szCs w:val="24"/>
              </w:rPr>
            </w:pPr>
            <w:r>
              <w:rPr>
                <w:rFonts w:hint="eastAsia" w:ascii="仿宋" w:hAnsi="仿宋" w:eastAsia="仿宋" w:cs="仿宋"/>
                <w:sz w:val="24"/>
                <w:szCs w:val="24"/>
              </w:rPr>
              <w:t>市场综合事务管理工作完成率</w:t>
            </w:r>
          </w:p>
        </w:tc>
        <w:tc>
          <w:tcPr>
            <w:tcW w:w="737" w:type="dxa"/>
            <w:vAlign w:val="center"/>
          </w:tcPr>
          <w:p>
            <w:pPr>
              <w:spacing w:line="300" w:lineRule="exact"/>
              <w:rPr>
                <w:rFonts w:ascii="仿宋" w:hAnsi="仿宋" w:eastAsia="仿宋" w:cs="仿宋"/>
                <w:sz w:val="24"/>
                <w:szCs w:val="24"/>
              </w:rPr>
            </w:pPr>
            <w:r>
              <w:rPr>
                <w:rFonts w:hint="eastAsia" w:ascii="仿宋" w:hAnsi="仿宋" w:eastAsia="仿宋" w:cs="仿宋"/>
                <w:sz w:val="24"/>
                <w:szCs w:val="24"/>
              </w:rPr>
              <w:t>≥85%</w:t>
            </w:r>
          </w:p>
        </w:tc>
        <w:tc>
          <w:tcPr>
            <w:tcW w:w="737" w:type="dxa"/>
            <w:vAlign w:val="center"/>
          </w:tcPr>
          <w:p>
            <w:pPr>
              <w:spacing w:line="300" w:lineRule="exact"/>
              <w:rPr>
                <w:rFonts w:ascii="仿宋" w:hAnsi="仿宋" w:eastAsia="仿宋" w:cs="仿宋"/>
                <w:sz w:val="24"/>
                <w:szCs w:val="24"/>
              </w:rPr>
            </w:pPr>
            <w:r>
              <w:rPr>
                <w:rFonts w:hint="eastAsia" w:ascii="仿宋" w:hAnsi="仿宋" w:eastAsia="仿宋" w:cs="仿宋"/>
                <w:sz w:val="24"/>
                <w:szCs w:val="24"/>
              </w:rPr>
              <w:t>≥70%</w:t>
            </w:r>
          </w:p>
        </w:tc>
        <w:tc>
          <w:tcPr>
            <w:tcW w:w="737" w:type="dxa"/>
            <w:vAlign w:val="center"/>
          </w:tcPr>
          <w:p>
            <w:pPr>
              <w:spacing w:line="300" w:lineRule="exact"/>
              <w:rPr>
                <w:rFonts w:ascii="仿宋" w:hAnsi="仿宋" w:eastAsia="仿宋" w:cs="仿宋"/>
                <w:sz w:val="24"/>
                <w:szCs w:val="24"/>
              </w:rPr>
            </w:pPr>
            <w:r>
              <w:rPr>
                <w:rFonts w:hint="eastAsia" w:ascii="仿宋" w:hAnsi="仿宋" w:eastAsia="仿宋" w:cs="仿宋"/>
                <w:sz w:val="24"/>
                <w:szCs w:val="24"/>
              </w:rPr>
              <w:t>≥60%</w:t>
            </w:r>
          </w:p>
        </w:tc>
        <w:tc>
          <w:tcPr>
            <w:tcW w:w="737" w:type="dxa"/>
            <w:vAlign w:val="center"/>
          </w:tcPr>
          <w:p>
            <w:pPr>
              <w:spacing w:line="300" w:lineRule="exact"/>
              <w:rPr>
                <w:rFonts w:ascii="仿宋" w:hAnsi="仿宋" w:eastAsia="仿宋" w:cs="仿宋"/>
                <w:sz w:val="24"/>
                <w:szCs w:val="24"/>
              </w:rPr>
            </w:pPr>
            <w:r>
              <w:rPr>
                <w:rFonts w:hint="eastAsia" w:ascii="仿宋" w:hAnsi="仿宋" w:eastAsia="仿宋" w:cs="仿宋"/>
                <w:sz w:val="24"/>
                <w:szCs w:val="24"/>
              </w:rPr>
              <w:t>&lt;60%</w:t>
            </w:r>
          </w:p>
        </w:tc>
      </w:tr>
    </w:tbl>
    <w:p>
      <w:pPr>
        <w:pStyle w:val="5"/>
        <w:rPr>
          <w:rFonts w:ascii="仿宋" w:hAnsi="仿宋" w:eastAsia="仿宋" w:cs="仿宋"/>
          <w:sz w:val="30"/>
          <w:szCs w:val="30"/>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4" w:name="_Toc29484630"/>
      <w:r>
        <w:rPr>
          <w:rFonts w:hint="eastAsia" w:ascii="Times New Roman" w:hAnsi="Times New Roman" w:eastAsia="方正仿宋_GBK" w:cs="Times New Roman"/>
          <w:b/>
          <w:sz w:val="32"/>
          <w:szCs w:val="32"/>
        </w:rPr>
        <w:instrText xml:space="preserve">工作保障措施</w:instrText>
      </w:r>
      <w:bookmarkEnd w:id="4"/>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1、加强制度建设。建立健全机关预算绩效管理制度，为全年预算绩效目标的实现奠定制度基础。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5、做好绩效自评。按要求开展部门预算绩效自评和重点项目评价工作，对评价中发现的问题及时整改。</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spacing w:line="300" w:lineRule="exact"/>
        <w:jc w:val="left"/>
      </w:pPr>
    </w:p>
    <w:p>
      <w:pPr>
        <w:ind w:firstLine="640" w:firstLineChars="200"/>
        <w:outlineLvl w:val="0"/>
        <w:rPr>
          <w:rFonts w:ascii="Times New Roman" w:hAnsi="Times New Roman" w:eastAsia="仿宋" w:cs="Times New Roman"/>
          <w:sz w:val="32"/>
          <w:szCs w:val="24"/>
        </w:rPr>
      </w:pPr>
      <w:bookmarkStart w:id="5" w:name="_Toc471398468"/>
      <w:r>
        <w:rPr>
          <w:rFonts w:ascii="Times New Roman" w:hAnsi="Times New Roman" w:eastAsia="仿宋" w:cs="Times New Roman"/>
          <w:sz w:val="32"/>
          <w:szCs w:val="24"/>
        </w:rPr>
        <w:t>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355</w:t>
      </w:r>
      <w:r>
        <w:rPr>
          <w:rFonts w:ascii="Times New Roman" w:hAnsi="Times New Roman" w:eastAsia="仿宋" w:cs="Times New Roman"/>
          <w:sz w:val="32"/>
          <w:szCs w:val="24"/>
        </w:rPr>
        <w:t>万元。具体内容见下表。</w:t>
      </w:r>
      <w:bookmarkEnd w:id="5"/>
    </w:p>
    <w:p>
      <w:pPr>
        <w:ind w:firstLine="640" w:firstLineChars="200"/>
        <w:jc w:val="center"/>
        <w:outlineLvl w:val="0"/>
        <w:rPr>
          <w:rFonts w:ascii="Times New Roman" w:hAnsi="宋体"/>
          <w:sz w:val="32"/>
          <w:szCs w:val="32"/>
        </w:rPr>
      </w:pPr>
      <w:r>
        <w:rPr>
          <w:rFonts w:hint="eastAsia" w:ascii="方正小标宋_GBK" w:eastAsia="方正小标宋_GBK"/>
          <w:sz w:val="32"/>
          <w:szCs w:val="32"/>
        </w:rPr>
        <w:t>部门政府采购预算</w:t>
      </w:r>
      <w:r>
        <w:rPr>
          <w:rFonts w:ascii="方正小标宋_GBK" w:eastAsia="方正小标宋_GBK"/>
          <w:sz w:val="32"/>
          <w:szCs w:val="32"/>
        </w:rPr>
        <w:fldChar w:fldCharType="begin"/>
      </w:r>
      <w:r>
        <w:rPr>
          <w:rFonts w:ascii="方正小标宋_GBK" w:eastAsia="方正小标宋_GBK"/>
          <w:sz w:val="32"/>
          <w:szCs w:val="32"/>
        </w:rPr>
        <w:instrText xml:space="preserve"> </w:instrText>
      </w:r>
      <w:r>
        <w:rPr>
          <w:rFonts w:hint="eastAsia" w:ascii="方正小标宋_GBK" w:eastAsia="方正小标宋_GBK"/>
          <w:sz w:val="32"/>
          <w:szCs w:val="32"/>
        </w:rPr>
        <w:instrText xml:space="preserve">TC </w:instrText>
      </w:r>
      <w:bookmarkStart w:id="6" w:name="_Toc47450352"/>
      <w:r>
        <w:rPr>
          <w:rFonts w:hint="eastAsia" w:ascii="方正小标宋_GBK" w:eastAsia="方正小标宋_GBK"/>
          <w:sz w:val="32"/>
          <w:szCs w:val="32"/>
        </w:rPr>
        <w:instrText xml:space="preserve">部门政府采购预算</w:instrText>
      </w:r>
      <w:bookmarkEnd w:id="6"/>
      <w:r>
        <w:rPr>
          <w:rFonts w:hint="eastAsia" w:ascii="方正小标宋_GBK" w:eastAsia="方正小标宋_GBK"/>
          <w:sz w:val="32"/>
          <w:szCs w:val="32"/>
        </w:rPr>
        <w:instrText xml:space="preserve"> \f A \l 1</w:instrText>
      </w:r>
      <w:r>
        <w:rPr>
          <w:rFonts w:ascii="方正小标宋_GBK" w:eastAsia="方正小标宋_GBK"/>
          <w:sz w:val="32"/>
          <w:szCs w:val="32"/>
        </w:rPr>
        <w:instrText xml:space="preserve"> </w:instrText>
      </w:r>
      <w:r>
        <w:rPr>
          <w:rFonts w:ascii="方正小标宋_GBK" w:eastAsia="方正小标宋_GBK"/>
          <w:sz w:val="32"/>
          <w:szCs w:val="32"/>
        </w:rPr>
        <w:fldChar w:fldCharType="end"/>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hint="eastAsia" w:ascii="方正小标宋_GBK" w:eastAsia="方正小标宋_GBK"/>
                <w:sz w:val="24"/>
              </w:rPr>
              <w:t>322正定县商务局</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0"/>
              <w:rPr>
                <w:rFonts w:ascii="Times New Roman" w:eastAsia="方正仿宋_GBK"/>
                <w:sz w:val="28"/>
              </w:rPr>
            </w:pPr>
          </w:p>
        </w:tc>
        <w:tc>
          <w:tcPr>
            <w:tcW w:w="1531" w:type="dxa"/>
            <w:vMerge w:val="continue"/>
            <w:shd w:val="clear" w:color="auto" w:fill="auto"/>
            <w:vAlign w:val="center"/>
          </w:tcPr>
          <w:p>
            <w:pPr>
              <w:spacing w:line="300" w:lineRule="exact"/>
              <w:jc w:val="left"/>
              <w:outlineLvl w:val="0"/>
              <w:rPr>
                <w:rFonts w:ascii="Times New Roman" w:eastAsia="方正仿宋_GBK"/>
                <w:sz w:val="28"/>
              </w:rPr>
            </w:pPr>
          </w:p>
        </w:tc>
        <w:tc>
          <w:tcPr>
            <w:tcW w:w="709" w:type="dxa"/>
            <w:vMerge w:val="continue"/>
            <w:shd w:val="clear" w:color="auto" w:fill="auto"/>
            <w:vAlign w:val="center"/>
          </w:tcPr>
          <w:p>
            <w:pPr>
              <w:spacing w:line="300" w:lineRule="exact"/>
              <w:jc w:val="left"/>
              <w:outlineLvl w:val="0"/>
              <w:rPr>
                <w:rFonts w:ascii="Times New Roman" w:eastAsia="方正仿宋_GBK"/>
                <w:sz w:val="28"/>
              </w:rPr>
            </w:pPr>
          </w:p>
        </w:tc>
        <w:tc>
          <w:tcPr>
            <w:tcW w:w="907" w:type="dxa"/>
            <w:vMerge w:val="continue"/>
            <w:shd w:val="clear" w:color="auto" w:fill="auto"/>
            <w:vAlign w:val="center"/>
          </w:tcPr>
          <w:p>
            <w:pPr>
              <w:spacing w:line="300" w:lineRule="exact"/>
              <w:jc w:val="left"/>
              <w:outlineLvl w:val="0"/>
              <w:rPr>
                <w:rFonts w:ascii="Times New Roman" w:eastAsia="方正仿宋_GBK"/>
                <w:sz w:val="28"/>
              </w:rPr>
            </w:pPr>
          </w:p>
        </w:tc>
        <w:tc>
          <w:tcPr>
            <w:tcW w:w="907" w:type="dxa"/>
            <w:vMerge w:val="continue"/>
            <w:shd w:val="clear" w:color="auto" w:fill="auto"/>
            <w:vAlign w:val="center"/>
          </w:tcPr>
          <w:p>
            <w:pPr>
              <w:spacing w:line="300" w:lineRule="exact"/>
              <w:jc w:val="left"/>
              <w:outlineLvl w:val="0"/>
              <w:rPr>
                <w:rFonts w:ascii="Times New Roman"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正定县商务局机关小计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355.00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355.00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商务局</w:t>
            </w:r>
            <w:r>
              <w:rPr>
                <w:rFonts w:ascii="方正书宋_GBK" w:eastAsia="方正书宋_GBK"/>
              </w:rPr>
              <w:t>4.26</w:t>
            </w:r>
            <w:r>
              <w:rPr>
                <w:rFonts w:hint="eastAsia" w:ascii="方正书宋_GBK" w:eastAsia="方正书宋_GBK"/>
              </w:rPr>
              <w:t>举办正博会经费县级资金</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互联网信息服务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C0302</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次</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45.00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45.00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商务局</w:t>
            </w:r>
            <w:r>
              <w:rPr>
                <w:rFonts w:ascii="方正书宋_GBK" w:eastAsia="方正书宋_GBK"/>
              </w:rPr>
              <w:t>4.26</w:t>
            </w:r>
            <w:r>
              <w:rPr>
                <w:rFonts w:hint="eastAsia" w:ascii="方正书宋_GBK" w:eastAsia="方正书宋_GBK"/>
              </w:rPr>
              <w:t>举办正博会经费县级资金</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互联网信息服务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C0302</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次</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310.00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310.00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310.00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spacing w:line="300" w:lineRule="exact"/>
        <w:jc w:val="left"/>
        <w:sectPr>
          <w:headerReference r:id="rId5" w:type="first"/>
          <w:footerReference r:id="rId8" w:type="first"/>
          <w:headerReference r:id="rId3" w:type="default"/>
          <w:footerReference r:id="rId6" w:type="default"/>
          <w:headerReference r:id="rId4" w:type="even"/>
          <w:footerReference r:id="rId7" w:type="even"/>
          <w:pgSz w:w="16839" w:h="11907"/>
          <w:pgMar w:top="1304" w:right="1134" w:bottom="1304" w:left="1984" w:header="851" w:footer="992" w:gutter="0"/>
          <w:cols w:space="720" w:num="1"/>
          <w:docGrid w:type="lines" w:linePitch="312" w:charSpace="0"/>
        </w:sectPr>
      </w:pPr>
    </w:p>
    <w:bookmarkEnd w:id="0"/>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outlineLvl w:val="0"/>
        <w:rPr>
          <w:rFonts w:ascii="仿宋" w:hAnsi="仿宋" w:eastAsia="仿宋" w:cs="仿宋"/>
          <w:sz w:val="30"/>
          <w:szCs w:val="30"/>
        </w:rPr>
      </w:pPr>
      <w:r>
        <w:rPr>
          <w:rFonts w:hint="eastAsia" w:ascii="仿宋" w:hAnsi="仿宋" w:eastAsia="仿宋" w:cs="仿宋"/>
          <w:sz w:val="30"/>
          <w:szCs w:val="30"/>
        </w:rPr>
        <w:t>我部门上年末固定资产金额为</w:t>
      </w:r>
      <w:r>
        <w:rPr>
          <w:rFonts w:hint="eastAsia" w:ascii="仿宋" w:hAnsi="仿宋" w:eastAsia="仿宋" w:cs="仿宋"/>
          <w:sz w:val="30"/>
          <w:szCs w:val="30"/>
          <w:lang w:val="en-US" w:eastAsia="zh-CN"/>
        </w:rPr>
        <w:t>1129.55</w:t>
      </w:r>
      <w:r>
        <w:rPr>
          <w:rFonts w:hint="eastAsia" w:ascii="仿宋" w:hAnsi="仿宋" w:eastAsia="仿宋" w:cs="仿宋"/>
          <w:sz w:val="30"/>
          <w:szCs w:val="30"/>
        </w:rPr>
        <w:t>万元。</w:t>
      </w:r>
    </w:p>
    <w:p>
      <w:pPr>
        <w:ind w:firstLine="640"/>
        <w:outlineLvl w:val="0"/>
        <w:rPr>
          <w:rFonts w:ascii="仿宋" w:hAnsi="仿宋" w:eastAsia="仿宋" w:cs="仿宋"/>
          <w:color w:val="000000"/>
          <w:sz w:val="30"/>
          <w:szCs w:val="30"/>
        </w:rPr>
      </w:pPr>
      <w:r>
        <w:rPr>
          <w:rFonts w:hint="eastAsia" w:ascii="仿宋" w:hAnsi="仿宋" w:eastAsia="仿宋" w:cs="仿宋"/>
          <w:sz w:val="30"/>
          <w:szCs w:val="30"/>
        </w:rPr>
        <w:t>2020年我部门未安排固定资产购置</w:t>
      </w:r>
      <w:r>
        <w:rPr>
          <w:rFonts w:hint="eastAsia" w:ascii="仿宋" w:hAnsi="仿宋" w:eastAsia="仿宋" w:cs="仿宋"/>
          <w:color w:val="000000"/>
          <w:sz w:val="30"/>
          <w:szCs w:val="30"/>
        </w:rPr>
        <w:t>预算。</w:t>
      </w:r>
    </w:p>
    <w:p>
      <w:pPr>
        <w:outlineLvl w:val="0"/>
        <w:rPr>
          <w:rFonts w:ascii="仿宋" w:hAnsi="仿宋" w:eastAsia="仿宋" w:cs="仿宋"/>
          <w:color w:val="000000"/>
          <w:sz w:val="32"/>
          <w:szCs w:val="32"/>
        </w:rPr>
      </w:pP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ind w:firstLine="4498" w:firstLineChars="1400"/>
              <w:rPr>
                <w:rFonts w:ascii="宋体" w:hAnsi="宋体" w:cs="宋体"/>
                <w:b/>
                <w:bCs/>
                <w:kern w:val="0"/>
                <w:sz w:val="32"/>
                <w:szCs w:val="32"/>
              </w:rPr>
            </w:pPr>
            <w:r>
              <w:rPr>
                <w:rFonts w:hint="eastAsia" w:ascii="宋体" w:hAnsi="宋体" w:cs="宋体"/>
                <w:b/>
                <w:bCs/>
                <w:kern w:val="0"/>
                <w:sz w:val="32"/>
                <w:szCs w:val="32"/>
              </w:rPr>
              <w:t xml:space="preserve">   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正定县商务局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tcPr>
          <w:p>
            <w:pPr>
              <w:autoSpaceDE w:val="0"/>
              <w:autoSpaceDN w:val="0"/>
              <w:jc w:val="center"/>
              <w:rPr>
                <w:rFonts w:ascii="仿宋" w:hAnsi="仿宋" w:eastAsia="仿宋"/>
                <w:b/>
                <w:sz w:val="32"/>
              </w:rPr>
            </w:pPr>
            <w:r>
              <w:rPr>
                <w:rFonts w:hint="eastAsia" w:ascii="仿宋" w:hAnsi="仿宋" w:eastAsia="仿宋"/>
                <w:b/>
                <w:sz w:val="32"/>
              </w:rPr>
              <w:t>项目</w:t>
            </w:r>
          </w:p>
        </w:tc>
        <w:tc>
          <w:tcPr>
            <w:tcW w:w="3155" w:type="dxa"/>
            <w:tcBorders>
              <w:top w:val="single" w:color="auto" w:sz="4" w:space="0"/>
              <w:left w:val="nil"/>
              <w:bottom w:val="single" w:color="auto" w:sz="4" w:space="0"/>
              <w:right w:val="single" w:color="auto" w:sz="4" w:space="0"/>
            </w:tcBorders>
          </w:tcPr>
          <w:p>
            <w:pPr>
              <w:autoSpaceDE w:val="0"/>
              <w:autoSpaceDN w:val="0"/>
              <w:rPr>
                <w:rFonts w:ascii="仿宋" w:hAnsi="仿宋" w:eastAsia="仿宋"/>
                <w:b/>
                <w:sz w:val="32"/>
              </w:rPr>
            </w:pPr>
            <w:r>
              <w:rPr>
                <w:rFonts w:hint="eastAsia" w:ascii="仿宋" w:hAnsi="仿宋" w:eastAsia="仿宋"/>
                <w:b/>
                <w:sz w:val="32"/>
              </w:rPr>
              <w:t xml:space="preserve">     数 量    </w:t>
            </w:r>
          </w:p>
        </w:tc>
        <w:tc>
          <w:tcPr>
            <w:tcW w:w="5103" w:type="dxa"/>
            <w:tcBorders>
              <w:top w:val="single" w:color="auto" w:sz="4" w:space="0"/>
              <w:left w:val="nil"/>
              <w:bottom w:val="single" w:color="auto" w:sz="4" w:space="0"/>
              <w:right w:val="single" w:color="auto" w:sz="4" w:space="0"/>
            </w:tcBorders>
          </w:tcPr>
          <w:p>
            <w:pPr>
              <w:autoSpaceDE w:val="0"/>
              <w:autoSpaceDN w:val="0"/>
              <w:jc w:val="center"/>
              <w:rPr>
                <w:rFonts w:ascii="仿宋" w:hAnsi="仿宋" w:eastAsia="仿宋"/>
                <w:b/>
                <w:sz w:val="32"/>
              </w:rPr>
            </w:pPr>
            <w:r>
              <w:rPr>
                <w:rFonts w:hint="eastAsia" w:ascii="仿宋" w:hAnsi="仿宋" w:eastAsia="仿宋"/>
                <w:b/>
                <w:sz w:val="3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tcPr>
          <w:p>
            <w:pPr>
              <w:autoSpaceDE w:val="0"/>
              <w:autoSpaceDN w:val="0"/>
              <w:jc w:val="center"/>
              <w:rPr>
                <w:rFonts w:ascii="仿宋" w:hAnsi="仿宋" w:eastAsia="仿宋"/>
                <w:b/>
                <w:sz w:val="30"/>
              </w:rPr>
            </w:pPr>
            <w:r>
              <w:rPr>
                <w:rFonts w:hint="eastAsia" w:ascii="仿宋" w:hAnsi="仿宋" w:eastAsia="仿宋"/>
                <w:b/>
                <w:sz w:val="30"/>
              </w:rPr>
              <w:t>资产总额</w:t>
            </w:r>
          </w:p>
        </w:tc>
        <w:tc>
          <w:tcPr>
            <w:tcW w:w="3155" w:type="dxa"/>
            <w:tcBorders>
              <w:top w:val="nil"/>
              <w:left w:val="nil"/>
              <w:bottom w:val="single" w:color="auto" w:sz="4" w:space="0"/>
              <w:right w:val="single" w:color="auto" w:sz="4" w:space="0"/>
            </w:tcBorders>
          </w:tcPr>
          <w:p>
            <w:pPr>
              <w:autoSpaceDE w:val="0"/>
              <w:autoSpaceDN w:val="0"/>
              <w:jc w:val="center"/>
              <w:rPr>
                <w:rFonts w:ascii="宋体" w:hAnsi="宋体"/>
                <w:sz w:val="30"/>
              </w:rPr>
            </w:pPr>
            <w:r>
              <w:rPr>
                <w:rFonts w:hint="eastAsia" w:ascii="宋体" w:hAnsi="宋体"/>
                <w:sz w:val="30"/>
              </w:rPr>
              <w:t>－－</w:t>
            </w:r>
          </w:p>
        </w:tc>
        <w:tc>
          <w:tcPr>
            <w:tcW w:w="5103" w:type="dxa"/>
            <w:tcBorders>
              <w:top w:val="nil"/>
              <w:left w:val="nil"/>
              <w:bottom w:val="single" w:color="auto" w:sz="4" w:space="0"/>
              <w:right w:val="single" w:color="auto" w:sz="4" w:space="0"/>
            </w:tcBorders>
          </w:tcPr>
          <w:p>
            <w:pPr>
              <w:autoSpaceDE w:val="0"/>
              <w:autoSpaceDN w:val="0"/>
              <w:jc w:val="center"/>
              <w:rPr>
                <w:rFonts w:ascii="方正书宋_GBK" w:hAnsi="方正书宋_GBK" w:eastAsia="方正书宋_GBK"/>
                <w:sz w:val="30"/>
              </w:rPr>
            </w:pPr>
            <w:r>
              <w:rPr>
                <w:rFonts w:hint="eastAsia" w:ascii="方正书宋_GBK" w:hAnsi="方正书宋_GBK" w:eastAsia="方正书宋_GBK"/>
                <w:sz w:val="30"/>
              </w:rPr>
              <w:t>1129.55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tcPr>
          <w:p>
            <w:pPr>
              <w:autoSpaceDE w:val="0"/>
              <w:autoSpaceDN w:val="0"/>
              <w:rPr>
                <w:rFonts w:ascii="仿宋" w:hAnsi="仿宋" w:eastAsia="仿宋"/>
                <w:sz w:val="30"/>
              </w:rPr>
            </w:pPr>
            <w:r>
              <w:rPr>
                <w:rFonts w:hint="eastAsia" w:ascii="仿宋" w:hAnsi="仿宋" w:eastAsia="仿宋"/>
                <w:sz w:val="30"/>
              </w:rPr>
              <w:t>1、房屋（平方米）</w:t>
            </w:r>
          </w:p>
        </w:tc>
        <w:tc>
          <w:tcPr>
            <w:tcW w:w="3155" w:type="dxa"/>
            <w:tcBorders>
              <w:top w:val="nil"/>
              <w:left w:val="nil"/>
              <w:bottom w:val="single" w:color="auto" w:sz="4" w:space="0"/>
              <w:right w:val="single" w:color="auto" w:sz="4" w:space="0"/>
            </w:tcBorders>
          </w:tcPr>
          <w:p>
            <w:pPr>
              <w:autoSpaceDE w:val="0"/>
              <w:autoSpaceDN w:val="0"/>
              <w:jc w:val="right"/>
              <w:rPr>
                <w:rFonts w:ascii="仿宋" w:hAnsi="仿宋" w:eastAsia="仿宋"/>
                <w:sz w:val="30"/>
              </w:rPr>
            </w:pPr>
            <w:r>
              <w:rPr>
                <w:rFonts w:hint="eastAsia" w:ascii="仿宋" w:hAnsi="仿宋" w:eastAsia="仿宋"/>
                <w:sz w:val="30"/>
              </w:rPr>
              <w:t>8322</w:t>
            </w:r>
          </w:p>
        </w:tc>
        <w:tc>
          <w:tcPr>
            <w:tcW w:w="5103" w:type="dxa"/>
            <w:tcBorders>
              <w:top w:val="nil"/>
              <w:left w:val="nil"/>
              <w:bottom w:val="single" w:color="auto" w:sz="4" w:space="0"/>
              <w:right w:val="single" w:color="auto" w:sz="4" w:space="0"/>
            </w:tcBorders>
          </w:tcPr>
          <w:p>
            <w:pPr>
              <w:autoSpaceDE w:val="0"/>
              <w:autoSpaceDN w:val="0"/>
              <w:jc w:val="center"/>
              <w:rPr>
                <w:rFonts w:ascii="仿宋" w:hAnsi="仿宋" w:eastAsia="仿宋"/>
                <w:sz w:val="30"/>
              </w:rPr>
            </w:pPr>
            <w:r>
              <w:rPr>
                <w:rFonts w:hint="eastAsia" w:ascii="仿宋" w:hAnsi="仿宋" w:eastAsia="仿宋"/>
                <w:sz w:val="30"/>
              </w:rPr>
              <w:t>975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tcPr>
          <w:p>
            <w:pPr>
              <w:autoSpaceDE w:val="0"/>
              <w:autoSpaceDN w:val="0"/>
              <w:rPr>
                <w:rFonts w:ascii="仿宋" w:hAnsi="仿宋" w:eastAsia="仿宋"/>
                <w:sz w:val="30"/>
              </w:rPr>
            </w:pPr>
            <w:r>
              <w:rPr>
                <w:rFonts w:hint="eastAsia" w:ascii="仿宋" w:hAnsi="仿宋" w:eastAsia="仿宋"/>
                <w:sz w:val="30"/>
              </w:rPr>
              <w:t>其中：办公用房（平方米）</w:t>
            </w:r>
          </w:p>
        </w:tc>
        <w:tc>
          <w:tcPr>
            <w:tcW w:w="3155" w:type="dxa"/>
            <w:tcBorders>
              <w:top w:val="nil"/>
              <w:left w:val="nil"/>
              <w:bottom w:val="single" w:color="auto" w:sz="4" w:space="0"/>
              <w:right w:val="single" w:color="auto" w:sz="4" w:space="0"/>
            </w:tcBorders>
          </w:tcPr>
          <w:p>
            <w:pPr>
              <w:autoSpaceDE w:val="0"/>
              <w:autoSpaceDN w:val="0"/>
              <w:jc w:val="right"/>
              <w:rPr>
                <w:rFonts w:ascii="仿宋" w:hAnsi="仿宋" w:eastAsia="仿宋"/>
                <w:sz w:val="30"/>
              </w:rPr>
            </w:pPr>
          </w:p>
        </w:tc>
        <w:tc>
          <w:tcPr>
            <w:tcW w:w="5103" w:type="dxa"/>
            <w:tcBorders>
              <w:top w:val="nil"/>
              <w:left w:val="nil"/>
              <w:bottom w:val="single" w:color="auto" w:sz="4" w:space="0"/>
              <w:right w:val="single" w:color="auto" w:sz="4" w:space="0"/>
            </w:tcBorders>
          </w:tcPr>
          <w:p>
            <w:pPr>
              <w:autoSpaceDE w:val="0"/>
              <w:autoSpaceDN w:val="0"/>
              <w:jc w:val="center"/>
              <w:rPr>
                <w:rFonts w:ascii="仿宋" w:hAnsi="仿宋" w:eastAsia="仿宋"/>
                <w:sz w:val="30"/>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tcPr>
          <w:p>
            <w:pPr>
              <w:autoSpaceDE w:val="0"/>
              <w:autoSpaceDN w:val="0"/>
              <w:rPr>
                <w:rFonts w:ascii="仿宋" w:hAnsi="仿宋" w:eastAsia="仿宋"/>
                <w:sz w:val="30"/>
              </w:rPr>
            </w:pPr>
            <w:r>
              <w:rPr>
                <w:rFonts w:hint="eastAsia" w:ascii="仿宋" w:hAnsi="仿宋" w:eastAsia="仿宋"/>
                <w:sz w:val="30"/>
              </w:rPr>
              <w:t>2、车辆（台、辆）</w:t>
            </w:r>
          </w:p>
        </w:tc>
        <w:tc>
          <w:tcPr>
            <w:tcW w:w="3155" w:type="dxa"/>
            <w:tcBorders>
              <w:top w:val="nil"/>
              <w:left w:val="nil"/>
              <w:bottom w:val="single" w:color="auto" w:sz="4" w:space="0"/>
              <w:right w:val="single" w:color="auto" w:sz="4" w:space="0"/>
            </w:tcBorders>
          </w:tcPr>
          <w:p>
            <w:pPr>
              <w:autoSpaceDE w:val="0"/>
              <w:autoSpaceDN w:val="0"/>
              <w:jc w:val="right"/>
              <w:rPr>
                <w:rFonts w:ascii="仿宋" w:hAnsi="仿宋" w:eastAsia="仿宋"/>
                <w:sz w:val="30"/>
              </w:rPr>
            </w:pPr>
            <w:r>
              <w:rPr>
                <w:rFonts w:hint="eastAsia" w:ascii="仿宋" w:hAnsi="仿宋" w:eastAsia="仿宋"/>
                <w:sz w:val="30"/>
              </w:rPr>
              <w:t>2</w:t>
            </w:r>
          </w:p>
        </w:tc>
        <w:tc>
          <w:tcPr>
            <w:tcW w:w="5103" w:type="dxa"/>
            <w:tcBorders>
              <w:top w:val="nil"/>
              <w:left w:val="nil"/>
              <w:bottom w:val="single" w:color="auto" w:sz="4" w:space="0"/>
              <w:right w:val="single" w:color="auto" w:sz="4" w:space="0"/>
            </w:tcBorders>
          </w:tcPr>
          <w:p>
            <w:pPr>
              <w:autoSpaceDE w:val="0"/>
              <w:autoSpaceDN w:val="0"/>
              <w:jc w:val="center"/>
              <w:rPr>
                <w:rFonts w:ascii="仿宋" w:hAnsi="仿宋" w:eastAsia="仿宋"/>
                <w:sz w:val="30"/>
              </w:rPr>
            </w:pPr>
            <w:r>
              <w:rPr>
                <w:rFonts w:hint="eastAsia" w:ascii="仿宋" w:hAnsi="仿宋" w:eastAsia="仿宋"/>
                <w:sz w:val="30"/>
              </w:rPr>
              <w:t>13.58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tcPr>
          <w:p>
            <w:pPr>
              <w:autoSpaceDE w:val="0"/>
              <w:autoSpaceDN w:val="0"/>
              <w:rPr>
                <w:rFonts w:ascii="仿宋" w:hAnsi="仿宋" w:eastAsia="仿宋"/>
                <w:sz w:val="30"/>
              </w:rPr>
            </w:pPr>
            <w:r>
              <w:rPr>
                <w:rFonts w:hint="eastAsia" w:ascii="仿宋" w:hAnsi="仿宋" w:eastAsia="仿宋"/>
                <w:sz w:val="30"/>
              </w:rPr>
              <w:t>3、单价在20万元以上的设备</w:t>
            </w:r>
          </w:p>
        </w:tc>
        <w:tc>
          <w:tcPr>
            <w:tcW w:w="3155" w:type="dxa"/>
            <w:tcBorders>
              <w:top w:val="nil"/>
              <w:left w:val="nil"/>
              <w:bottom w:val="single" w:color="auto" w:sz="4" w:space="0"/>
              <w:right w:val="single" w:color="auto" w:sz="4" w:space="0"/>
            </w:tcBorders>
          </w:tcPr>
          <w:p>
            <w:pPr>
              <w:autoSpaceDE w:val="0"/>
              <w:autoSpaceDN w:val="0"/>
              <w:jc w:val="center"/>
              <w:rPr>
                <w:rFonts w:ascii="宋体" w:hAnsi="宋体"/>
                <w:sz w:val="30"/>
              </w:rPr>
            </w:pPr>
            <w:r>
              <w:rPr>
                <w:rFonts w:hint="eastAsia" w:ascii="宋体" w:hAnsi="宋体"/>
                <w:sz w:val="30"/>
              </w:rPr>
              <w:t>－－</w:t>
            </w:r>
          </w:p>
        </w:tc>
        <w:tc>
          <w:tcPr>
            <w:tcW w:w="5103" w:type="dxa"/>
            <w:tcBorders>
              <w:top w:val="nil"/>
              <w:left w:val="nil"/>
              <w:bottom w:val="single" w:color="auto" w:sz="4" w:space="0"/>
              <w:right w:val="single" w:color="auto" w:sz="4" w:space="0"/>
            </w:tcBorders>
          </w:tcPr>
          <w:p>
            <w:pPr>
              <w:autoSpaceDE w:val="0"/>
              <w:autoSpaceDN w:val="0"/>
              <w:jc w:val="center"/>
              <w:rPr>
                <w:rFonts w:ascii="仿宋" w:hAnsi="仿宋" w:eastAsia="仿宋"/>
                <w:sz w:val="30"/>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tcPr>
          <w:p>
            <w:pPr>
              <w:autoSpaceDE w:val="0"/>
              <w:autoSpaceDN w:val="0"/>
              <w:rPr>
                <w:rFonts w:ascii="仿宋" w:hAnsi="仿宋" w:eastAsia="仿宋"/>
                <w:sz w:val="30"/>
              </w:rPr>
            </w:pPr>
            <w:r>
              <w:rPr>
                <w:rFonts w:hint="eastAsia" w:ascii="仿宋" w:hAnsi="仿宋" w:eastAsia="仿宋"/>
                <w:sz w:val="30"/>
              </w:rPr>
              <w:t>4、其他固定资产</w:t>
            </w:r>
          </w:p>
        </w:tc>
        <w:tc>
          <w:tcPr>
            <w:tcW w:w="3155" w:type="dxa"/>
            <w:tcBorders>
              <w:top w:val="nil"/>
              <w:left w:val="nil"/>
              <w:bottom w:val="single" w:color="auto" w:sz="4" w:space="0"/>
              <w:right w:val="single" w:color="auto" w:sz="4" w:space="0"/>
            </w:tcBorders>
          </w:tcPr>
          <w:p>
            <w:pPr>
              <w:autoSpaceDE w:val="0"/>
              <w:autoSpaceDN w:val="0"/>
              <w:jc w:val="center"/>
              <w:rPr>
                <w:rFonts w:ascii="宋体" w:hAnsi="宋体"/>
                <w:sz w:val="30"/>
              </w:rPr>
            </w:pPr>
            <w:r>
              <w:rPr>
                <w:rFonts w:hint="eastAsia" w:ascii="宋体" w:hAnsi="宋体"/>
                <w:sz w:val="30"/>
              </w:rPr>
              <w:t>－－</w:t>
            </w:r>
          </w:p>
        </w:tc>
        <w:tc>
          <w:tcPr>
            <w:tcW w:w="5103" w:type="dxa"/>
            <w:tcBorders>
              <w:top w:val="nil"/>
              <w:left w:val="nil"/>
              <w:bottom w:val="single" w:color="auto" w:sz="4" w:space="0"/>
              <w:right w:val="single" w:color="auto" w:sz="4" w:space="0"/>
            </w:tcBorders>
          </w:tcPr>
          <w:p>
            <w:pPr>
              <w:autoSpaceDE w:val="0"/>
              <w:autoSpaceDN w:val="0"/>
              <w:jc w:val="center"/>
              <w:rPr>
                <w:rFonts w:ascii="仿宋" w:hAnsi="仿宋" w:eastAsia="仿宋"/>
                <w:sz w:val="30"/>
              </w:rPr>
            </w:pPr>
            <w:r>
              <w:rPr>
                <w:rFonts w:hint="eastAsia" w:ascii="仿宋" w:hAnsi="仿宋" w:eastAsia="仿宋"/>
                <w:sz w:val="30"/>
              </w:rPr>
              <w:t>140.97</w:t>
            </w:r>
          </w:p>
        </w:tc>
      </w:tr>
    </w:tbl>
    <w:p>
      <w:pPr>
        <w:spacing w:line="300" w:lineRule="exact"/>
        <w:jc w:val="left"/>
        <w:outlineLvl w:val="0"/>
        <w:rPr>
          <w:rFonts w:ascii="Times New Roman" w:eastAsia="方正仿宋_GBK"/>
          <w:sz w:val="28"/>
        </w:rPr>
        <w:sectPr>
          <w:pgSz w:w="16839" w:h="11907" w:orient="landscape"/>
          <w:pgMar w:top="1361" w:right="1020" w:bottom="1361" w:left="1020" w:header="851" w:footer="992" w:gutter="0"/>
          <w:cols w:space="425" w:num="1"/>
          <w:docGrid w:type="lines" w:linePitch="435" w:charSpace="0"/>
        </w:sectPr>
      </w:pPr>
    </w:p>
    <w:p>
      <w:pPr>
        <w:autoSpaceDE w:val="0"/>
        <w:autoSpaceDN w:val="0"/>
        <w:adjustRightInd w:val="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9"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swiss"/>
    <w:pitch w:val="default"/>
    <w:sig w:usb0="800002BF" w:usb1="38CF7CFA" w:usb2="00000016" w:usb3="00000000" w:csb0="00040001" w:csb1="00000000"/>
  </w:font>
  <w:font w:name="方正书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6</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14</w:t>
    </w:r>
    <w:r>
      <w:fldChar w:fldCharType="end"/>
    </w:r>
  </w:p>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diZjhjOGRlMWU3ZWEzM2QzMDU3N2RjYTBjMTgzN2EifQ=="/>
  </w:docVars>
  <w:rsids>
    <w:rsidRoot w:val="00EE71BA"/>
    <w:rsid w:val="00090E71"/>
    <w:rsid w:val="00094EAD"/>
    <w:rsid w:val="000C7140"/>
    <w:rsid w:val="000D318D"/>
    <w:rsid w:val="00136589"/>
    <w:rsid w:val="0024515D"/>
    <w:rsid w:val="002C40D9"/>
    <w:rsid w:val="002F3A5E"/>
    <w:rsid w:val="00323B29"/>
    <w:rsid w:val="00356096"/>
    <w:rsid w:val="00365522"/>
    <w:rsid w:val="003802D3"/>
    <w:rsid w:val="0039059E"/>
    <w:rsid w:val="003E70BB"/>
    <w:rsid w:val="004E0194"/>
    <w:rsid w:val="00567140"/>
    <w:rsid w:val="00583762"/>
    <w:rsid w:val="00593D07"/>
    <w:rsid w:val="005A537D"/>
    <w:rsid w:val="005B205B"/>
    <w:rsid w:val="005E719A"/>
    <w:rsid w:val="005F4FDF"/>
    <w:rsid w:val="0067237C"/>
    <w:rsid w:val="00682992"/>
    <w:rsid w:val="00690359"/>
    <w:rsid w:val="00700F0C"/>
    <w:rsid w:val="007364BB"/>
    <w:rsid w:val="00775F12"/>
    <w:rsid w:val="00790C11"/>
    <w:rsid w:val="007C7B2C"/>
    <w:rsid w:val="007E742D"/>
    <w:rsid w:val="007F0341"/>
    <w:rsid w:val="00831888"/>
    <w:rsid w:val="009377F4"/>
    <w:rsid w:val="00957AD6"/>
    <w:rsid w:val="009A521C"/>
    <w:rsid w:val="009C2DC8"/>
    <w:rsid w:val="00A01D01"/>
    <w:rsid w:val="00A30D1B"/>
    <w:rsid w:val="00A74A0F"/>
    <w:rsid w:val="00AA3572"/>
    <w:rsid w:val="00AA4ADF"/>
    <w:rsid w:val="00B53A1B"/>
    <w:rsid w:val="00C56666"/>
    <w:rsid w:val="00D607DA"/>
    <w:rsid w:val="00DC6EE5"/>
    <w:rsid w:val="00DE2F8F"/>
    <w:rsid w:val="00E06162"/>
    <w:rsid w:val="00EB78C9"/>
    <w:rsid w:val="00EE71BA"/>
    <w:rsid w:val="00F36283"/>
    <w:rsid w:val="00F57645"/>
    <w:rsid w:val="00F867E4"/>
    <w:rsid w:val="00F9722E"/>
    <w:rsid w:val="00FC7DE6"/>
    <w:rsid w:val="00FF610F"/>
    <w:rsid w:val="056D17C0"/>
    <w:rsid w:val="163244B7"/>
    <w:rsid w:val="2D381256"/>
    <w:rsid w:val="2DBE0D16"/>
    <w:rsid w:val="48284964"/>
    <w:rsid w:val="4E6163C1"/>
    <w:rsid w:val="544C5573"/>
    <w:rsid w:val="61816C80"/>
    <w:rsid w:val="6C4C237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99"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autoRedefine/>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autoRedefine/>
    <w:qFormat/>
    <w:uiPriority w:val="99"/>
    <w:pPr>
      <w:snapToGrid w:val="0"/>
      <w:jc w:val="left"/>
    </w:pPr>
    <w:rPr>
      <w:sz w:val="18"/>
      <w:szCs w:val="18"/>
    </w:rPr>
  </w:style>
  <w:style w:type="paragraph" w:styleId="6">
    <w:name w:val="toc 2"/>
    <w:basedOn w:val="1"/>
    <w:next w:val="1"/>
    <w:autoRedefine/>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autoRedefine/>
    <w:qFormat/>
    <w:uiPriority w:val="0"/>
    <w:rPr>
      <w:rFonts w:ascii="Times New Roman" w:hAnsi="Times New Roman" w:cs="Times New Roman"/>
      <w:szCs w:val="24"/>
    </w:rPr>
  </w:style>
  <w:style w:type="character" w:customStyle="1" w:styleId="11">
    <w:name w:val="页码1"/>
    <w:autoRedefine/>
    <w:qFormat/>
    <w:uiPriority w:val="0"/>
  </w:style>
  <w:style w:type="character" w:customStyle="1" w:styleId="12">
    <w:name w:val="页脚 Char"/>
    <w:link w:val="2"/>
    <w:autoRedefine/>
    <w:semiHidden/>
    <w:qFormat/>
    <w:uiPriority w:val="0"/>
    <w:rPr>
      <w:rFonts w:ascii="Times New Roman" w:hAnsi="Times New Roman" w:eastAsia="宋体" w:cs="Times New Roman"/>
      <w:sz w:val="18"/>
      <w:szCs w:val="18"/>
    </w:rPr>
  </w:style>
  <w:style w:type="character" w:customStyle="1" w:styleId="13">
    <w:name w:val="页眉 Char"/>
    <w:link w:val="3"/>
    <w:semiHidden/>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C45947-5717-4DA0-B727-93B65C502AD9}">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14</Pages>
  <Words>920</Words>
  <Characters>5250</Characters>
  <Lines>43</Lines>
  <Paragraphs>12</Paragraphs>
  <TotalTime>1</TotalTime>
  <ScaleCrop>false</ScaleCrop>
  <LinksUpToDate>false</LinksUpToDate>
  <CharactersWithSpaces>6158</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sky</cp:lastModifiedBy>
  <cp:lastPrinted>2020-01-10T15:53:00Z</cp:lastPrinted>
  <dcterms:modified xsi:type="dcterms:W3CDTF">2024-01-10T07:10:07Z</dcterms:modified>
  <dc:title>o</dc:title>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55F7FBE1C82E47D7B2DFD6FB59DAF3F9</vt:lpwstr>
  </property>
</Properties>
</file>