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河北正定高新技术产业开发区管理委员会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bookmarkStart w:id="11" w:name="_GoBack"/>
      <w:r>
        <w:rPr>
          <w:rFonts w:hint="eastAsia" w:ascii="Times New Roman" w:hAnsi="Times New Roman" w:eastAsia="仿宋" w:cs="Times New Roman"/>
          <w:sz w:val="32"/>
          <w:szCs w:val="32"/>
        </w:rPr>
        <w:t>预算法</w:t>
      </w:r>
      <w:bookmarkEnd w:id="11"/>
      <w:r>
        <w:rPr>
          <w:rFonts w:hint="eastAsia" w:ascii="Times New Roman" w:hAnsi="Times New Roman" w:eastAsia="仿宋" w:cs="Times New Roman"/>
          <w:sz w:val="32"/>
          <w:szCs w:val="32"/>
        </w:rPr>
        <w:t>》、《地方预决算公开操作规程》和《河北省省级预算公开办法》规定，现将河北正定高新技术产业开发区管理委员会2020年部门预算公开如下：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仿宋"/>
          <w:b/>
          <w:sz w:val="32"/>
          <w:szCs w:val="32"/>
        </w:rPr>
      </w:pPr>
      <w:r>
        <w:rPr>
          <w:rFonts w:hint="eastAsia" w:ascii="仿宋" w:hAnsi="仿宋" w:eastAsia="仿宋" w:cs="仿宋"/>
          <w:b/>
          <w:sz w:val="32"/>
          <w:szCs w:val="32"/>
        </w:rPr>
        <w:t>部门职责：</w:t>
      </w:r>
    </w:p>
    <w:p>
      <w:pPr>
        <w:ind w:firstLine="800" w:firstLineChars="250"/>
        <w:rPr>
          <w:rFonts w:ascii="Times New Roman" w:hAnsi="Times New Roman" w:eastAsia="仿宋" w:cs="Times New Roman"/>
          <w:sz w:val="32"/>
          <w:szCs w:val="32"/>
        </w:rPr>
      </w:pPr>
      <w:r>
        <w:rPr>
          <w:rFonts w:hint="eastAsia" w:ascii="Times New Roman" w:hAnsi="Times New Roman" w:eastAsia="仿宋" w:cs="Times New Roman"/>
          <w:sz w:val="32"/>
          <w:szCs w:val="32"/>
        </w:rPr>
        <w:t>1、党政综合事务：负责开发区党工委和管委会机关内部日常事务的组织协调；负责公文处理、档案管理、机要保密、行政接待、后勤保障、政务督察、考核和对外联系等工作；负责思想政治、宣传和精神文明建设的组织和指导；负责组织协调和管理党建、组织人事、工会、妇联、共青团等工作。</w:t>
      </w:r>
    </w:p>
    <w:p>
      <w:pPr>
        <w:ind w:firstLine="800" w:firstLineChars="250"/>
        <w:rPr>
          <w:rFonts w:ascii="Times New Roman" w:hAnsi="Times New Roman" w:eastAsia="仿宋" w:cs="Times New Roman"/>
          <w:sz w:val="32"/>
          <w:szCs w:val="32"/>
        </w:rPr>
      </w:pPr>
      <w:r>
        <w:rPr>
          <w:rFonts w:hint="eastAsia" w:ascii="Times New Roman" w:hAnsi="Times New Roman" w:eastAsia="仿宋" w:cs="Times New Roman"/>
          <w:sz w:val="32"/>
          <w:szCs w:val="32"/>
        </w:rPr>
        <w:t>2、商贸物流管理：负责落实物流行业相关政策和从业人员培训，拟定物流行业发展规划，优化行业资源配置，推动物流技术现代化应用。</w:t>
      </w:r>
    </w:p>
    <w:p>
      <w:pPr>
        <w:ind w:firstLine="800" w:firstLineChars="250"/>
        <w:rPr>
          <w:rFonts w:ascii="Times New Roman" w:hAnsi="Times New Roman" w:eastAsia="仿宋" w:cs="Times New Roman"/>
          <w:sz w:val="32"/>
          <w:szCs w:val="32"/>
        </w:rPr>
      </w:pPr>
      <w:r>
        <w:rPr>
          <w:rFonts w:hint="eastAsia" w:ascii="Times New Roman" w:hAnsi="Times New Roman" w:eastAsia="仿宋" w:cs="Times New Roman"/>
          <w:sz w:val="32"/>
          <w:szCs w:val="32"/>
        </w:rPr>
        <w:t>3、基础设施建设：负责编制高新区总规，配合相关部门做好详规和专项规划的编制、报批、实施、管理工作，负责开发区内基础设施建设工程的管理、实施，负责开发区建设工程招投标的管理工作，对园区入驻企业环保工作的日常检查及督导等。</w:t>
      </w:r>
    </w:p>
    <w:p>
      <w:pPr>
        <w:ind w:left="336" w:leftChars="160" w:firstLine="480" w:firstLineChars="150"/>
        <w:rPr>
          <w:rFonts w:ascii="Times New Roman" w:hAnsi="Times New Roman" w:eastAsia="仿宋" w:cs="Times New Roman"/>
          <w:sz w:val="32"/>
          <w:szCs w:val="32"/>
        </w:rPr>
      </w:pPr>
      <w:r>
        <w:rPr>
          <w:rFonts w:hint="eastAsia" w:ascii="Times New Roman" w:hAnsi="Times New Roman" w:eastAsia="仿宋" w:cs="Times New Roman"/>
          <w:sz w:val="32"/>
          <w:szCs w:val="32"/>
        </w:rPr>
        <w:t>4、经济发展与科技服务：负责园区经济发展和科技服务工作，做好项目服务、安全生产、信访稳定工作，综合数据的统计上报工作。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河北正定高新技术产业开发区管理委员会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正处级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我部门机关</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反映本部门当年全部收入。2020年预算收入16775.41万元，其中：一般公共预算收入2145.41万元，基金预算收入14630.00万元，财政专户核拨收入0万元，其他来源收入0万元。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我部门年度部门预算中支出预算的总体情况。2020年部门支出预算为16775.41万元，其中基本支出145.41万元，包括人员经费124.75万元和日常公用经费20.66万元；项目支出16630.00万元，主要为正定高新技术产业开发区再生水厂工程（</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年新增专项债券）3900万元，园区道路路灯安装国旗项目9.57万元，项目集中开工仪式现场平整等工作费用2.37万元，北区控规和专项规划编制费尾款89.5万元，高新区扶持资金2000万元，高新区扶持资金</w:t>
      </w:r>
      <w:r>
        <w:rPr>
          <w:rFonts w:ascii="Times New Roman" w:hAnsi="Times New Roman" w:eastAsia="仿宋" w:cs="Times New Roman"/>
          <w:sz w:val="32"/>
          <w:szCs w:val="32"/>
        </w:rPr>
        <w:t>9809.98万元</w:t>
      </w:r>
      <w:r>
        <w:rPr>
          <w:rFonts w:hint="eastAsia" w:ascii="Times New Roman" w:hAnsi="Times New Roman" w:eastAsia="仿宋" w:cs="Times New Roman"/>
          <w:sz w:val="32"/>
          <w:szCs w:val="32"/>
        </w:rPr>
        <w:t>，污水处理厂运行费730万元，赵普大街与守洲路占地补偿资金88.58万元；其他支出0万元。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16775.41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较2019年增加16463.59万元，其中：基本支出增加6.49万元，主要是人员增加，相应增加人员经费和日常公用经费；项目支出增加16457.1.00万元，主要是增加公共设施、城市建设及专项债券资金；其他支出无变化。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2020年，我部门机关运行经费共计安排13.08万元，主要用于保证机关正常运转的办公及印刷费、邮电费、差旅费、福利费、办公设备购置费、取暖费、公务车运行维护费等支出。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1.14万元，其中：因公出国（境）费0.00万元；公务用车购置及运维费1.14万元（其中：公务用车购置费0万元，公务用车运行维护费1.14万元)；公务接待费0.00万元。“三公”经费比上年减少0.29万元,主要是控制公务用车费用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560"/>
        <w:rPr>
          <w:rFonts w:ascii="仿宋_GB2312" w:hAnsi="仿宋_GB2312" w:eastAsia="仿宋_GB2312" w:cs="仿宋_GB2312"/>
          <w:b/>
          <w:bCs/>
          <w:color w:val="FF00FF"/>
          <w:sz w:val="30"/>
          <w:szCs w:val="30"/>
        </w:rPr>
      </w:pPr>
      <w:bookmarkStart w:id="0" w:name="_Toc471398463"/>
      <w:r>
        <w:rPr>
          <w:rFonts w:hint="eastAsia" w:ascii="Times New Roman" w:hAnsi="Times New Roman" w:eastAsia="方正仿宋_GBK" w:cs="Times New Roman"/>
          <w:b/>
          <w:sz w:val="32"/>
          <w:szCs w:val="32"/>
        </w:rPr>
        <w:t>第一部分  部门整体绩效目标</w:t>
      </w:r>
      <w:bookmarkStart w:id="1" w:name="_Toc480377512"/>
    </w:p>
    <w:p>
      <w:pPr>
        <w:ind w:firstLine="643" w:firstLineChars="200"/>
        <w:outlineLvl w:val="1"/>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 </w:instrText>
      </w:r>
      <w:r>
        <w:rPr>
          <w:rFonts w:hint="eastAsia" w:ascii="Times New Roman" w:hAnsi="Times New Roman" w:eastAsia="方正仿宋_GBK" w:cs="Times New Roman"/>
          <w:b/>
          <w:sz w:val="32"/>
          <w:szCs w:val="32"/>
        </w:rPr>
        <w:instrText xml:space="preserve">TC </w:instrText>
      </w:r>
      <w:bookmarkStart w:id="2" w:name="_Toc48575415"/>
      <w:r>
        <w:rPr>
          <w:rFonts w:hint="eastAsia" w:ascii="Times New Roman" w:hAnsi="Times New Roman" w:eastAsia="方正仿宋_GBK" w:cs="Times New Roman"/>
          <w:b/>
          <w:sz w:val="32"/>
          <w:szCs w:val="32"/>
        </w:rPr>
        <w:instrText xml:space="preserve">总体绩效目标</w:instrText>
      </w:r>
      <w:bookmarkEnd w:id="2"/>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instrText xml:space="preserve"> </w:instrText>
      </w:r>
      <w:r>
        <w:rPr>
          <w:rFonts w:ascii="Times New Roman" w:hAnsi="Times New Roman" w:eastAsia="方正仿宋_GBK" w:cs="Times New Roman"/>
          <w:b/>
          <w:sz w:val="32"/>
          <w:szCs w:val="32"/>
        </w:rPr>
        <w:fldChar w:fldCharType="end"/>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做好机关内部日常事务的组织协调和后勤保障工作，做好宣传和精神文明建设工作，做好党建、组织人事、工会和信访工作。</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做好园区各项规划的编制、实施和监督管理工作；做好园区内基础设施建设、土地管理、工程招投标管理；建设工程的管理等各项工作。</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做好园区内拟定招商引资工作，组织开展招商重点工作，负责引进资金、技术和人才，做好招商项目前期的预审、入驻协议的初审；做好项目的洽谈、签约工作；积极开展网上招商、委托招商、专业招商等形式。</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、制定各项财政规章制度，编制预决算，做好园区建设资金筹集，做好国有资产的管理和监督工作，保障人员工资及正常工作资金运转。</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ascii="Times New Roman" w:hAnsi="Times New Roman" w:eastAsia="仿宋" w:cs="Times New Roman"/>
          <w:sz w:val="32"/>
          <w:szCs w:val="32"/>
        </w:rPr>
        <w:t>、贯彻落实物流行业的政策宣传和人员培训；负责对入驻的物流企业进行监督和管理，制定物流园区的发展规划；争取行业资金，监督规范整顿商贸物流产业的经营秩序</w:t>
      </w:r>
    </w:p>
    <w:p>
      <w:pPr>
        <w:ind w:firstLine="643" w:firstLineChars="200"/>
        <w:outlineLvl w:val="1"/>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 </w:instrText>
      </w:r>
      <w:r>
        <w:rPr>
          <w:rFonts w:hint="eastAsia" w:ascii="Times New Roman" w:hAnsi="Times New Roman" w:eastAsia="方正仿宋_GBK" w:cs="Times New Roman"/>
          <w:b/>
          <w:sz w:val="32"/>
          <w:szCs w:val="32"/>
        </w:rPr>
        <w:instrText xml:space="preserve">TC </w:instrText>
      </w:r>
      <w:bookmarkStart w:id="3" w:name="_Toc48575416"/>
      <w:r>
        <w:rPr>
          <w:rFonts w:hint="eastAsia" w:ascii="Times New Roman" w:hAnsi="Times New Roman" w:eastAsia="方正仿宋_GBK" w:cs="Times New Roman"/>
          <w:b/>
          <w:sz w:val="32"/>
          <w:szCs w:val="32"/>
        </w:rPr>
        <w:instrText xml:space="preserve">分项绩效目标</w:instrText>
      </w:r>
      <w:bookmarkEnd w:id="3"/>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instrText xml:space="preserve"> </w:instrText>
      </w:r>
      <w:r>
        <w:rPr>
          <w:rFonts w:ascii="Times New Roman" w:hAnsi="Times New Roman" w:eastAsia="方正仿宋_GBK" w:cs="Times New Roman"/>
          <w:b/>
          <w:sz w:val="32"/>
          <w:szCs w:val="32"/>
        </w:rPr>
        <w:fldChar w:fldCharType="end"/>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党政综合事务：成立党建组宣和群团组织；加强机关事务管理，建立档案室，规范化管理，保障机关正常运行；每年至少召开一次园区推介会。</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商贸物流：完成物流行业规划，促进行业合理发展；召开4次专家座谈会，加强交流，促进共同进步。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基础设施建设：配合相关部门做好土地组卷工作，督导被占地村按合同及时兑现道路占地租地款：尽快完成园区总规和北区的详规；做好需要建设的道路、水电气及通讯设施的建设招投标，督促工期，按时完工，做好工程的审计和决算，并按合同兑现工程款。</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经济与科技：按时上报园区统计报表，做园区宣传专题片，提升园区形象；做好入驻园区的科技扶持工作；至少开展两次安全生产培训。</w:t>
      </w:r>
    </w:p>
    <w:p>
      <w:pPr>
        <w:ind w:firstLine="643" w:firstLineChars="200"/>
        <w:outlineLvl w:val="1"/>
        <w:rPr>
          <w:rFonts w:ascii="Times New Roman" w:hAnsi="Times New Roman" w:eastAsia="仿宋" w:cs="Times New Roman"/>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仿宋" w:cs="Times New Roman"/>
          <w:sz w:val="32"/>
          <w:szCs w:val="32"/>
        </w:rPr>
        <w:fldChar w:fldCharType="begin"/>
      </w:r>
      <w:r>
        <w:rPr>
          <w:rFonts w:ascii="Times New Roman" w:hAnsi="Times New Roman" w:eastAsia="仿宋" w:cs="Times New Roman"/>
          <w:sz w:val="32"/>
          <w:szCs w:val="32"/>
        </w:rPr>
        <w:instrText xml:space="preserve"> </w:instrText>
      </w:r>
      <w:r>
        <w:rPr>
          <w:rFonts w:hint="eastAsia" w:ascii="Times New Roman" w:hAnsi="Times New Roman" w:eastAsia="仿宋" w:cs="Times New Roman"/>
          <w:sz w:val="32"/>
          <w:szCs w:val="32"/>
        </w:rPr>
        <w:instrText xml:space="preserve">TC </w:instrText>
      </w:r>
      <w:bookmarkStart w:id="4" w:name="_Toc48575417"/>
      <w:r>
        <w:rPr>
          <w:rFonts w:hint="eastAsia" w:ascii="Times New Roman" w:hAnsi="Times New Roman" w:eastAsia="仿宋" w:cs="Times New Roman"/>
          <w:sz w:val="32"/>
          <w:szCs w:val="32"/>
        </w:rPr>
        <w:instrText xml:space="preserve">工作保障措施</w:instrText>
      </w:r>
      <w:bookmarkEnd w:id="4"/>
      <w:r>
        <w:rPr>
          <w:rFonts w:hint="eastAsia" w:ascii="Times New Roman" w:hAnsi="Times New Roman" w:eastAsia="仿宋" w:cs="Times New Roman"/>
          <w:sz w:val="32"/>
          <w:szCs w:val="32"/>
        </w:rPr>
        <w:instrText xml:space="preserve"> \f A \l 1</w:instrText>
      </w:r>
      <w:r>
        <w:rPr>
          <w:rFonts w:ascii="Times New Roman" w:hAnsi="Times New Roman" w:eastAsia="仿宋" w:cs="Times New Roman"/>
          <w:sz w:val="32"/>
          <w:szCs w:val="32"/>
        </w:rPr>
        <w:instrText xml:space="preserve"> </w:instrText>
      </w:r>
      <w:r>
        <w:rPr>
          <w:rFonts w:ascii="Times New Roman" w:hAnsi="Times New Roman" w:eastAsia="仿宋" w:cs="Times New Roman"/>
          <w:sz w:val="32"/>
          <w:szCs w:val="32"/>
        </w:rPr>
        <w:fldChar w:fldCharType="end"/>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党政综合事务：由党政综合办公室负责组织协调党建群团组织，及机关日常事务协调处理，做好档案管理加强机关事务管理，保障机关事务正常运行；同时由专人负责园区形象推介和宣传。使园区内机关事务以及党建群团工作有序发展。</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商贸物流：完成物流行业规划，促进行业合理发展；每季度召开一次专家座谈会、培训会，定期组织物流企业交流会，加强交流，使园区内物流行业合理竞争，促进整体发展。</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基础设施建设：根据批准的总体规划，配合有关部门组好各项规划编审和实施，做好基础设施的建设运行和维护，由专业的基建人员督导工程的招投标，工程质量监督，工程预决算的管理，以及工程款的监督支付。使园区内基础设施建设近期大道九通一平，为园区企业入驻奠定基础。</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ascii="Times New Roman" w:hAnsi="Times New Roman" w:eastAsia="仿宋" w:cs="Times New Roman"/>
          <w:sz w:val="32"/>
          <w:szCs w:val="32"/>
        </w:rPr>
        <w:t>经济与科技：安排专业统计人员按时上报园区统计报表，制作一部园区宣传专题片；协调科技部门做好入驻园区的科技扶持工作；每季度召开一次安全生产培训。促进园区内经济发展。</w:t>
      </w:r>
    </w:p>
    <w:bookmarkEnd w:id="1"/>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1、正定高新技术产业开发区再生水厂工程（2020年新增专项债券）</w:t>
      </w:r>
    </w:p>
    <w:tbl>
      <w:tblPr>
        <w:tblStyle w:val="7"/>
        <w:tblW w:w="94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0"/>
        <w:gridCol w:w="6609"/>
        <w:gridCol w:w="20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7" w:hRule="atLeast"/>
          <w:jc w:val="center"/>
        </w:trPr>
        <w:tc>
          <w:tcPr>
            <w:tcW w:w="7389"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2035"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4" w:hRule="atLeast"/>
          <w:jc w:val="center"/>
        </w:trPr>
        <w:tc>
          <w:tcPr>
            <w:tcW w:w="780" w:type="dxa"/>
            <w:tcBorders>
              <w:bottom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644" w:type="dxa"/>
            <w:gridSpan w:val="2"/>
            <w:tcBorders>
              <w:bottom w:val="single" w:color="000000" w:sz="6" w:space="0"/>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1.建成后，出水标准由一级A提升至地表水准四类标准，满足环保要求</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2.经处理的水用于企业和市政浇洒，再生水回用，既节省了宝贵的水资源，也有经济</w:t>
                  </w:r>
                </w:p>
                <w:p>
                  <w:pPr>
                    <w:widowControl/>
                    <w:spacing w:line="300" w:lineRule="exact"/>
                    <w:jc w:val="left"/>
                    <w:rPr>
                      <w:rFonts w:ascii="方正书宋_GBK" w:eastAsia="方正书宋_GBK"/>
                    </w:rPr>
                  </w:pPr>
                  <w:r>
                    <w:rPr>
                      <w:rFonts w:hint="eastAsia" w:ascii="方正书宋_GBK" w:eastAsia="方正书宋_GBK"/>
                    </w:rPr>
                    <w:t>效益和社会效益。</w:t>
                  </w:r>
                </w:p>
              </w:tc>
            </w:tr>
          </w:tbl>
          <w:p>
            <w:pPr>
              <w:spacing w:line="300" w:lineRule="exact"/>
              <w:jc w:val="left"/>
              <w:rPr>
                <w:rFonts w:ascii="方正书宋_GBK" w:eastAsia="方正书宋_GBK"/>
              </w:rPr>
            </w:pPr>
          </w:p>
        </w:tc>
      </w:tr>
    </w:tbl>
    <w:tbl>
      <w:tblPr>
        <w:tblStyle w:val="7"/>
        <w:tblpPr w:leftFromText="180" w:rightFromText="180" w:vertAnchor="text" w:horzAnchor="page" w:tblpX="1382" w:tblpY="28"/>
        <w:tblOverlap w:val="never"/>
        <w:tblW w:w="941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rPr>
                <w:rFonts w:ascii="方正书宋_GBK" w:eastAsia="方正书宋_GBK"/>
              </w:rPr>
            </w:pPr>
            <w:r>
              <w:rPr>
                <w:rFonts w:hint="eastAsia" w:ascii="方正书宋_GBK" w:eastAsia="方正书宋_GBK"/>
              </w:rPr>
              <w:t>出水达标率</w:t>
            </w:r>
          </w:p>
        </w:tc>
        <w:tc>
          <w:tcPr>
            <w:tcW w:w="2891" w:type="dxa"/>
            <w:vAlign w:val="center"/>
          </w:tcPr>
          <w:p>
            <w:pPr>
              <w:spacing w:line="300" w:lineRule="exact"/>
              <w:rPr>
                <w:rFonts w:ascii="方正书宋_GBK" w:eastAsia="方正书宋_GBK"/>
              </w:rPr>
            </w:pPr>
            <w:r>
              <w:rPr>
                <w:rFonts w:hint="eastAsia" w:ascii="方正书宋_GBK" w:eastAsia="方正书宋_GBK"/>
              </w:rPr>
              <w:t>出水标准由一级A升至地表水准四类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环保标准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widowControl/>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widowControl/>
              <w:spacing w:line="300" w:lineRule="exact"/>
              <w:jc w:val="left"/>
              <w:rPr>
                <w:rFonts w:ascii="方正书宋_GBK" w:eastAsia="方正书宋_GBK"/>
              </w:rPr>
            </w:pPr>
            <w:r>
              <w:rPr>
                <w:rFonts w:hint="eastAsia" w:ascii="方正书宋_GBK" w:eastAsia="方正书宋_GBK"/>
              </w:rPr>
              <w:t>长期使用性</w:t>
            </w:r>
          </w:p>
        </w:tc>
        <w:tc>
          <w:tcPr>
            <w:tcW w:w="2891" w:type="dxa"/>
            <w:vAlign w:val="center"/>
          </w:tcPr>
          <w:p>
            <w:pPr>
              <w:widowControl/>
              <w:spacing w:line="300" w:lineRule="exact"/>
              <w:jc w:val="left"/>
              <w:rPr>
                <w:rFonts w:ascii="方正书宋_GBK" w:eastAsia="方正书宋_GBK"/>
              </w:rPr>
            </w:pPr>
            <w:r>
              <w:rPr>
                <w:rFonts w:hint="eastAsia" w:ascii="方正书宋_GBK" w:eastAsia="方正书宋_GBK"/>
              </w:rPr>
              <w:t>满足环保要求，用于园区道路、绿化浇洒及养护，节省水资源，最大效益利用水资源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widowControl/>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widowControl/>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widowControl/>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ind w:firstLine="420" w:firstLineChars="200"/>
        <w:jc w:val="center"/>
        <w:rPr>
          <w:rFonts w:ascii="Times New Roman" w:hAnsi="宋体"/>
        </w:rPr>
      </w:pPr>
    </w:p>
    <w:p>
      <w:pPr>
        <w:spacing w:line="300" w:lineRule="exact"/>
        <w:jc w:val="left"/>
      </w:pPr>
    </w:p>
    <w:p>
      <w:pPr>
        <w:jc w:val="left"/>
        <w:outlineLvl w:val="1"/>
        <w:rPr>
          <w:rFonts w:ascii="Times New Roman" w:hAnsi="宋体"/>
          <w:b/>
          <w:sz w:val="28"/>
        </w:rPr>
      </w:pPr>
      <w:r>
        <w:rPr>
          <w:rFonts w:hint="eastAsia" w:ascii="方正仿宋_GBK" w:eastAsia="方正仿宋_GBK"/>
          <w:b/>
          <w:sz w:val="28"/>
        </w:rPr>
        <w:t xml:space="preserve">  2、园区道路路灯安装国旗项目</w:t>
      </w:r>
      <w:r>
        <w:fldChar w:fldCharType="begin"/>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1.在园区主要道路路灯灯杆两侧安装国旗</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2.营造国庆氛围，增强爱国感</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rPr>
                <w:rFonts w:ascii="方正书宋_GBK" w:eastAsia="方正书宋_GBK"/>
              </w:rPr>
            </w:pPr>
            <w:r>
              <w:rPr>
                <w:rFonts w:hint="eastAsia" w:ascii="方正书宋_GBK" w:eastAsia="方正书宋_GBK"/>
              </w:rPr>
              <w:t>开展宣传方式的品种或数量（次或种）</w:t>
            </w:r>
          </w:p>
        </w:tc>
        <w:tc>
          <w:tcPr>
            <w:tcW w:w="2891" w:type="dxa"/>
            <w:vAlign w:val="center"/>
          </w:tcPr>
          <w:p>
            <w:pPr>
              <w:spacing w:line="300" w:lineRule="exact"/>
              <w:rPr>
                <w:rFonts w:ascii="方正书宋_GBK" w:eastAsia="方正书宋_GBK"/>
              </w:rPr>
            </w:pPr>
            <w:r>
              <w:rPr>
                <w:rFonts w:hint="eastAsia" w:ascii="方正书宋_GBK" w:eastAsia="方正书宋_GBK"/>
              </w:rPr>
              <w:t>反映开展对外宣传形式的多样性</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标准</w:t>
            </w:r>
            <w:r>
              <w:rPr>
                <w:rFonts w:ascii="方正书宋_GBK" w:eastAsia="方正书宋_GBK"/>
              </w:rPr>
              <w:t>国旗尺寸</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rPr>
                <w:rFonts w:ascii="方正书宋_GBK" w:eastAsia="方正书宋_GBK"/>
              </w:rPr>
            </w:pPr>
            <w:r>
              <w:rPr>
                <w:rFonts w:hint="eastAsia" w:ascii="方正书宋_GBK" w:eastAsia="方正书宋_GBK"/>
              </w:rPr>
              <w:t>按照要求和时间完成主要道路路灯两侧国旗安装任务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rPr>
                <w:rFonts w:ascii="方正书宋_GBK" w:eastAsia="方正书宋_GBK"/>
              </w:rPr>
            </w:pPr>
            <w:r>
              <w:rPr>
                <w:rFonts w:hint="eastAsia" w:ascii="方正书宋_GBK" w:eastAsia="方正书宋_GBK"/>
              </w:rPr>
              <w:t>爱国主义教育满意度</w:t>
            </w:r>
          </w:p>
        </w:tc>
        <w:tc>
          <w:tcPr>
            <w:tcW w:w="2891" w:type="dxa"/>
            <w:vAlign w:val="center"/>
          </w:tcPr>
          <w:p>
            <w:pPr>
              <w:spacing w:line="300" w:lineRule="exact"/>
              <w:rPr>
                <w:rFonts w:ascii="方正书宋_GBK" w:eastAsia="方正书宋_GBK"/>
              </w:rPr>
            </w:pPr>
            <w:r>
              <w:rPr>
                <w:rFonts w:hint="eastAsia" w:ascii="方正书宋_GBK" w:eastAsia="方正书宋_GBK"/>
              </w:rPr>
              <w:t>园区范围内项目单位及附近群众满意度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群众对安装国旗效果及形式的整体满意度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3、项目集中开工仪式现场平整等工作费用</w:t>
      </w:r>
      <w:r>
        <w:fldChar w:fldCharType="begin"/>
      </w:r>
      <w:r>
        <w:rPr>
          <w:rFonts w:hint="eastAsia" w:ascii="方正仿宋_GBK" w:eastAsia="方正仿宋_GBK"/>
          <w:b/>
          <w:sz w:val="28"/>
        </w:rPr>
        <w:instrText xml:space="preserve">TC </w:instrText>
      </w:r>
      <w:bookmarkStart w:id="6" w:name="_Toc29484638"/>
      <w:r>
        <w:rPr>
          <w:rFonts w:hint="eastAsia" w:ascii="方正仿宋_GBK" w:eastAsia="方正仿宋_GBK"/>
          <w:b/>
          <w:sz w:val="28"/>
        </w:rPr>
        <w:instrText xml:space="preserve">7、人大代表培训费绩效目标表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、场地平整，全部苫盖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、保证该活动顺利进行</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rPr>
                <w:rFonts w:ascii="方正书宋_GBK" w:eastAsia="方正书宋_GBK"/>
              </w:rPr>
            </w:pPr>
            <w:r>
              <w:rPr>
                <w:rFonts w:hint="eastAsia" w:ascii="方正书宋_GBK" w:eastAsia="方正书宋_GBK"/>
              </w:rPr>
              <w:t>按照要求和计划任务的项目在整个项目中的比例（百分比）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rPr>
                <w:rFonts w:ascii="方正书宋_GBK" w:eastAsia="方正书宋_GBK"/>
              </w:rPr>
            </w:pPr>
            <w:r>
              <w:rPr>
                <w:rFonts w:hint="eastAsia" w:ascii="方正书宋_GBK" w:eastAsia="方正书宋_GBK"/>
              </w:rPr>
              <w:t>服务群体满意度</w:t>
            </w:r>
          </w:p>
        </w:tc>
        <w:tc>
          <w:tcPr>
            <w:tcW w:w="2891" w:type="dxa"/>
            <w:vAlign w:val="center"/>
          </w:tcPr>
          <w:p>
            <w:pPr>
              <w:spacing w:line="300" w:lineRule="exact"/>
              <w:rPr>
                <w:rFonts w:ascii="方正书宋_GBK" w:eastAsia="方正书宋_GBK"/>
              </w:rPr>
            </w:pPr>
            <w:r>
              <w:rPr>
                <w:rFonts w:hint="eastAsia" w:ascii="方正书宋_GBK" w:eastAsia="方正书宋_GBK"/>
              </w:rPr>
              <w:t>服务群体调查中，满意和较满意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outlineLvl w:val="1"/>
        <w:rPr>
          <w:rFonts w:ascii="Times New Roman" w:hAnsi="宋体"/>
          <w:b/>
          <w:sz w:val="28"/>
        </w:rPr>
      </w:pPr>
      <w:r>
        <w:rPr>
          <w:rFonts w:hint="eastAsia" w:ascii="方正仿宋_GBK" w:eastAsia="方正仿宋_GBK"/>
          <w:b/>
          <w:sz w:val="28"/>
        </w:rPr>
        <w:t>4、北区控规和专项规划编制费尾款</w:t>
      </w:r>
      <w:r>
        <w:fldChar w:fldCharType="begin"/>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1.进一步完善正定高新区规划体系</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2.满足新入驻项目审批需要</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rPr>
                <w:rFonts w:ascii="方正书宋_GBK" w:eastAsia="方正书宋_GBK"/>
              </w:rPr>
            </w:pPr>
            <w:r>
              <w:rPr>
                <w:rFonts w:hint="eastAsia" w:ascii="方正书宋_GBK" w:eastAsia="方正书宋_GBK"/>
              </w:rPr>
              <w:t>拨付率</w:t>
            </w:r>
          </w:p>
        </w:tc>
        <w:tc>
          <w:tcPr>
            <w:tcW w:w="2891" w:type="dxa"/>
            <w:vAlign w:val="center"/>
          </w:tcPr>
          <w:p>
            <w:pPr>
              <w:spacing w:line="300" w:lineRule="exact"/>
              <w:rPr>
                <w:rFonts w:ascii="方正书宋_GBK" w:eastAsia="方正书宋_GBK"/>
              </w:rPr>
            </w:pPr>
            <w:r>
              <w:rPr>
                <w:rFonts w:hint="eastAsia" w:ascii="方正书宋_GBK" w:eastAsia="方正书宋_GBK"/>
              </w:rPr>
              <w:t>实际拨付金额与应拨付金额的比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rPr>
                <w:rFonts w:ascii="方正书宋_GBK" w:eastAsia="方正书宋_GBK"/>
              </w:rPr>
            </w:pPr>
            <w:r>
              <w:rPr>
                <w:rFonts w:hint="eastAsia" w:ascii="方正书宋_GBK" w:eastAsia="方正书宋_GBK"/>
              </w:rPr>
              <w:t>长期使用性</w:t>
            </w:r>
          </w:p>
        </w:tc>
        <w:tc>
          <w:tcPr>
            <w:tcW w:w="2891" w:type="dxa"/>
            <w:vAlign w:val="center"/>
          </w:tcPr>
          <w:p>
            <w:pPr>
              <w:spacing w:line="300" w:lineRule="exact"/>
              <w:rPr>
                <w:rFonts w:ascii="方正书宋_GBK" w:eastAsia="方正书宋_GBK"/>
              </w:rPr>
            </w:pPr>
            <w:r>
              <w:rPr>
                <w:rFonts w:hint="eastAsia" w:ascii="方正书宋_GBK" w:eastAsia="方正书宋_GBK"/>
              </w:rPr>
              <w:t>能够长期较好地指导园区基础设施建设，服务项目入驻。</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w:t>
            </w:r>
            <w:r>
              <w:rPr>
                <w:rFonts w:ascii="方正书宋_GBK" w:eastAsia="方正书宋_GBK"/>
              </w:rPr>
              <w:t>5</w:t>
            </w:r>
            <w:r>
              <w:rPr>
                <w:rFonts w:hint="eastAsia" w:ascii="方正书宋_GBK" w:eastAsia="方正书宋_GBK"/>
              </w:rPr>
              <w:t>%</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ind w:firstLine="420" w:firstLineChars="200"/>
        <w:jc w:val="left"/>
        <w:sectPr>
          <w:footerReference r:id="rId3" w:type="default"/>
          <w:type w:val="continuous"/>
          <w:pgSz w:w="11907" w:h="16840"/>
          <w:pgMar w:top="1440" w:right="1418" w:bottom="1440" w:left="1418"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5、高新区扶持资金</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1.完善园区基础设施及配套建设，实现入驻企业九通一平，优化营商环境。</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2.及时拨付园区建设费用，增加园区诚信度和美誉度，建设高标准园区。</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 xml:space="preserve">工程验收合格率（%） </w:t>
            </w:r>
          </w:p>
        </w:tc>
        <w:tc>
          <w:tcPr>
            <w:tcW w:w="2891" w:type="dxa"/>
            <w:vAlign w:val="center"/>
          </w:tcPr>
          <w:p>
            <w:pPr>
              <w:spacing w:line="300" w:lineRule="exact"/>
              <w:rPr>
                <w:rFonts w:ascii="方正书宋_GBK" w:eastAsia="方正书宋_GBK"/>
              </w:rPr>
            </w:pPr>
            <w:r>
              <w:rPr>
                <w:rFonts w:hint="eastAsia" w:ascii="方正书宋_GBK" w:eastAsia="方正书宋_GBK"/>
              </w:rPr>
              <w:t>通过验收的工程量占建设、改造、修缮总量的比率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rPr>
                <w:rFonts w:ascii="方正书宋_GBK" w:eastAsia="方正书宋_GBK"/>
              </w:rPr>
            </w:pPr>
            <w:r>
              <w:rPr>
                <w:rFonts w:hint="eastAsia" w:ascii="方正书宋_GBK" w:eastAsia="方正书宋_GBK"/>
              </w:rPr>
              <w:t>综合利用率（%）</w:t>
            </w:r>
          </w:p>
        </w:tc>
        <w:tc>
          <w:tcPr>
            <w:tcW w:w="2891" w:type="dxa"/>
            <w:vAlign w:val="center"/>
          </w:tcPr>
          <w:p>
            <w:pPr>
              <w:spacing w:line="300" w:lineRule="exact"/>
              <w:rPr>
                <w:rFonts w:ascii="方正书宋_GBK" w:eastAsia="方正书宋_GBK"/>
              </w:rPr>
            </w:pPr>
            <w:r>
              <w:rPr>
                <w:rFonts w:hint="eastAsia" w:ascii="方正书宋_GBK" w:eastAsia="方正书宋_GBK"/>
              </w:rPr>
              <w:t>基础设施建成后的利用、使用情况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入驻企业及附近群众对园区营商环境及硬件设施的满意度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ind w:firstLine="562" w:firstLineChars="200"/>
        <w:jc w:val="left"/>
        <w:outlineLvl w:val="1"/>
        <w:rPr>
          <w:rFonts w:ascii="Times New Roman" w:hAnsi="宋体"/>
          <w:b/>
          <w:sz w:val="28"/>
        </w:rPr>
      </w:pPr>
      <w:r>
        <w:rPr>
          <w:rFonts w:hint="eastAsia" w:ascii="方正仿宋_GBK" w:eastAsia="方正仿宋_GBK"/>
          <w:b/>
          <w:sz w:val="28"/>
        </w:rPr>
        <w:t>6、高新区扶持资金</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1.完善园区基础设施及配套建设，实现入驻企业九通一平，优化营商环境。</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2.及时拨付园区建设费用，增加园区诚信度和美誉度，建设高标准园区。</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 xml:space="preserve">工程验收合格率（%） </w:t>
            </w:r>
          </w:p>
        </w:tc>
        <w:tc>
          <w:tcPr>
            <w:tcW w:w="2891" w:type="dxa"/>
            <w:vAlign w:val="center"/>
          </w:tcPr>
          <w:p>
            <w:pPr>
              <w:spacing w:line="300" w:lineRule="exact"/>
              <w:rPr>
                <w:rFonts w:ascii="方正书宋_GBK" w:eastAsia="方正书宋_GBK"/>
              </w:rPr>
            </w:pPr>
            <w:r>
              <w:rPr>
                <w:rFonts w:hint="eastAsia" w:ascii="方正书宋_GBK" w:eastAsia="方正书宋_GBK"/>
              </w:rPr>
              <w:t>通过验收的工程量占建设、改造、修缮总量的比率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rPr>
                <w:rFonts w:ascii="方正书宋_GBK" w:eastAsia="方正书宋_GBK"/>
              </w:rPr>
            </w:pPr>
            <w:r>
              <w:rPr>
                <w:rFonts w:hint="eastAsia" w:ascii="方正书宋_GBK" w:eastAsia="方正书宋_GBK"/>
              </w:rPr>
              <w:t>综合利用率（%）</w:t>
            </w:r>
          </w:p>
        </w:tc>
        <w:tc>
          <w:tcPr>
            <w:tcW w:w="2891" w:type="dxa"/>
            <w:vAlign w:val="center"/>
          </w:tcPr>
          <w:p>
            <w:pPr>
              <w:spacing w:line="300" w:lineRule="exact"/>
              <w:rPr>
                <w:rFonts w:ascii="方正书宋_GBK" w:eastAsia="方正书宋_GBK"/>
              </w:rPr>
            </w:pPr>
            <w:r>
              <w:rPr>
                <w:rFonts w:hint="eastAsia" w:ascii="方正书宋_GBK" w:eastAsia="方正书宋_GBK"/>
              </w:rPr>
              <w:t>基础设施建成后的利用、使用情况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入驻企业及附近群众对园区营商环境及硬件设施的满意度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ind w:firstLine="562" w:firstLineChars="200"/>
        <w:jc w:val="left"/>
        <w:outlineLvl w:val="1"/>
        <w:rPr>
          <w:rFonts w:ascii="Times New Roman" w:hAnsi="宋体"/>
          <w:b/>
          <w:sz w:val="28"/>
        </w:rPr>
      </w:pPr>
      <w:r>
        <w:rPr>
          <w:rFonts w:hint="eastAsia" w:ascii="方正仿宋_GBK" w:eastAsia="方正仿宋_GBK"/>
          <w:b/>
          <w:sz w:val="28"/>
        </w:rPr>
        <w:t>7、污水处理厂运行费</w:t>
      </w:r>
      <w:r>
        <w:fldChar w:fldCharType="begin"/>
      </w:r>
      <w:r>
        <w:rPr>
          <w:rFonts w:hint="eastAsia" w:ascii="方正仿宋_GBK" w:eastAsia="方正仿宋_GBK"/>
          <w:b/>
          <w:sz w:val="28"/>
        </w:rPr>
        <w:instrText xml:space="preserve">TC 1、河北省人民代表大会会议费绩效目标表 \f B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1.保证污水处理厂正常连续运行。</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2.确保园区企业污水正常排放、保证正常生产。</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日常巡查维修及时率</w:t>
            </w:r>
          </w:p>
        </w:tc>
        <w:tc>
          <w:tcPr>
            <w:tcW w:w="2891" w:type="dxa"/>
            <w:vAlign w:val="center"/>
          </w:tcPr>
          <w:p>
            <w:pPr>
              <w:spacing w:line="300" w:lineRule="exact"/>
              <w:rPr>
                <w:rFonts w:ascii="方正书宋_GBK" w:eastAsia="方正书宋_GBK"/>
              </w:rPr>
            </w:pPr>
            <w:r>
              <w:rPr>
                <w:rFonts w:hint="eastAsia" w:ascii="方正书宋_GBK" w:eastAsia="方正书宋_GBK"/>
              </w:rPr>
              <w:t>有记录的巡查维修到场次数占规定次数的比率</w:t>
            </w:r>
          </w:p>
        </w:tc>
        <w:tc>
          <w:tcPr>
            <w:tcW w:w="1276" w:type="dxa"/>
            <w:vAlign w:val="center"/>
          </w:tcPr>
          <w:p>
            <w:pPr>
              <w:jc w:val="center"/>
              <w:rPr>
                <w:rFonts w:ascii="宋体" w:hAnsi="宋体" w:cs="宋体"/>
                <w:sz w:val="18"/>
                <w:szCs w:val="18"/>
              </w:rPr>
            </w:pPr>
            <w:r>
              <w:rPr>
                <w:rFonts w:hint="eastAsia"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rPr>
                <w:rFonts w:ascii="方正书宋_GBK" w:eastAsia="方正书宋_GBK"/>
              </w:rPr>
            </w:pPr>
            <w:r>
              <w:rPr>
                <w:rFonts w:hint="eastAsia" w:ascii="方正书宋_GBK" w:eastAsia="方正书宋_GBK"/>
              </w:rPr>
              <w:t>综合利用率</w:t>
            </w:r>
          </w:p>
        </w:tc>
        <w:tc>
          <w:tcPr>
            <w:tcW w:w="2891" w:type="dxa"/>
            <w:vAlign w:val="center"/>
          </w:tcPr>
          <w:p>
            <w:pPr>
              <w:spacing w:line="300" w:lineRule="exact"/>
              <w:rPr>
                <w:rFonts w:ascii="方正书宋_GBK" w:eastAsia="方正书宋_GBK"/>
              </w:rPr>
            </w:pPr>
            <w:r>
              <w:rPr>
                <w:rFonts w:hint="eastAsia" w:ascii="方正书宋_GBK" w:eastAsia="方正书宋_GBK"/>
              </w:rPr>
              <w:t>基础设施建成后的利用、使用情况与设计标准的比率</w:t>
            </w:r>
          </w:p>
        </w:tc>
        <w:tc>
          <w:tcPr>
            <w:tcW w:w="1276" w:type="dxa"/>
            <w:vAlign w:val="center"/>
          </w:tcPr>
          <w:p>
            <w:pPr>
              <w:jc w:val="center"/>
              <w:rPr>
                <w:rFonts w:ascii="宋体" w:hAnsi="宋体" w:cs="宋体"/>
                <w:sz w:val="18"/>
                <w:szCs w:val="18"/>
              </w:rPr>
            </w:pPr>
            <w:r>
              <w:rPr>
                <w:rFonts w:hint="eastAsia"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rPr>
                <w:rFonts w:ascii="方正书宋_GBK" w:eastAsia="方正书宋_GBK"/>
              </w:rPr>
            </w:pPr>
            <w:r>
              <w:rPr>
                <w:rFonts w:hint="eastAsia" w:ascii="方正书宋_GBK" w:eastAsia="方正书宋_GBK"/>
              </w:rPr>
              <w:t>园区内企业对所提供服务的满意程度</w:t>
            </w:r>
          </w:p>
        </w:tc>
        <w:tc>
          <w:tcPr>
            <w:tcW w:w="1276" w:type="dxa"/>
            <w:vAlign w:val="center"/>
          </w:tcPr>
          <w:p>
            <w:pPr>
              <w:jc w:val="center"/>
              <w:rPr>
                <w:rFonts w:ascii="宋体" w:hAnsi="宋体" w:cs="宋体"/>
                <w:sz w:val="18"/>
                <w:szCs w:val="18"/>
              </w:rPr>
            </w:pPr>
            <w:r>
              <w:rPr>
                <w:rFonts w:hint="eastAsia"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8、赵普大街与守洲路占地补偿资金</w:t>
      </w:r>
      <w:r>
        <w:fldChar w:fldCharType="begin"/>
      </w:r>
      <w:r>
        <w:rPr>
          <w:rFonts w:hint="eastAsia" w:ascii="方正仿宋_GBK" w:eastAsia="方正仿宋_GBK"/>
          <w:b/>
          <w:sz w:val="28"/>
        </w:rPr>
        <w:instrText xml:space="preserve">TC </w:instrText>
      </w:r>
      <w:bookmarkStart w:id="8" w:name="_Toc29484631"/>
      <w:r>
        <w:rPr>
          <w:rFonts w:hint="eastAsia" w:ascii="方正仿宋_GBK" w:eastAsia="方正仿宋_GBK"/>
          <w:b/>
          <w:sz w:val="28"/>
        </w:rPr>
        <w:instrText xml:space="preserve">1、河北省人民代表大会会议费绩效目标表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wordWrap w:val="0"/>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2"/>
            <w:tcBorders>
              <w:bottom w:val="nil"/>
            </w:tcBorders>
            <w:vAlign w:val="center"/>
          </w:tcPr>
          <w:tbl>
            <w:tblPr>
              <w:tblStyle w:val="7"/>
              <w:tblW w:w="11540" w:type="dxa"/>
              <w:tblInd w:w="0" w:type="dxa"/>
              <w:tblLayout w:type="fixed"/>
              <w:tblCellMar>
                <w:top w:w="0" w:type="dxa"/>
                <w:left w:w="108" w:type="dxa"/>
                <w:bottom w:w="0" w:type="dxa"/>
                <w:right w:w="108" w:type="dxa"/>
              </w:tblCellMar>
            </w:tblPr>
            <w:tblGrid>
              <w:gridCol w:w="11540"/>
            </w:tblGrid>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1.将项目占地青苗补偿、附着物补偿等占地征迁费用补偿到位</w:t>
                  </w:r>
                </w:p>
              </w:tc>
            </w:tr>
            <w:tr>
              <w:tblPrEx>
                <w:tblCellMar>
                  <w:top w:w="0" w:type="dxa"/>
                  <w:left w:w="108" w:type="dxa"/>
                  <w:bottom w:w="0" w:type="dxa"/>
                  <w:right w:w="108" w:type="dxa"/>
                </w:tblCellMar>
              </w:tblPrEx>
              <w:trPr>
                <w:trHeight w:val="300" w:hRule="atLeast"/>
              </w:trPr>
              <w:tc>
                <w:tcPr>
                  <w:tcW w:w="11540" w:type="dxa"/>
                  <w:tcBorders>
                    <w:top w:val="nil"/>
                    <w:left w:val="nil"/>
                    <w:bottom w:val="nil"/>
                    <w:right w:val="nil"/>
                  </w:tcBorders>
                  <w:shd w:val="clear" w:color="auto" w:fill="auto"/>
                  <w:vAlign w:val="center"/>
                </w:tcPr>
                <w:p>
                  <w:pPr>
                    <w:widowControl/>
                    <w:spacing w:line="300" w:lineRule="exact"/>
                    <w:jc w:val="left"/>
                    <w:rPr>
                      <w:rFonts w:ascii="方正书宋_GBK" w:eastAsia="方正书宋_GBK"/>
                    </w:rPr>
                  </w:pPr>
                  <w:r>
                    <w:rPr>
                      <w:rFonts w:hint="eastAsia" w:ascii="方正书宋_GBK" w:eastAsia="方正书宋_GBK"/>
                    </w:rPr>
                    <w:t>2.保障道路施工顺利进场</w:t>
                  </w:r>
                </w:p>
              </w:tc>
            </w:tr>
          </w:tbl>
          <w:p>
            <w:pPr>
              <w:spacing w:line="300" w:lineRule="exact"/>
              <w:jc w:val="left"/>
              <w:rPr>
                <w:rFonts w:ascii="方正书宋_GBK" w:eastAsia="方正书宋_GBK"/>
              </w:rPr>
            </w:pP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rPr>
                <w:rFonts w:ascii="方正书宋_GBK" w:eastAsia="方正书宋_GBK"/>
              </w:rPr>
            </w:pPr>
            <w:r>
              <w:rPr>
                <w:rFonts w:hint="eastAsia" w:ascii="方正书宋_GBK" w:eastAsia="方正书宋_GBK"/>
              </w:rPr>
              <w:t>征迁费用补偿到位率</w:t>
            </w:r>
          </w:p>
        </w:tc>
        <w:tc>
          <w:tcPr>
            <w:tcW w:w="2891" w:type="dxa"/>
            <w:vAlign w:val="center"/>
          </w:tcPr>
          <w:p>
            <w:pPr>
              <w:spacing w:line="300" w:lineRule="exact"/>
              <w:rPr>
                <w:rFonts w:ascii="方正书宋_GBK" w:eastAsia="方正书宋_GBK"/>
              </w:rPr>
            </w:pPr>
            <w:r>
              <w:rPr>
                <w:rFonts w:hint="eastAsia" w:ascii="方正书宋_GBK" w:eastAsia="方正书宋_GBK"/>
              </w:rPr>
              <w:t>征迁费用补偿到占地户</w:t>
            </w:r>
          </w:p>
        </w:tc>
        <w:tc>
          <w:tcPr>
            <w:tcW w:w="1276" w:type="dxa"/>
            <w:vAlign w:val="center"/>
          </w:tcPr>
          <w:p>
            <w:pPr>
              <w:jc w:val="center"/>
              <w:rPr>
                <w:rFonts w:ascii="宋体" w:hAnsi="宋体" w:cs="宋体"/>
                <w:sz w:val="18"/>
                <w:szCs w:val="18"/>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rPr>
                <w:rFonts w:ascii="方正书宋_GBK" w:eastAsia="方正书宋_GBK"/>
              </w:rPr>
            </w:pPr>
            <w:r>
              <w:rPr>
                <w:rFonts w:hint="eastAsia" w:ascii="方正书宋_GBK" w:eastAsia="方正书宋_GBK"/>
              </w:rPr>
              <w:t>征迁补偿达标率</w:t>
            </w:r>
          </w:p>
        </w:tc>
        <w:tc>
          <w:tcPr>
            <w:tcW w:w="2891" w:type="dxa"/>
            <w:vAlign w:val="center"/>
          </w:tcPr>
          <w:p>
            <w:pPr>
              <w:spacing w:line="300" w:lineRule="exact"/>
              <w:rPr>
                <w:rFonts w:ascii="方正书宋_GBK" w:eastAsia="方正书宋_GBK"/>
              </w:rPr>
            </w:pPr>
            <w:r>
              <w:rPr>
                <w:rFonts w:hint="eastAsia" w:ascii="方正书宋_GBK" w:eastAsia="方正书宋_GBK"/>
              </w:rPr>
              <w:t>按照政府及财政补偿标准进行拨付</w:t>
            </w:r>
          </w:p>
        </w:tc>
        <w:tc>
          <w:tcPr>
            <w:tcW w:w="1276" w:type="dxa"/>
          </w:tcPr>
          <w:p>
            <w:pPr>
              <w:jc w:val="center"/>
            </w:pPr>
            <w:r>
              <w:rPr>
                <w:rFonts w:hint="eastAsia" w:ascii="方正书宋_GBK" w:eastAsia="方正书宋_GBK"/>
              </w:rPr>
              <w:t>≥100%</w:t>
            </w:r>
          </w:p>
        </w:tc>
        <w:tc>
          <w:tcPr>
            <w:tcW w:w="1701" w:type="dxa"/>
          </w:tcPr>
          <w:p>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rPr>
                <w:rFonts w:ascii="方正书宋_GBK" w:eastAsia="方正书宋_GBK"/>
              </w:rPr>
            </w:pPr>
            <w:r>
              <w:rPr>
                <w:rFonts w:hint="eastAsia" w:ascii="方正书宋_GBK" w:eastAsia="方正书宋_GBK"/>
              </w:rPr>
              <w:t>收益群体满意度</w:t>
            </w:r>
          </w:p>
        </w:tc>
        <w:tc>
          <w:tcPr>
            <w:tcW w:w="2891" w:type="dxa"/>
            <w:vAlign w:val="center"/>
          </w:tcPr>
          <w:p>
            <w:pPr>
              <w:spacing w:line="300" w:lineRule="exact"/>
              <w:rPr>
                <w:rFonts w:ascii="方正书宋_GBK" w:eastAsia="方正书宋_GBK"/>
              </w:rPr>
            </w:pPr>
            <w:r>
              <w:rPr>
                <w:rFonts w:hint="eastAsia" w:ascii="方正书宋_GBK" w:eastAsia="方正书宋_GBK"/>
              </w:rPr>
              <w:t>收益群体调查中，满意和较满意</w:t>
            </w:r>
          </w:p>
        </w:tc>
        <w:tc>
          <w:tcPr>
            <w:tcW w:w="1276" w:type="dxa"/>
            <w:vAlign w:val="center"/>
          </w:tcPr>
          <w:p>
            <w:pPr>
              <w:jc w:val="center"/>
              <w:rPr>
                <w:rFonts w:ascii="宋体" w:hAnsi="宋体" w:cs="宋体"/>
                <w:sz w:val="18"/>
                <w:szCs w:val="18"/>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rPr>
                <w:rFonts w:ascii="方正书宋_GBK" w:eastAsia="方正书宋_GBK"/>
              </w:rPr>
            </w:pPr>
            <w:r>
              <w:rPr>
                <w:rFonts w:hint="eastAsia" w:ascii="方正书宋_GBK" w:eastAsia="方正书宋_GBK"/>
              </w:rPr>
              <w:t>群众对经济发展及出行便利的整体满意度</w:t>
            </w:r>
          </w:p>
        </w:tc>
        <w:tc>
          <w:tcPr>
            <w:tcW w:w="1276" w:type="dxa"/>
            <w:vAlign w:val="center"/>
          </w:tcPr>
          <w:p>
            <w:pPr>
              <w:jc w:val="center"/>
              <w:rPr>
                <w:rFonts w:ascii="宋体" w:hAnsi="宋体" w:cs="宋体"/>
                <w:sz w:val="18"/>
                <w:szCs w:val="18"/>
              </w:rPr>
            </w:pPr>
            <w:r>
              <w:rPr>
                <w:rFonts w:hint="eastAsia" w:ascii="方正书宋_GBK" w:eastAsia="方正书宋_GBK"/>
              </w:rPr>
              <w:t>≥85%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bl>
    <w:p>
      <w:pPr>
        <w:spacing w:line="300" w:lineRule="exact"/>
        <w:ind w:firstLine="420" w:firstLineChars="200"/>
        <w:jc w:val="left"/>
        <w:sectPr>
          <w:pgSz w:w="11907" w:h="16839" w:orient="landscape"/>
          <w:pgMar w:top="1440" w:right="1800" w:bottom="1440" w:left="1800"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0.0</w:t>
      </w:r>
      <w:r>
        <w:rPr>
          <w:rFonts w:ascii="Times New Roman" w:hAnsi="Times New Roman" w:eastAsia="仿宋" w:cs="Times New Roman"/>
          <w:sz w:val="32"/>
          <w:szCs w:val="24"/>
        </w:rPr>
        <w:t>万元。具体内容见下表。</w:t>
      </w:r>
      <w:bookmarkEnd w:id="9"/>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10" w:name="_Toc28848395"/>
      <w:r>
        <w:rPr>
          <w:rFonts w:hint="eastAsia" w:ascii="方正小标宋_GBK" w:eastAsia="方正小标宋_GBK"/>
          <w:sz w:val="32"/>
        </w:rPr>
        <w:instrText xml:space="preserve">部门政府采购预算</w:instrText>
      </w:r>
      <w:bookmarkEnd w:id="10"/>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526河北正定高新技术产业开发区管理委员会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无政府采购预算，空表列示。</w:t>
      </w: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我部门2019</w:t>
      </w:r>
      <w:r>
        <w:rPr>
          <w:rFonts w:ascii="Times New Roman" w:hAnsi="Times New Roman" w:eastAsia="仿宋" w:cs="Times New Roman"/>
          <w:color w:val="000000"/>
          <w:sz w:val="32"/>
          <w:szCs w:val="32"/>
        </w:rPr>
        <w:t>年末固</w:t>
      </w:r>
      <w:r>
        <w:rPr>
          <w:rFonts w:hint="eastAsia" w:ascii="Times New Roman" w:hAnsi="Times New Roman" w:eastAsia="仿宋" w:cs="Times New Roman"/>
          <w:color w:val="000000"/>
          <w:sz w:val="32"/>
          <w:szCs w:val="32"/>
        </w:rPr>
        <w:t>定资产金额为37.7882万元（详见下表），本年度我部门拟购置固定资产总额为0.0万元。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河北正定高新技术产业开发区管理委员会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sz w:val="30"/>
              </w:rPr>
              <w:t>37.7882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r>
              <w:rPr>
                <w:rFonts w:hint="eastAsia" w:ascii="仿宋" w:hAnsi="仿宋" w:eastAsia="仿宋"/>
                <w:sz w:val="30"/>
              </w:rPr>
              <w:t>1</w:t>
            </w: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r>
              <w:rPr>
                <w:rFonts w:hint="eastAsia" w:ascii="仿宋" w:hAnsi="仿宋" w:eastAsia="仿宋"/>
                <w:sz w:val="30"/>
              </w:rPr>
              <w:t>18.73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sz w:val="30"/>
              </w:rPr>
              <w:t>19.0582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机关运行费：是指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type w:val="continuous"/>
      <w:pgSz w:w="16838" w:h="11906" w:orient="landscape"/>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panose1 w:val="03000509000000000000"/>
    <w:charset w:val="86"/>
    <w:family w:val="roma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9</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10</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OTdiZjhjOGRlMWU3ZWEzM2QzMDU3N2RjYTBjMTgzN2EifQ=="/>
  </w:docVars>
  <w:rsids>
    <w:rsidRoot w:val="00EE71BA"/>
    <w:rsid w:val="00026026"/>
    <w:rsid w:val="000C7140"/>
    <w:rsid w:val="00204609"/>
    <w:rsid w:val="002D3C22"/>
    <w:rsid w:val="00323B29"/>
    <w:rsid w:val="0034657F"/>
    <w:rsid w:val="0039059E"/>
    <w:rsid w:val="003E65B7"/>
    <w:rsid w:val="005C47B4"/>
    <w:rsid w:val="005E082E"/>
    <w:rsid w:val="00604EC5"/>
    <w:rsid w:val="00622AC8"/>
    <w:rsid w:val="0062566E"/>
    <w:rsid w:val="006A2BFD"/>
    <w:rsid w:val="007F0341"/>
    <w:rsid w:val="0092354A"/>
    <w:rsid w:val="00935FE6"/>
    <w:rsid w:val="009A521C"/>
    <w:rsid w:val="009C64C4"/>
    <w:rsid w:val="00A50949"/>
    <w:rsid w:val="00A81A4F"/>
    <w:rsid w:val="00B034EA"/>
    <w:rsid w:val="00B11879"/>
    <w:rsid w:val="00B32BB7"/>
    <w:rsid w:val="00BC7556"/>
    <w:rsid w:val="00C10ABB"/>
    <w:rsid w:val="00C90821"/>
    <w:rsid w:val="00C93AAC"/>
    <w:rsid w:val="00CB0504"/>
    <w:rsid w:val="00D607DA"/>
    <w:rsid w:val="00D76B0A"/>
    <w:rsid w:val="00DC6EE5"/>
    <w:rsid w:val="00E20800"/>
    <w:rsid w:val="00E36372"/>
    <w:rsid w:val="00EA3B45"/>
    <w:rsid w:val="00EC39FC"/>
    <w:rsid w:val="00EE71BA"/>
    <w:rsid w:val="00F867E4"/>
    <w:rsid w:val="03D033D0"/>
    <w:rsid w:val="056D17C0"/>
    <w:rsid w:val="27792CD7"/>
    <w:rsid w:val="283665C2"/>
    <w:rsid w:val="33A85E57"/>
    <w:rsid w:val="37C96D16"/>
    <w:rsid w:val="429430E6"/>
    <w:rsid w:val="69351E8A"/>
    <w:rsid w:val="6AFD267A"/>
    <w:rsid w:val="7F03252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autoRedefine/>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autoRedefin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autoRedefine/>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12C53-864E-407F-AFE6-225C54D81D39}">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12</Pages>
  <Words>910</Words>
  <Characters>5188</Characters>
  <Lines>43</Lines>
  <Paragraphs>12</Paragraphs>
  <TotalTime>5</TotalTime>
  <ScaleCrop>false</ScaleCrop>
  <LinksUpToDate>false</LinksUpToDate>
  <CharactersWithSpaces>6086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sky</cp:lastModifiedBy>
  <cp:lastPrinted>2020-08-17T08:02:00Z</cp:lastPrinted>
  <dcterms:modified xsi:type="dcterms:W3CDTF">2024-01-12T02:40:24Z</dcterms:modified>
  <dc:title>o</dc:title>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18A83675E0A54369BF7FE9F885FC13B3</vt:lpwstr>
  </property>
</Properties>
</file>