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sz w:val="44"/>
          <w:szCs w:val="44"/>
        </w:rPr>
      </w:pPr>
      <w:r>
        <w:rPr>
          <w:rFonts w:hint="eastAsia"/>
          <w:b/>
          <w:sz w:val="44"/>
          <w:szCs w:val="44"/>
        </w:rPr>
        <w:t>正定县公安局</w:t>
      </w:r>
    </w:p>
    <w:p>
      <w:pPr>
        <w:jc w:val="center"/>
        <w:rPr>
          <w:sz w:val="32"/>
          <w:szCs w:val="32"/>
        </w:rPr>
      </w:pPr>
      <w:r>
        <w:rPr>
          <w:rFonts w:hint="eastAsia"/>
          <w:sz w:val="32"/>
          <w:szCs w:val="32"/>
        </w:rPr>
        <w:t>2022年度“双随机、一公开”监管</w:t>
      </w:r>
    </w:p>
    <w:p>
      <w:pPr>
        <w:jc w:val="center"/>
        <w:rPr>
          <w:sz w:val="32"/>
          <w:szCs w:val="32"/>
        </w:rPr>
      </w:pPr>
      <w:r>
        <w:rPr>
          <w:rFonts w:hint="eastAsia"/>
          <w:sz w:val="32"/>
          <w:szCs w:val="32"/>
        </w:rPr>
        <w:t>实施方案</w:t>
      </w:r>
    </w:p>
    <w:p>
      <w:pPr>
        <w:rPr>
          <w:rFonts w:ascii="华文仿宋" w:hAnsi="华文仿宋" w:eastAsia="华文仿宋"/>
          <w:sz w:val="30"/>
          <w:szCs w:val="30"/>
        </w:rPr>
      </w:pPr>
      <w:r>
        <w:rPr>
          <w:rFonts w:hint="eastAsia" w:ascii="华文仿宋" w:hAnsi="华文仿宋" w:eastAsia="华文仿宋"/>
          <w:sz w:val="30"/>
          <w:szCs w:val="30"/>
        </w:rPr>
        <w:t>治安大队、网安大队、刑侦大队：</w:t>
      </w:r>
    </w:p>
    <w:p>
      <w:pPr>
        <w:ind w:firstLine="600"/>
        <w:rPr>
          <w:rFonts w:ascii="华文仿宋" w:hAnsi="华文仿宋" w:eastAsia="华文仿宋"/>
          <w:color w:val="333333"/>
          <w:sz w:val="30"/>
          <w:szCs w:val="30"/>
        </w:rPr>
      </w:pPr>
      <w:r>
        <w:rPr>
          <w:rFonts w:hint="eastAsia" w:ascii="华文仿宋" w:hAnsi="华文仿宋" w:eastAsia="华文仿宋"/>
          <w:color w:val="333333"/>
          <w:sz w:val="30"/>
          <w:szCs w:val="30"/>
        </w:rPr>
        <w:t>为切实履行行政部门法定监管职责，促进我局执法检查和监管的公平、公正、有效、透明，推进依法规范管理</w:t>
      </w:r>
      <w:r>
        <w:rPr>
          <w:rFonts w:hint="eastAsia" w:ascii="华文仿宋" w:hAnsi="华文仿宋" w:eastAsia="华文仿宋"/>
          <w:sz w:val="30"/>
          <w:szCs w:val="30"/>
        </w:rPr>
        <w:t>，结合我局2022年度双随机工作计划，根据局领导安排部署，</w:t>
      </w:r>
      <w:r>
        <w:rPr>
          <w:rFonts w:hint="eastAsia" w:ascii="华文仿宋" w:hAnsi="华文仿宋" w:eastAsia="华文仿宋"/>
          <w:color w:val="333333"/>
          <w:sz w:val="30"/>
          <w:szCs w:val="30"/>
        </w:rPr>
        <w:t>现就双随机监管实施方案通知如下：</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一、工作目标</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通过制定年度工作计划，细化工作程序，建立工作机制，提升公安民警执法的规范性，实现依法监管、公平高效、阳光透明，杜绝执法不公、执法不严等现象，营造健康有序的市场发展环境，促进全县工作协调稳健发展。</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二、工作任务</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1、建立我局名录库</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（1）名录库由局机关各部门中具有执法资格的执法人员和具有一定行业管理经验的工作人员共同组成。</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（2）进入名录库的人员应在各部门中具有1年以上行政执法工作经历的执法人员和具有3年以上行业管理经验的工作人员中择优抽取，且执法人员比例应达到80%以上。</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（3）名录库应包含人员姓名、所在单位及职务、执法人员的执法证编号、执法类别等内容。</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（4）有违法违纪记录的人员不得进入名录库。执法检查人员名录库由法制大队牵头进行动态管理，各相关单位要及时上报更新。</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2、明确工作任务</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根据“谁建立、谁管理”的原则，负责各检查事项的部门要进一步增强全面推行“双随机、一公开”工作的紧迫感和责任感，严格按照本通知要求开展工作，确保全面开展检查，检查内容无遗漏；及时开展检查，检查周期按规定依法开展检查，检查程序公正合法并及时公示结果。</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3、确定抽查比例频率与抽取规则</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1）抽查比例和频率。围绕市场主体信用等级，区分不同信用风险水平，大力实施差异化随机抽查。全系统年度抽查企业占比达到3%以上，抽查结果公示率达到100%，确保抽查检查发现问题后续处理到位、联合惩戒到位。根据安排，抽查频率每年不少于4次。可根据抽查主体数量和抽查事项繁杂程度，作适当调整。</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（2）抽取规则。对于一般市场主体，同一主体每次抽查之后，原则上不列入第二次抽查范围，避免对同一主体造成负担，特殊经营或异常经营市场主体不适用该规则。</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三、抽查工作基本程序</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1、制定计划。每年12月份，负责各检查事项的部门按照要求制</w:t>
      </w:r>
      <w:r>
        <w:rPr>
          <w:rFonts w:hint="eastAsia" w:ascii="华文仿宋" w:hAnsi="华文仿宋" w:eastAsia="华文仿宋" w:cs="宋体"/>
          <w:color w:val="333333"/>
          <w:kern w:val="0"/>
          <w:sz w:val="30"/>
          <w:szCs w:val="30"/>
          <w:lang w:eastAsia="zh-CN"/>
        </w:rPr>
        <w:t>订</w:t>
      </w:r>
      <w:bookmarkStart w:id="0" w:name="_GoBack"/>
      <w:bookmarkEnd w:id="0"/>
      <w:r>
        <w:rPr>
          <w:rFonts w:hint="eastAsia" w:ascii="华文仿宋" w:hAnsi="华文仿宋" w:eastAsia="华文仿宋" w:cs="宋体"/>
          <w:color w:val="333333"/>
          <w:kern w:val="0"/>
          <w:sz w:val="30"/>
          <w:szCs w:val="30"/>
        </w:rPr>
        <w:t>检查明年年度抽查计划，检查对象应覆盖50%以上。</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2、确定对象。按照年度抽查计划，从市场主体名录中抽取检查对象，并与抽查对象对应单位做好衔接，了解抽查对象是否在短期内已接受过抽查，对于短期内已接受过抽查的主体可予免检，对未开展检查的对象也可采取联合检查。</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3、抽取人员。在实施抽查，负责各检查事项的部门抽取名录库中的执法人员开展抽查工作，抽查工作过程中各部门应协同配合、加强合作，确保形成监管合力。</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4、实地检查。检查人员应出示执法证件，按市场监管抽查内容，如实记录抽查情况，建立涉企检查活动台账，应将被抽查主体名称、抽查类别、抽查事项、抽查依据、抽查结果、抽查时间、抽查机关、抽查人员等要素录入台账。被抽查的市场主体存在违法经营行为的，应当按法定执法程序进行处理。</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5、结果处理。抽查发现市场主体存在违法违规行为的，由负责各检查事项的部门给予行政指导或移送相关行政执法大队或其他执法机关依法做出行政处罚，要求违法违规市场主体限期整改的，应当及时跟踪整改情况，需要其他行政主体进行处理的，应当告知该行政主体并按规定程序移送。将抽查结果纳入行业信用考核，对信用记录良好的企业和从业人员可以给予适当抽查豁免，对信用记录较差的企业和从业人员要列入异常主体名录库。</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6、结果公示。负责各检查事项的部门作为抽查结果信息集中公示的责任主体。</w:t>
      </w:r>
      <w:r>
        <w:rPr>
          <w:rFonts w:hint="eastAsia" w:ascii="华文仿宋" w:hAnsi="华文仿宋" w:eastAsia="华文仿宋" w:cs="宋体"/>
          <w:bCs/>
          <w:color w:val="333333"/>
          <w:kern w:val="0"/>
          <w:sz w:val="30"/>
          <w:szCs w:val="30"/>
        </w:rPr>
        <w:t>抽查结果信息</w:t>
      </w:r>
      <w:r>
        <w:rPr>
          <w:rFonts w:hint="eastAsia" w:ascii="华文仿宋" w:hAnsi="华文仿宋" w:eastAsia="华文仿宋" w:cs="宋体"/>
          <w:color w:val="333333"/>
          <w:kern w:val="0"/>
          <w:sz w:val="30"/>
          <w:szCs w:val="30"/>
        </w:rPr>
        <w:t>包括：被抽查主体名称、被检查主体的统一社会信用代码、抽查类别、抽查事项、抽查依据、抽查结果、抽查时间、抽查机关、抽查人员等9项要素。负责各检查事项的科室、单位要严格按照标准要素内容规范“双随机、一公开”抽查结果内容，由负责各检查事项的部门通过“河北省双随机监管工作平台”集中向社会公示，接受群众监督。</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7、健全档案。相关抽查书面材料填写由检查责任部门负责，纸质信息报送至法制大队备案。</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四、实施抽查工作的有关要求</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1、加强组织领导。全面开展“双随机、一公开”监管，是推进简政放权、放管结合、优化服务的重要举措，是一项系统性工程，局机关各部门要高度重视、统一思想、狠抓落实，认真贯彻执行本通知，按照本通知确定的原则、规则和时间节点等要求组织实施，力求随机抽查工作取得实效。</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2、实行定期报送。按照县双随机办要求，负责各检查事项的部门每月15日前将本月“双随机、一公开”检查工作开展情况及抽查结果信息报送法制大队进行数据统计。</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3、强化督查通报。局法制大队每季度末月10日前对“双随机、一公开”工作进展情况进行督查，对工作进展缓慢，信息归集不及时、不准确、不全面的部门进行通报。</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联系人：房彦涛    联系电话：13503110107</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附件:正定县“双随机、一公开”监管工作月报表</w:t>
      </w:r>
    </w:p>
    <w:p>
      <w:pPr>
        <w:widowControl/>
        <w:spacing w:before="58" w:after="58" w:line="415" w:lineRule="atLeast"/>
        <w:ind w:firstLine="484"/>
        <w:jc w:val="left"/>
        <w:rPr>
          <w:rFonts w:ascii="华文仿宋" w:hAnsi="华文仿宋" w:eastAsia="华文仿宋" w:cs="宋体"/>
          <w:color w:val="333333"/>
          <w:kern w:val="0"/>
          <w:sz w:val="30"/>
          <w:szCs w:val="30"/>
        </w:rPr>
      </w:pPr>
    </w:p>
    <w:p>
      <w:pPr>
        <w:widowControl/>
        <w:spacing w:before="58" w:after="58" w:line="415" w:lineRule="atLeast"/>
        <w:ind w:firstLine="484"/>
        <w:jc w:val="left"/>
        <w:rPr>
          <w:rFonts w:ascii="华文仿宋" w:hAnsi="华文仿宋" w:eastAsia="华文仿宋" w:cs="宋体"/>
          <w:color w:val="333333"/>
          <w:kern w:val="0"/>
          <w:sz w:val="30"/>
          <w:szCs w:val="30"/>
        </w:rPr>
      </w:pPr>
    </w:p>
    <w:p>
      <w:pPr>
        <w:widowControl/>
        <w:spacing w:before="58" w:after="58" w:line="415" w:lineRule="atLeast"/>
        <w:ind w:firstLine="484"/>
        <w:jc w:val="left"/>
        <w:rPr>
          <w:rFonts w:ascii="华文仿宋" w:hAnsi="华文仿宋" w:eastAsia="华文仿宋" w:cs="宋体"/>
          <w:color w:val="333333"/>
          <w:kern w:val="0"/>
          <w:sz w:val="30"/>
          <w:szCs w:val="30"/>
        </w:rPr>
      </w:pPr>
    </w:p>
    <w:p>
      <w:pPr>
        <w:widowControl/>
        <w:spacing w:before="58" w:after="58" w:line="415" w:lineRule="atLeast"/>
        <w:ind w:firstLine="484"/>
        <w:jc w:val="left"/>
        <w:rPr>
          <w:rFonts w:ascii="华文仿宋" w:hAnsi="华文仿宋" w:eastAsia="华文仿宋" w:cs="宋体"/>
          <w:color w:val="333333"/>
          <w:kern w:val="0"/>
          <w:sz w:val="30"/>
          <w:szCs w:val="30"/>
        </w:rPr>
      </w:pPr>
    </w:p>
    <w:p>
      <w:pPr>
        <w:widowControl/>
        <w:spacing w:before="58" w:after="58" w:line="415" w:lineRule="atLeast"/>
        <w:ind w:left="4981" w:leftChars="229" w:hanging="4500" w:hangingChars="1500"/>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 xml:space="preserve">                                                    法制大队</w:t>
      </w:r>
    </w:p>
    <w:p>
      <w:pPr>
        <w:widowControl/>
        <w:spacing w:before="58" w:after="58" w:line="415" w:lineRule="atLeast"/>
        <w:ind w:firstLine="484"/>
        <w:jc w:val="left"/>
        <w:rPr>
          <w:rFonts w:ascii="华文仿宋" w:hAnsi="华文仿宋" w:eastAsia="华文仿宋" w:cs="宋体"/>
          <w:color w:val="333333"/>
          <w:kern w:val="0"/>
          <w:sz w:val="30"/>
          <w:szCs w:val="30"/>
        </w:rPr>
      </w:pPr>
      <w:r>
        <w:rPr>
          <w:rFonts w:hint="eastAsia" w:ascii="华文仿宋" w:hAnsi="华文仿宋" w:eastAsia="华文仿宋" w:cs="宋体"/>
          <w:color w:val="333333"/>
          <w:kern w:val="0"/>
          <w:sz w:val="30"/>
          <w:szCs w:val="30"/>
        </w:rPr>
        <w:t xml:space="preserve">                          二0二一年十二月三日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华文仿宋">
    <w:panose1 w:val="02010600040101010101"/>
    <w:charset w:val="86"/>
    <w:family w:val="auto"/>
    <w:pitch w:val="default"/>
    <w:sig w:usb0="00000287" w:usb1="080F0000" w:usb2="00000000" w:usb3="00000000" w:csb0="0004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8C01AD"/>
    <w:rsid w:val="00036143"/>
    <w:rsid w:val="000B2C70"/>
    <w:rsid w:val="001705A6"/>
    <w:rsid w:val="002C392F"/>
    <w:rsid w:val="00484412"/>
    <w:rsid w:val="0052211C"/>
    <w:rsid w:val="005A7BD3"/>
    <w:rsid w:val="006A7ED7"/>
    <w:rsid w:val="007650BD"/>
    <w:rsid w:val="008A0EB9"/>
    <w:rsid w:val="008C01AD"/>
    <w:rsid w:val="008C0C19"/>
    <w:rsid w:val="0091629E"/>
    <w:rsid w:val="00BB48F4"/>
    <w:rsid w:val="00D4190C"/>
    <w:rsid w:val="00DD03DF"/>
    <w:rsid w:val="00DE4085"/>
    <w:rsid w:val="00E7677C"/>
    <w:rsid w:val="00E94AED"/>
    <w:rsid w:val="00F62F68"/>
    <w:rsid w:val="16027BF7"/>
  </w:rsids>
  <m:mathPr>
    <m:lMargin m:val="0"/>
    <m:mathFont m:val="Cambria Math"/>
    <m:rMargin m:val="0"/>
    <m:wrapIndent m:val="1440"/>
    <m:brkBin m:val="before"/>
    <m:brkBinSub m:val="--"/>
    <m:defJc m:val="centerGroup"/>
    <m:intLim m:val="subSup"/>
    <m:naryLim m:val="undOvr"/>
    <m:smallFrac m:val="off"/>
    <m:dispDef/>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8"/>
    <w:unhideWhenUsed/>
    <w:uiPriority w:val="99"/>
    <w:pPr>
      <w:tabs>
        <w:tab w:val="center" w:pos="4153"/>
        <w:tab w:val="right" w:pos="8306"/>
      </w:tabs>
      <w:snapToGrid w:val="0"/>
      <w:jc w:val="left"/>
    </w:pPr>
    <w:rPr>
      <w:sz w:val="18"/>
      <w:szCs w:val="18"/>
    </w:rPr>
  </w:style>
  <w:style w:type="paragraph" w:styleId="3">
    <w:name w:val="header"/>
    <w:basedOn w:val="1"/>
    <w:link w:val="7"/>
    <w:unhideWhenUsed/>
    <w:uiPriority w:val="99"/>
    <w:pPr>
      <w:pBdr>
        <w:bottom w:val="single" w:color="auto" w:sz="6" w:space="1"/>
      </w:pBdr>
      <w:tabs>
        <w:tab w:val="center" w:pos="4153"/>
        <w:tab w:val="right" w:pos="8306"/>
      </w:tabs>
      <w:snapToGrid w:val="0"/>
      <w:jc w:val="center"/>
    </w:pPr>
    <w:rPr>
      <w:sz w:val="18"/>
      <w:szCs w:val="18"/>
    </w:rPr>
  </w:style>
  <w:style w:type="character" w:styleId="5">
    <w:name w:val="Strong"/>
    <w:basedOn w:val="4"/>
    <w:qFormat/>
    <w:uiPriority w:val="22"/>
    <w:rPr>
      <w:b/>
      <w:bCs/>
    </w:rPr>
  </w:style>
  <w:style w:type="character" w:customStyle="1" w:styleId="7">
    <w:name w:val="页眉 Char"/>
    <w:basedOn w:val="4"/>
    <w:link w:val="3"/>
    <w:semiHidden/>
    <w:uiPriority w:val="99"/>
    <w:rPr>
      <w:sz w:val="18"/>
      <w:szCs w:val="18"/>
    </w:rPr>
  </w:style>
  <w:style w:type="character" w:customStyle="1" w:styleId="8">
    <w:name w:val="页脚 Char"/>
    <w:basedOn w:val="4"/>
    <w:link w:val="2"/>
    <w:semiHidden/>
    <w:qFormat/>
    <w:uiPriority w:val="99"/>
    <w:rPr>
      <w:sz w:val="18"/>
      <w:szCs w:val="18"/>
    </w:rPr>
  </w:style>
  <w:style w:type="paragraph" w:customStyle="1" w:styleId="9">
    <w:name w:val="List Paragraph"/>
    <w:basedOn w:val="1"/>
    <w:qFormat/>
    <w:uiPriority w:val="34"/>
    <w:pPr>
      <w:ind w:firstLine="420" w:firstLineChars="200"/>
    </w:pPr>
  </w:style>
  <w:style w:type="character" w:customStyle="1" w:styleId="10">
    <w:name w:val="Subtle Emphasis"/>
    <w:basedOn w:val="4"/>
    <w:qFormat/>
    <w:uiPriority w:val="19"/>
    <w:rPr>
      <w:i/>
      <w:iCs/>
      <w:color w:val="7F7F7F" w:themeColor="text1" w:themeTint="7F"/>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5</Pages>
  <Words>313</Words>
  <Characters>1789</Characters>
  <Lines>14</Lines>
  <Paragraphs>4</Paragraphs>
  <TotalTime>0</TotalTime>
  <ScaleCrop>false</ScaleCrop>
  <LinksUpToDate>false</LinksUpToDate>
  <CharactersWithSpaces>2098</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2021-07-06T07:40:00Z</dcterms:created>
  <dc:creator>lenovo</dc:creator>
  <cp:lastModifiedBy>Administrator</cp:lastModifiedBy>
  <cp:lastPrinted>2021-07-06T07:34:00Z</cp:lastPrinted>
  <dcterms:modified xsi:type="dcterms:W3CDTF">2024-01-12T07:20:04Z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