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正定县西平乐乡人民政府</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6432;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宣传贯彻执行党的路线、方针、政策和国家的法律法规，执行本级人民代表大会的决议和上级国家行政机关的决定和命令;做好党建和党支部组织建设工作。</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2、</w:t>
      </w:r>
      <w:r>
        <w:rPr>
          <w:rFonts w:hint="eastAsia" w:ascii="仿宋_GB2312" w:hAnsi="Calibri" w:eastAsia="仿宋_GB2312" w:cs="ArialUnicodeMS"/>
          <w:kern w:val="0"/>
          <w:sz w:val="32"/>
          <w:szCs w:val="32"/>
        </w:rPr>
        <w:t>负责本乡镇产业发展规划，引导农民立足自身资源和区位条件，发挥优势，大力发展区域特色经济，为农民提供政策、信息等服务，促进农民脱贫致富。</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3、</w:t>
      </w:r>
      <w:r>
        <w:rPr>
          <w:rFonts w:hint="eastAsia" w:ascii="仿宋_GB2312" w:hAnsi="Calibri" w:eastAsia="仿宋_GB2312" w:cs="ArialUnicodeMS"/>
          <w:kern w:val="0"/>
          <w:sz w:val="32"/>
          <w:szCs w:val="32"/>
        </w:rPr>
        <w:t>加强工业经济管理，为招商引资营造良好环境(投资环境、社会环境)，大力发展第二、第三产业，加快城镇化进程。</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4、</w:t>
      </w:r>
      <w:r>
        <w:rPr>
          <w:rFonts w:hint="eastAsia" w:ascii="仿宋_GB2312" w:hAnsi="Calibri" w:eastAsia="仿宋_GB2312" w:cs="ArialUnicodeMS"/>
          <w:kern w:val="0"/>
          <w:sz w:val="32"/>
          <w:szCs w:val="32"/>
        </w:rPr>
        <w:t>依法管理乡财政，执行本级预算;加强乡村财政资金监督管理、农村合同管理及农民减负工作，做好乡镇统计、审计等工作。</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5、</w:t>
      </w:r>
      <w:r>
        <w:rPr>
          <w:rFonts w:hint="eastAsia" w:ascii="仿宋_GB2312" w:hAnsi="Calibri" w:eastAsia="仿宋_GB2312" w:cs="ArialUnicodeMS"/>
          <w:kern w:val="0"/>
          <w:sz w:val="32"/>
          <w:szCs w:val="32"/>
        </w:rPr>
        <w:t>做好人口和计划生育管理及计划生育协会工作，加强流动人口生育管理和计划生育技术服务等工作。</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6、</w:t>
      </w:r>
      <w:r>
        <w:rPr>
          <w:rFonts w:hint="eastAsia" w:ascii="仿宋_GB2312" w:hAnsi="Calibri" w:eastAsia="仿宋_GB2312" w:cs="ArialUnicodeMS"/>
          <w:kern w:val="0"/>
          <w:sz w:val="32"/>
          <w:szCs w:val="32"/>
        </w:rPr>
        <w:t>做好农村民主政治建设和村民自治工作，加强农村基层组织建设，为实现公民在选举、决策、管理等方面的民主权利创造条件;加强农村精神文明建设和生态文明村建设，制定构建和谐社会的具体措施，并抓好组织实施;做好兵役事项及民兵工作。</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7、</w:t>
      </w:r>
      <w:r>
        <w:rPr>
          <w:rFonts w:hint="eastAsia" w:ascii="仿宋_GB2312" w:hAnsi="Calibri" w:eastAsia="仿宋_GB2312" w:cs="ArialUnicodeMS"/>
          <w:kern w:val="0"/>
          <w:sz w:val="32"/>
          <w:szCs w:val="32"/>
        </w:rPr>
        <w:t>负责做好群众来信来访，妥善处理突发性群体事件，维护社会稳定，做好社会治安综合治理工作。</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8、</w:t>
      </w:r>
      <w:r>
        <w:rPr>
          <w:rFonts w:hint="eastAsia" w:ascii="仿宋_GB2312" w:hAnsi="Calibri" w:eastAsia="仿宋_GB2312" w:cs="ArialUnicodeMS"/>
          <w:kern w:val="0"/>
          <w:sz w:val="32"/>
          <w:szCs w:val="32"/>
        </w:rPr>
        <w:t>组织乡村公共基础设施建设、配合教育、科技、文体、卫生等部门搞好九年义务教育，普及推广科学技术，丰富农村文化生活，开展全民健身运动，推行和完善新型合作医疗制度，提高参保率。</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9、</w:t>
      </w:r>
      <w:r>
        <w:rPr>
          <w:rFonts w:hint="eastAsia" w:ascii="仿宋_GB2312" w:hAnsi="Calibri" w:eastAsia="仿宋_GB2312" w:cs="ArialUnicodeMS"/>
          <w:kern w:val="0"/>
          <w:sz w:val="32"/>
          <w:szCs w:val="32"/>
        </w:rPr>
        <w:t>配合商务、供销，做好培育和发展农村经济合作组织各种协会及中介组织)工作，为农民提供致富信息、技术服务，畅通购销渠道。</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10、</w:t>
      </w:r>
      <w:r>
        <w:rPr>
          <w:rFonts w:hint="eastAsia" w:ascii="仿宋_GB2312" w:hAnsi="Calibri" w:eastAsia="仿宋_GB2312" w:cs="ArialUnicodeMS"/>
          <w:kern w:val="0"/>
          <w:sz w:val="32"/>
          <w:szCs w:val="32"/>
        </w:rPr>
        <w:t>配合城建、土地、环保部门做好乡村建设规划、保护耕地、保护环境工作，提高资源利用率;配合安全生产监督管理部门做好安全生产监督管理工作。</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11、</w:t>
      </w:r>
      <w:r>
        <w:rPr>
          <w:rFonts w:hint="eastAsia" w:ascii="仿宋_GB2312" w:hAnsi="Calibri" w:eastAsia="仿宋_GB2312" w:cs="ArialUnicodeMS"/>
          <w:kern w:val="0"/>
          <w:sz w:val="32"/>
          <w:szCs w:val="32"/>
        </w:rPr>
        <w:t>配合农业各部门做好农业技术服务和技术推广，动物防疫工作，加强农田水利基本建设，增强农业抗御自然灾害的能力。</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12、</w:t>
      </w:r>
      <w:r>
        <w:rPr>
          <w:rFonts w:hint="eastAsia" w:ascii="仿宋_GB2312" w:hAnsi="Calibri" w:eastAsia="仿宋_GB2312" w:cs="ArialUnicodeMS"/>
          <w:kern w:val="0"/>
          <w:sz w:val="32"/>
          <w:szCs w:val="32"/>
        </w:rPr>
        <w:t>配合司法部门开展“三位一体”大调解机制工作，疏导各类纠纷，协调解决疑难问题，预防违法犯罪。</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13、</w:t>
      </w:r>
      <w:r>
        <w:rPr>
          <w:rFonts w:hint="eastAsia" w:ascii="仿宋_GB2312" w:hAnsi="Calibri" w:eastAsia="仿宋_GB2312" w:cs="ArialUnicodeMS"/>
          <w:kern w:val="0"/>
          <w:sz w:val="32"/>
          <w:szCs w:val="32"/>
        </w:rPr>
        <w:t>配合广播电视、电力、电信等部门，做好普及有线电视、电网改造工作，扩大通讯网络在农村的覆盖面。</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14、</w:t>
      </w:r>
      <w:r>
        <w:rPr>
          <w:rFonts w:hint="eastAsia" w:ascii="仿宋_GB2312" w:hAnsi="Calibri" w:eastAsia="仿宋_GB2312" w:cs="ArialUnicodeMS"/>
          <w:kern w:val="0"/>
          <w:sz w:val="32"/>
          <w:szCs w:val="32"/>
        </w:rPr>
        <w:t>配合民政、残联部门做好农村扶贫、低保、特困户救助、残疾人服务和民族宗教工作;配合劳动部门做好农村劳动力职业技能培训、劳动力输出、农村养老保险、社会保障工作。</w:t>
      </w:r>
    </w:p>
    <w:p>
      <w:pPr>
        <w:widowControl w:val="0"/>
        <w:numPr>
          <w:ilvl w:val="0"/>
          <w:numId w:val="0"/>
        </w:numPr>
        <w:jc w:val="both"/>
      </w:pP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7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8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862"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正定县西平乐乡人民政府</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862"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777"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848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052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keepNext/>
        <w:keepLines/>
        <w:snapToGrid w:val="0"/>
        <w:spacing w:line="580" w:lineRule="exact"/>
        <w:ind w:firstLine="640" w:firstLineChars="200"/>
        <w:outlineLvl w:val="1"/>
        <w:rPr>
          <w:rFonts w:hint="eastAsia" w:ascii="仿宋_GB2312" w:hAnsi="仿宋_GB2312" w:eastAsia="仿宋_GB2312" w:cs="仿宋_GB2312"/>
          <w:sz w:val="32"/>
          <w:szCs w:val="32"/>
          <w:lang w:eastAsia="zh-CN"/>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val="en-US" w:eastAsia="zh-CN"/>
        </w:rPr>
        <w:t>2019</w:t>
      </w:r>
      <w:r>
        <w:rPr>
          <w:rFonts w:hint="eastAsia" w:ascii="仿宋_GB2312" w:hAnsi="Times New Roman" w:eastAsia="仿宋_GB2312" w:cs="Wingdings"/>
          <w:sz w:val="32"/>
          <w:szCs w:val="32"/>
        </w:rPr>
        <w:t>年度收、支总计（含结转和结余）</w:t>
      </w:r>
      <w:r>
        <w:rPr>
          <w:rFonts w:hint="eastAsia" w:ascii="仿宋_GB2312" w:hAnsi="Times New Roman" w:eastAsia="仿宋_GB2312" w:cs="Wingdings"/>
          <w:sz w:val="32"/>
          <w:szCs w:val="32"/>
          <w:lang w:val="en-US" w:eastAsia="zh-CN"/>
        </w:rPr>
        <w:t>990.3</w:t>
      </w:r>
      <w:r>
        <w:rPr>
          <w:rFonts w:hint="eastAsia" w:ascii="仿宋_GB2312" w:hAnsi="Times New Roman" w:eastAsia="仿宋_GB2312" w:cs="Wingdings"/>
          <w:sz w:val="32"/>
          <w:szCs w:val="32"/>
        </w:rPr>
        <w:t>万元。与201</w:t>
      </w:r>
      <w:r>
        <w:rPr>
          <w:rFonts w:hint="eastAsia" w:ascii="仿宋_GB2312" w:hAnsi="Times New Roman" w:eastAsia="仿宋_GB2312" w:cs="Wingdings"/>
          <w:sz w:val="32"/>
          <w:szCs w:val="32"/>
          <w:lang w:val="en-US" w:eastAsia="zh-CN"/>
        </w:rPr>
        <w:t>8</w:t>
      </w:r>
      <w:r>
        <w:rPr>
          <w:rFonts w:hint="eastAsia" w:ascii="仿宋_GB2312" w:hAnsi="Times New Roman" w:eastAsia="仿宋_GB2312" w:cs="Wingdings"/>
          <w:sz w:val="32"/>
          <w:szCs w:val="32"/>
        </w:rPr>
        <w:t>年度决算相比，收</w:t>
      </w:r>
      <w:r>
        <w:rPr>
          <w:rFonts w:hint="eastAsia" w:ascii="仿宋_GB2312" w:hAnsi="Times New Roman" w:eastAsia="仿宋_GB2312" w:cs="Wingdings"/>
          <w:sz w:val="32"/>
          <w:szCs w:val="32"/>
          <w:lang w:eastAsia="zh-CN"/>
        </w:rPr>
        <w:t>入增加</w:t>
      </w:r>
      <w:r>
        <w:rPr>
          <w:rFonts w:hint="eastAsia" w:ascii="仿宋_GB2312" w:hAnsi="Times New Roman" w:eastAsia="仿宋_GB2312" w:cs="Wingdings"/>
          <w:sz w:val="32"/>
          <w:szCs w:val="32"/>
          <w:lang w:val="en-US" w:eastAsia="zh-CN"/>
        </w:rPr>
        <w:t>83.85万元，增长9.25%，</w:t>
      </w:r>
      <w:r>
        <w:rPr>
          <w:rFonts w:hint="eastAsia" w:ascii="仿宋_GB2312" w:hAnsi="Times New Roman" w:eastAsia="仿宋_GB2312" w:cs="DengXian-Regular"/>
          <w:sz w:val="32"/>
          <w:szCs w:val="32"/>
        </w:rPr>
        <w:t>主要原因是</w:t>
      </w:r>
      <w:r>
        <w:rPr>
          <w:rFonts w:hint="eastAsia" w:ascii="仿宋_GB2312" w:hAnsi="仿宋_GB2312" w:eastAsia="仿宋_GB2312" w:cs="仿宋_GB2312"/>
          <w:sz w:val="32"/>
          <w:szCs w:val="32"/>
        </w:rPr>
        <w:t>因人员增加，增加人员经费和日常公用经费；项目</w:t>
      </w:r>
      <w:r>
        <w:rPr>
          <w:rFonts w:hint="eastAsia" w:ascii="仿宋_GB2312" w:hAnsi="仿宋_GB2312" w:eastAsia="仿宋_GB2312" w:cs="仿宋_GB2312"/>
          <w:sz w:val="32"/>
          <w:szCs w:val="32"/>
          <w:lang w:val="en-US" w:eastAsia="zh-CN"/>
        </w:rPr>
        <w:t>收入</w:t>
      </w:r>
      <w:r>
        <w:rPr>
          <w:rFonts w:hint="eastAsia" w:ascii="仿宋_GB2312" w:hAnsi="仿宋_GB2312" w:eastAsia="仿宋_GB2312" w:cs="仿宋_GB2312"/>
          <w:sz w:val="32"/>
          <w:szCs w:val="32"/>
        </w:rPr>
        <w:t>增加主要为，</w:t>
      </w:r>
      <w:r>
        <w:rPr>
          <w:rFonts w:hint="eastAsia" w:ascii="仿宋_GB2312" w:hAnsi="仿宋_GB2312" w:eastAsia="仿宋_GB2312" w:cs="仿宋_GB2312"/>
          <w:sz w:val="32"/>
          <w:szCs w:val="32"/>
          <w:lang w:eastAsia="zh-CN"/>
        </w:rPr>
        <w:t>教育项目收入增加学区遗属工资、农林水项目。</w:t>
      </w:r>
      <w:r>
        <w:rPr>
          <w:rFonts w:hint="eastAsia" w:ascii="仿宋_GB2312" w:hAnsi="Times New Roman" w:eastAsia="仿宋_GB2312" w:cs="Wingdings"/>
          <w:sz w:val="32"/>
          <w:szCs w:val="32"/>
        </w:rPr>
        <w:t>支</w:t>
      </w:r>
      <w:r>
        <w:rPr>
          <w:rFonts w:hint="eastAsia" w:ascii="仿宋_GB2312" w:hAnsi="Times New Roman" w:eastAsia="仿宋_GB2312" w:cs="Wingdings"/>
          <w:sz w:val="32"/>
          <w:szCs w:val="32"/>
          <w:lang w:eastAsia="zh-CN"/>
        </w:rPr>
        <w:t>出增加</w:t>
      </w:r>
      <w:r>
        <w:rPr>
          <w:rFonts w:hint="eastAsia" w:ascii="仿宋_GB2312" w:hAnsi="Times New Roman" w:eastAsia="仿宋_GB2312" w:cs="Wingdings"/>
          <w:sz w:val="32"/>
          <w:szCs w:val="32"/>
          <w:lang w:val="en-US" w:eastAsia="zh-CN"/>
        </w:rPr>
        <w:t>190.31万元，增长13.72%，</w:t>
      </w:r>
      <w:r>
        <w:rPr>
          <w:rFonts w:hint="eastAsia" w:ascii="仿宋_GB2312" w:hAnsi="Times New Roman" w:eastAsia="仿宋_GB2312" w:cs="DengXian-Regular"/>
          <w:sz w:val="32"/>
          <w:szCs w:val="32"/>
        </w:rPr>
        <w:t>主要原因是</w:t>
      </w:r>
      <w:r>
        <w:rPr>
          <w:rFonts w:hint="eastAsia" w:ascii="仿宋_GB2312" w:hAnsi="仿宋_GB2312" w:eastAsia="仿宋_GB2312" w:cs="仿宋_GB2312"/>
          <w:sz w:val="32"/>
          <w:szCs w:val="32"/>
        </w:rPr>
        <w:t>因人员增加，增加人员经费和日常公用经费</w:t>
      </w:r>
      <w:r>
        <w:rPr>
          <w:rFonts w:hint="eastAsia" w:ascii="仿宋_GB2312" w:hAnsi="仿宋_GB2312" w:eastAsia="仿宋_GB2312" w:cs="仿宋_GB2312"/>
          <w:sz w:val="32"/>
          <w:szCs w:val="32"/>
          <w:lang w:eastAsia="zh-CN"/>
        </w:rPr>
        <w:t>支出</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支出</w:t>
      </w:r>
      <w:r>
        <w:rPr>
          <w:rFonts w:hint="eastAsia" w:ascii="仿宋_GB2312" w:hAnsi="仿宋_GB2312" w:eastAsia="仿宋_GB2312" w:cs="仿宋_GB2312"/>
          <w:sz w:val="32"/>
          <w:szCs w:val="32"/>
        </w:rPr>
        <w:t>增加主要为，</w:t>
      </w:r>
      <w:r>
        <w:rPr>
          <w:rFonts w:hint="eastAsia" w:ascii="仿宋_GB2312" w:hAnsi="仿宋_GB2312" w:eastAsia="仿宋_GB2312" w:cs="仿宋_GB2312"/>
          <w:sz w:val="32"/>
          <w:szCs w:val="32"/>
          <w:lang w:eastAsia="zh-CN"/>
        </w:rPr>
        <w:t>教育项目支出增加学区遗属工资、农林水项目。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hint="eastAsia" w:ascii="黑体" w:hAnsi="Calibri" w:eastAsia="仿宋_GB2312" w:cs="Times New Roman"/>
          <w:b/>
          <w:bCs/>
          <w:sz w:val="32"/>
          <w:szCs w:val="32"/>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990.3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均为</w:t>
      </w:r>
      <w:r>
        <w:rPr>
          <w:rFonts w:hint="eastAsia" w:ascii="仿宋_GB2312" w:hAnsi="Times New Roman" w:eastAsia="仿宋_GB2312" w:cs="DengXian-Regular"/>
          <w:sz w:val="32"/>
          <w:szCs w:val="32"/>
        </w:rPr>
        <w:t>财政拨款收入</w:t>
      </w:r>
      <w:r>
        <w:rPr>
          <w:rFonts w:hint="eastAsia" w:ascii="仿宋_GB2312" w:hAnsi="Times New Roman" w:eastAsia="仿宋_GB2312" w:cs="DengXian-Regular"/>
          <w:sz w:val="32"/>
          <w:szCs w:val="32"/>
          <w:lang w:val="en-US" w:eastAsia="zh-CN"/>
        </w:rPr>
        <w:t>990.3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990.3</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744.27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75.16</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246.03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24.84</w:t>
      </w:r>
      <w:r>
        <w:rPr>
          <w:rFonts w:hint="eastAsia" w:ascii="仿宋_GB2312" w:hAnsi="Times New Roman" w:eastAsia="仿宋_GB2312" w:cs="DengXian-Regular"/>
          <w:sz w:val="32"/>
          <w:szCs w:val="32"/>
        </w:rPr>
        <w:t>%。如图所示：</w:t>
      </w:r>
    </w:p>
    <w:p>
      <w:pPr>
        <w:adjustRightInd w:val="0"/>
        <w:snapToGrid w:val="0"/>
        <w:spacing w:line="580" w:lineRule="exact"/>
        <w:ind w:firstLine="1680" w:firstLineChars="600"/>
        <w:rPr>
          <w:rFonts w:ascii="仿宋_GB2312" w:hAnsi="Times New Roman" w:eastAsia="仿宋_GB2312" w:cs="DengXian-Regular"/>
          <w:sz w:val="32"/>
          <w:szCs w:val="32"/>
        </w:rPr>
      </w:pPr>
      <w:r>
        <w:rPr>
          <w:rFonts w:hint="eastAsia" w:ascii="仿宋_GB2312" w:hAnsi="Times New Roman" w:eastAsia="仿宋_GB2312" w:cs="Wingdings"/>
          <w:sz w:val="28"/>
          <w:szCs w:val="28"/>
        </w:rPr>
        <w:drawing>
          <wp:anchor distT="0" distB="0" distL="114300" distR="114300" simplePos="0" relativeHeight="251675648" behindDoc="0" locked="0" layoutInCell="1" allowOverlap="1">
            <wp:simplePos x="0" y="0"/>
            <wp:positionH relativeFrom="column">
              <wp:posOffset>745490</wp:posOffset>
            </wp:positionH>
            <wp:positionV relativeFrom="paragraph">
              <wp:posOffset>61595</wp:posOffset>
            </wp:positionV>
            <wp:extent cx="4246880" cy="3260725"/>
            <wp:effectExtent l="0" t="0" r="1270" b="15875"/>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r>
        <w:rPr>
          <w:sz w:val="32"/>
        </w:rPr>
        <mc:AlternateContent>
          <mc:Choice Requires="wps">
            <w:drawing>
              <wp:anchor distT="0" distB="0" distL="114300" distR="114300" simplePos="0" relativeHeight="251674624" behindDoc="1" locked="0" layoutInCell="1" allowOverlap="1">
                <wp:simplePos x="0" y="0"/>
                <wp:positionH relativeFrom="column">
                  <wp:posOffset>945515</wp:posOffset>
                </wp:positionH>
                <wp:positionV relativeFrom="paragraph">
                  <wp:posOffset>960120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892175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45pt;margin-top:75.6pt;height:38.05pt;width:260.95pt;z-index:-251641856;mso-width-relative:page;mso-height-relative:page;" fillcolor="#FFFFFF" filled="t" stroked="f" coordsize="21600,21600" o:gfxdata="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frt6M1gAAAAsBAAAPAAAAAAAAAAEAIAAAACIAAABkcnMvZG93bnJldi54bWxQSwECFAAUAAAA&#10;CACHTuJAZo7+TWICAACrBAAADgAAAAAAAAABACAAAAAlAQAAZHJzL2Uyb0RvYy54bWxQSwUGAAAA&#10;AAYABgBZAQAA+Q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图X：支出构成情况（按支出性质）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keepNext/>
        <w:keepLines/>
        <w:snapToGrid w:val="0"/>
        <w:spacing w:line="580" w:lineRule="exact"/>
        <w:ind w:firstLine="640" w:firstLineChars="200"/>
        <w:outlineLvl w:val="1"/>
        <w:rPr>
          <w:rFonts w:hint="eastAsia" w:ascii="仿宋_GB2312" w:hAnsi="仿宋_GB2312" w:eastAsia="仿宋_GB2312" w:cs="仿宋_GB2312"/>
          <w:sz w:val="32"/>
          <w:szCs w:val="32"/>
          <w:lang w:eastAsia="zh-CN"/>
        </w:rPr>
      </w:pPr>
      <w:r>
        <w:rPr>
          <w:rFonts w:hint="eastAsia" w:ascii="仿宋_GB2312" w:hAnsi="Times New Roman" w:eastAsia="仿宋_GB2312" w:cs="Wingdings"/>
          <w:sz w:val="32"/>
          <w:szCs w:val="32"/>
        </w:rPr>
        <w:t>本部门</w:t>
      </w:r>
      <w:r>
        <w:rPr>
          <w:rFonts w:hint="eastAsia" w:ascii="仿宋_GB2312" w:hAnsi="Times New Roman" w:eastAsia="仿宋_GB2312" w:cs="Wingdings"/>
          <w:sz w:val="32"/>
          <w:szCs w:val="32"/>
          <w:lang w:val="en-US" w:eastAsia="zh-CN"/>
        </w:rPr>
        <w:t>2019</w:t>
      </w:r>
      <w:r>
        <w:rPr>
          <w:rFonts w:hint="eastAsia" w:ascii="仿宋_GB2312" w:hAnsi="Times New Roman" w:eastAsia="仿宋_GB2312" w:cs="Wingdings"/>
          <w:sz w:val="32"/>
          <w:szCs w:val="32"/>
        </w:rPr>
        <w:t>年度</w:t>
      </w:r>
      <w:r>
        <w:rPr>
          <w:rFonts w:hint="eastAsia" w:ascii="仿宋_GB2312" w:hAnsi="Times New Roman" w:eastAsia="仿宋_GB2312" w:cs="Wingdings"/>
          <w:sz w:val="32"/>
          <w:szCs w:val="32"/>
          <w:lang w:eastAsia="zh-CN"/>
        </w:rPr>
        <w:t>财政拨款本年收入</w:t>
      </w:r>
      <w:r>
        <w:rPr>
          <w:rFonts w:hint="eastAsia" w:ascii="仿宋_GB2312" w:hAnsi="Times New Roman" w:eastAsia="仿宋_GB2312" w:cs="Wingdings"/>
          <w:sz w:val="32"/>
          <w:szCs w:val="32"/>
          <w:lang w:val="en-US" w:eastAsia="zh-CN"/>
        </w:rPr>
        <w:t>990.3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，比</w:t>
      </w:r>
      <w:r>
        <w:rPr>
          <w:rFonts w:hint="eastAsia" w:ascii="仿宋_GB2312" w:hAnsi="Times New Roman" w:eastAsia="仿宋_GB2312" w:cs="Wingdings"/>
          <w:sz w:val="32"/>
          <w:szCs w:val="32"/>
        </w:rPr>
        <w:t>201</w:t>
      </w:r>
      <w:r>
        <w:rPr>
          <w:rFonts w:hint="eastAsia" w:ascii="仿宋_GB2312" w:hAnsi="Times New Roman" w:eastAsia="仿宋_GB2312" w:cs="Wingdings"/>
          <w:sz w:val="32"/>
          <w:szCs w:val="32"/>
          <w:lang w:val="en-US" w:eastAsia="zh-CN"/>
        </w:rPr>
        <w:t>8</w:t>
      </w:r>
      <w:r>
        <w:rPr>
          <w:rFonts w:hint="eastAsia" w:ascii="仿宋_GB2312" w:hAnsi="Times New Roman" w:eastAsia="仿宋_GB2312" w:cs="Wingdings"/>
          <w:sz w:val="32"/>
          <w:szCs w:val="32"/>
        </w:rPr>
        <w:t>年度</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83.85万元，增长9.25%，</w:t>
      </w:r>
      <w:r>
        <w:rPr>
          <w:rFonts w:hint="eastAsia" w:ascii="仿宋_GB2312" w:hAnsi="Times New Roman" w:eastAsia="仿宋_GB2312" w:cs="DengXian-Regular"/>
          <w:sz w:val="32"/>
          <w:szCs w:val="32"/>
        </w:rPr>
        <w:t>主要原因是</w:t>
      </w:r>
      <w:r>
        <w:rPr>
          <w:rFonts w:hint="eastAsia" w:ascii="仿宋_GB2312" w:hAnsi="仿宋_GB2312" w:eastAsia="仿宋_GB2312" w:cs="仿宋_GB2312"/>
          <w:sz w:val="32"/>
          <w:szCs w:val="32"/>
        </w:rPr>
        <w:t>因人员增加，增加人员经费和日常公用经费；项目</w:t>
      </w:r>
      <w:r>
        <w:rPr>
          <w:rFonts w:hint="eastAsia" w:ascii="仿宋_GB2312" w:hAnsi="仿宋_GB2312" w:eastAsia="仿宋_GB2312" w:cs="仿宋_GB2312"/>
          <w:sz w:val="32"/>
          <w:szCs w:val="32"/>
          <w:lang w:val="en-US" w:eastAsia="zh-CN"/>
        </w:rPr>
        <w:t>收入</w:t>
      </w:r>
      <w:r>
        <w:rPr>
          <w:rFonts w:hint="eastAsia" w:ascii="仿宋_GB2312" w:hAnsi="仿宋_GB2312" w:eastAsia="仿宋_GB2312" w:cs="仿宋_GB2312"/>
          <w:sz w:val="32"/>
          <w:szCs w:val="32"/>
        </w:rPr>
        <w:t>增加主要为，</w:t>
      </w:r>
      <w:r>
        <w:rPr>
          <w:rFonts w:hint="eastAsia" w:ascii="仿宋_GB2312" w:hAnsi="仿宋_GB2312" w:eastAsia="仿宋_GB2312" w:cs="仿宋_GB2312"/>
          <w:sz w:val="32"/>
          <w:szCs w:val="32"/>
          <w:lang w:eastAsia="zh-CN"/>
        </w:rPr>
        <w:t>教育项目收入增加学区遗属工资、农林水项目。</w:t>
      </w:r>
    </w:p>
    <w:p>
      <w:pPr>
        <w:keepNext/>
        <w:keepLines/>
        <w:snapToGrid w:val="0"/>
        <w:spacing w:line="580" w:lineRule="exact"/>
        <w:ind w:firstLine="640" w:firstLineChars="200"/>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本年支出</w:t>
      </w:r>
      <w:r>
        <w:rPr>
          <w:rFonts w:hint="eastAsia" w:ascii="仿宋_GB2312" w:hAnsi="仿宋_GB2312" w:eastAsia="仿宋_GB2312" w:cs="仿宋_GB2312"/>
          <w:sz w:val="32"/>
          <w:szCs w:val="32"/>
          <w:lang w:val="en-US" w:eastAsia="zh-CN"/>
        </w:rPr>
        <w:t>990.3万元，</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83.85万元，增长9.25%，</w:t>
      </w:r>
      <w:r>
        <w:rPr>
          <w:rFonts w:hint="eastAsia" w:ascii="仿宋_GB2312" w:hAnsi="Times New Roman" w:eastAsia="仿宋_GB2312" w:cs="DengXian-Regular"/>
          <w:sz w:val="32"/>
          <w:szCs w:val="32"/>
        </w:rPr>
        <w:t>主要原因是</w:t>
      </w:r>
      <w:r>
        <w:rPr>
          <w:rFonts w:hint="eastAsia" w:ascii="仿宋_GB2312" w:hAnsi="仿宋_GB2312" w:eastAsia="仿宋_GB2312" w:cs="仿宋_GB2312"/>
          <w:sz w:val="32"/>
          <w:szCs w:val="32"/>
        </w:rPr>
        <w:t>因人员增加，增加人员经费和日常公用经费</w:t>
      </w:r>
      <w:r>
        <w:rPr>
          <w:rFonts w:hint="eastAsia" w:ascii="仿宋_GB2312" w:hAnsi="仿宋_GB2312" w:eastAsia="仿宋_GB2312" w:cs="仿宋_GB2312"/>
          <w:sz w:val="32"/>
          <w:szCs w:val="32"/>
          <w:lang w:eastAsia="zh-CN"/>
        </w:rPr>
        <w:t>支出</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支出</w:t>
      </w:r>
      <w:r>
        <w:rPr>
          <w:rFonts w:hint="eastAsia" w:ascii="仿宋_GB2312" w:hAnsi="仿宋_GB2312" w:eastAsia="仿宋_GB2312" w:cs="仿宋_GB2312"/>
          <w:sz w:val="32"/>
          <w:szCs w:val="32"/>
        </w:rPr>
        <w:t>增加主要为</w:t>
      </w:r>
      <w:r>
        <w:rPr>
          <w:rFonts w:hint="eastAsia" w:ascii="仿宋_GB2312" w:hAnsi="仿宋_GB2312" w:eastAsia="仿宋_GB2312" w:cs="仿宋_GB2312"/>
          <w:sz w:val="32"/>
          <w:szCs w:val="32"/>
          <w:lang w:eastAsia="zh-CN"/>
        </w:rPr>
        <w:t>农林水项目。具体情况如下：</w:t>
      </w:r>
    </w:p>
    <w:p>
      <w:pPr>
        <w:keepNext/>
        <w:keepLines/>
        <w:snapToGrid w:val="0"/>
        <w:spacing w:line="580" w:lineRule="exact"/>
        <w:ind w:firstLine="640" w:firstLineChars="200"/>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anchor distT="0" distB="0" distL="114300" distR="114300" simplePos="0" relativeHeight="251676672" behindDoc="0" locked="0" layoutInCell="1" allowOverlap="1">
            <wp:simplePos x="0" y="0"/>
            <wp:positionH relativeFrom="column">
              <wp:posOffset>404495</wp:posOffset>
            </wp:positionH>
            <wp:positionV relativeFrom="paragraph">
              <wp:posOffset>164465</wp:posOffset>
            </wp:positionV>
            <wp:extent cx="4715510" cy="3119755"/>
            <wp:effectExtent l="0" t="0" r="8890" b="4445"/>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990.3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89.9</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111.24</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小</w:t>
      </w:r>
      <w:r>
        <w:rPr>
          <w:rFonts w:hint="eastAsia" w:ascii="仿宋_GB2312" w:hAnsi="Times New Roman" w:eastAsia="仿宋_GB2312" w:cs="DengXian-Regular"/>
          <w:sz w:val="32"/>
          <w:szCs w:val="32"/>
        </w:rPr>
        <w:t>于预算数主要原因是</w:t>
      </w:r>
      <w:r>
        <w:rPr>
          <w:rFonts w:hint="eastAsia" w:ascii="仿宋_GB2312" w:hAnsi="仿宋_GB2312" w:eastAsia="仿宋_GB2312" w:cs="仿宋_GB2312"/>
          <w:sz w:val="32"/>
          <w:szCs w:val="32"/>
          <w:lang w:eastAsia="zh-CN"/>
        </w:rPr>
        <w:t>项目支出减少</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人员经费和</w:t>
      </w:r>
      <w:r>
        <w:rPr>
          <w:rFonts w:hint="eastAsia" w:ascii="仿宋_GB2312" w:hAnsi="仿宋_GB2312" w:eastAsia="仿宋_GB2312" w:cs="仿宋_GB2312"/>
          <w:sz w:val="32"/>
          <w:szCs w:val="32"/>
          <w:lang w:eastAsia="zh-CN"/>
        </w:rPr>
        <w:t>各类项目经费支出</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收入</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主要为，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人员经费和</w:t>
      </w:r>
      <w:r>
        <w:rPr>
          <w:rFonts w:hint="eastAsia" w:ascii="仿宋_GB2312" w:hAnsi="仿宋_GB2312" w:eastAsia="仿宋_GB2312" w:cs="仿宋_GB2312"/>
          <w:sz w:val="32"/>
          <w:szCs w:val="32"/>
          <w:lang w:eastAsia="zh-CN"/>
        </w:rPr>
        <w:t>各类项目经费支出；</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990.3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89.9</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111.24</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小</w:t>
      </w:r>
      <w:r>
        <w:rPr>
          <w:rFonts w:hint="eastAsia" w:ascii="仿宋_GB2312" w:hAnsi="Times New Roman" w:eastAsia="仿宋_GB2312" w:cs="DengXian-Regular"/>
          <w:sz w:val="32"/>
          <w:szCs w:val="32"/>
        </w:rPr>
        <w:t>于预算数主要原因是主要是</w:t>
      </w:r>
      <w:r>
        <w:rPr>
          <w:rFonts w:hint="eastAsia" w:ascii="仿宋_GB2312" w:hAnsi="仿宋_GB2312" w:eastAsia="仿宋_GB2312" w:cs="仿宋_GB2312"/>
          <w:sz w:val="32"/>
          <w:szCs w:val="32"/>
          <w:lang w:eastAsia="zh-CN"/>
        </w:rPr>
        <w:t>项目支出减少</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人员经费和</w:t>
      </w:r>
      <w:r>
        <w:rPr>
          <w:rFonts w:hint="eastAsia" w:ascii="仿宋_GB2312" w:hAnsi="仿宋_GB2312" w:eastAsia="仿宋_GB2312" w:cs="仿宋_GB2312"/>
          <w:sz w:val="32"/>
          <w:szCs w:val="32"/>
          <w:lang w:eastAsia="zh-CN"/>
        </w:rPr>
        <w:t>项目支出</w:t>
      </w:r>
      <w:r>
        <w:rPr>
          <w:rFonts w:hint="eastAsia" w:ascii="仿宋_GB2312" w:hAnsi="仿宋_GB2312" w:eastAsia="仿宋_GB2312" w:cs="仿宋_GB2312"/>
          <w:sz w:val="32"/>
          <w:szCs w:val="32"/>
        </w:rPr>
        <w:t>经费</w:t>
      </w:r>
      <w:r>
        <w:rPr>
          <w:rFonts w:hint="eastAsia" w:ascii="仿宋_GB2312" w:hAnsi="仿宋_GB2312" w:eastAsia="仿宋_GB2312" w:cs="仿宋_GB2312"/>
          <w:sz w:val="32"/>
          <w:szCs w:val="32"/>
          <w:lang w:eastAsia="zh-CN"/>
        </w:rPr>
        <w:t>。</w:t>
      </w:r>
      <w:r>
        <w:rPr>
          <w:rFonts w:hint="eastAsia" w:ascii="仿宋_GB2312" w:hAnsi="Times New Roman" w:eastAsia="仿宋_GB2312" w:cs="DengXian-Regular"/>
          <w:sz w:val="32"/>
          <w:szCs w:val="32"/>
          <w:lang w:eastAsia="zh-CN"/>
        </w:rPr>
        <w:t>具体情况如下：</w:t>
      </w:r>
    </w:p>
    <w:p>
      <w:pPr>
        <w:keepNext/>
        <w:keepLines/>
        <w:snapToGrid w:val="0"/>
        <w:spacing w:line="580" w:lineRule="exact"/>
        <w:ind w:firstLine="640" w:firstLineChars="200"/>
        <w:outlineLvl w:val="1"/>
        <w:rPr>
          <w:rFonts w:ascii="楷体_GB2312" w:hAnsi="Times New Roman" w:eastAsia="楷体_GB2312" w:cs="DengXian-Bold"/>
          <w:b/>
          <w:bCs/>
          <w:sz w:val="32"/>
          <w:szCs w:val="32"/>
        </w:rPr>
      </w:pPr>
      <w:r>
        <w:rPr>
          <w:rFonts w:hint="eastAsia" w:ascii="仿宋_GB2312" w:hAnsi="仿宋_GB2312" w:eastAsia="仿宋_GB2312" w:cs="仿宋_GB2312"/>
          <w:sz w:val="32"/>
          <w:szCs w:val="32"/>
          <w:lang w:eastAsia="zh-CN"/>
        </w:rPr>
        <w:drawing>
          <wp:anchor distT="0" distB="0" distL="114300" distR="114300" simplePos="0" relativeHeight="251677696" behindDoc="0" locked="0" layoutInCell="1" allowOverlap="1">
            <wp:simplePos x="0" y="0"/>
            <wp:positionH relativeFrom="column">
              <wp:posOffset>579755</wp:posOffset>
            </wp:positionH>
            <wp:positionV relativeFrom="paragraph">
              <wp:posOffset>254000</wp:posOffset>
            </wp:positionV>
            <wp:extent cx="4715510" cy="3119755"/>
            <wp:effectExtent l="0" t="0" r="8890" b="4445"/>
            <wp:wrapNone/>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numPr>
          <w:ilvl w:val="0"/>
          <w:numId w:val="0"/>
        </w:numPr>
        <w:adjustRightInd w:val="0"/>
        <w:snapToGrid w:val="0"/>
        <w:spacing w:line="580" w:lineRule="exact"/>
        <w:rPr>
          <w:rFonts w:ascii="楷体_GB2312" w:hAnsi="Times New Roman" w:eastAsia="楷体_GB2312" w:cs="DengXian-Bold"/>
          <w:b/>
          <w:bCs/>
          <w:sz w:val="32"/>
          <w:szCs w:val="32"/>
        </w:rPr>
      </w:pPr>
    </w:p>
    <w:p>
      <w:pPr>
        <w:numPr>
          <w:ilvl w:val="0"/>
          <w:numId w:val="0"/>
        </w:numPr>
        <w:adjustRightInd w:val="0"/>
        <w:snapToGrid w:val="0"/>
        <w:spacing w:line="580" w:lineRule="exact"/>
        <w:ind w:firstLine="643" w:firstLineChars="200"/>
        <w:rPr>
          <w:rFonts w:hint="eastAsia" w:ascii="楷体_GB2312" w:hAnsi="Times New Roman" w:eastAsia="楷体_GB2312" w:cs="DengXian-Bold"/>
          <w:b/>
          <w:bCs/>
          <w:sz w:val="32"/>
          <w:szCs w:val="32"/>
        </w:rPr>
      </w:pPr>
    </w:p>
    <w:p>
      <w:pPr>
        <w:numPr>
          <w:ilvl w:val="0"/>
          <w:numId w:val="0"/>
        </w:numPr>
        <w:adjustRightInd w:val="0"/>
        <w:snapToGrid w:val="0"/>
        <w:spacing w:line="580" w:lineRule="exact"/>
        <w:ind w:firstLine="643" w:firstLineChars="200"/>
        <w:rPr>
          <w:rFonts w:hint="eastAsia" w:ascii="楷体_GB2312" w:hAnsi="Times New Roman" w:eastAsia="楷体_GB2312" w:cs="DengXian-Bold"/>
          <w:b/>
          <w:bCs/>
          <w:sz w:val="32"/>
          <w:szCs w:val="32"/>
          <w:lang w:eastAsia="zh-CN"/>
        </w:rPr>
      </w:pPr>
    </w:p>
    <w:p>
      <w:pPr>
        <w:numPr>
          <w:ilvl w:val="0"/>
          <w:numId w:val="0"/>
        </w:numPr>
        <w:adjustRightInd w:val="0"/>
        <w:snapToGrid w:val="0"/>
        <w:spacing w:line="580" w:lineRule="exact"/>
        <w:ind w:firstLine="643" w:firstLineChars="200"/>
        <w:rPr>
          <w:rFonts w:hint="eastAsia" w:ascii="楷体_GB2312" w:hAnsi="Times New Roman" w:eastAsia="楷体_GB2312" w:cs="DengXian-Bold"/>
          <w:b/>
          <w:bCs/>
          <w:sz w:val="32"/>
          <w:szCs w:val="32"/>
          <w:lang w:eastAsia="zh-CN"/>
        </w:rPr>
      </w:pPr>
    </w:p>
    <w:p>
      <w:pPr>
        <w:numPr>
          <w:ilvl w:val="0"/>
          <w:numId w:val="0"/>
        </w:numPr>
        <w:adjustRightInd w:val="0"/>
        <w:snapToGrid w:val="0"/>
        <w:spacing w:line="580" w:lineRule="exact"/>
        <w:ind w:firstLine="643" w:firstLineChars="200"/>
        <w:rPr>
          <w:rFonts w:hint="eastAsia" w:ascii="楷体_GB2312" w:hAnsi="Times New Roman" w:eastAsia="楷体_GB2312" w:cs="DengXian-Bold"/>
          <w:b/>
          <w:bCs/>
          <w:sz w:val="32"/>
          <w:szCs w:val="32"/>
          <w:lang w:eastAsia="zh-CN"/>
        </w:rPr>
      </w:pPr>
    </w:p>
    <w:p>
      <w:pPr>
        <w:numPr>
          <w:ilvl w:val="0"/>
          <w:numId w:val="0"/>
        </w:numPr>
        <w:adjustRightInd w:val="0"/>
        <w:snapToGrid w:val="0"/>
        <w:spacing w:line="580" w:lineRule="exact"/>
        <w:ind w:firstLine="643" w:firstLineChars="200"/>
        <w:rPr>
          <w:rFonts w:hint="eastAsia" w:ascii="楷体_GB2312" w:hAnsi="Times New Roman" w:eastAsia="楷体_GB2312" w:cs="DengXian-Bold"/>
          <w:b/>
          <w:bCs/>
          <w:sz w:val="32"/>
          <w:szCs w:val="32"/>
          <w:lang w:eastAsia="zh-CN"/>
        </w:rPr>
      </w:pPr>
    </w:p>
    <w:p>
      <w:pPr>
        <w:numPr>
          <w:ilvl w:val="0"/>
          <w:numId w:val="0"/>
        </w:numPr>
        <w:adjustRightInd w:val="0"/>
        <w:snapToGrid w:val="0"/>
        <w:spacing w:line="580" w:lineRule="exact"/>
        <w:ind w:firstLine="643" w:firstLineChars="200"/>
        <w:rPr>
          <w:rFonts w:hint="eastAsia" w:ascii="楷体_GB2312" w:hAnsi="Times New Roman" w:eastAsia="楷体_GB2312" w:cs="DengXian-Bold"/>
          <w:b/>
          <w:bCs/>
          <w:sz w:val="32"/>
          <w:szCs w:val="32"/>
          <w:lang w:eastAsia="zh-CN"/>
        </w:rPr>
      </w:pPr>
    </w:p>
    <w:p>
      <w:pPr>
        <w:numPr>
          <w:ilvl w:val="0"/>
          <w:numId w:val="0"/>
        </w:num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九</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990.3</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744.27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75.16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19.46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1.97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49.85</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5.03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节能环保</w:t>
      </w:r>
      <w:r>
        <w:rPr>
          <w:rFonts w:hint="eastAsia" w:ascii="仿宋_GB2312" w:hAnsi="Times New Roman" w:eastAsia="仿宋_GB2312" w:cs="DengXian-Regular"/>
          <w:sz w:val="32"/>
          <w:szCs w:val="32"/>
        </w:rPr>
        <w:t xml:space="preserve">（类）支出 </w:t>
      </w:r>
      <w:r>
        <w:rPr>
          <w:rFonts w:hint="eastAsia" w:ascii="仿宋_GB2312" w:hAnsi="Times New Roman" w:eastAsia="仿宋_GB2312" w:cs="DengXian-Regular"/>
          <w:sz w:val="32"/>
          <w:szCs w:val="32"/>
          <w:lang w:val="en-US" w:eastAsia="zh-CN"/>
        </w:rPr>
        <w:t>38.55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3.89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社会保障与就业</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2.27</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0.23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农林水（类）支出</w:t>
      </w:r>
      <w:r>
        <w:rPr>
          <w:rFonts w:hint="eastAsia" w:ascii="仿宋_GB2312" w:hAnsi="Times New Roman" w:eastAsia="仿宋_GB2312" w:cs="DengXian-Regular"/>
          <w:sz w:val="32"/>
          <w:szCs w:val="32"/>
          <w:lang w:val="en-US" w:eastAsia="zh-CN"/>
        </w:rPr>
        <w:t>135.9万元，占13.72%</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rPr>
          <w:rFonts w:hint="eastAsia" w:ascii="仿宋_GB2312" w:hAnsi="Times New Roman" w:eastAsia="仿宋_GB2312" w:cs="Wingdings"/>
          <w:sz w:val="28"/>
          <w:szCs w:val="28"/>
        </w:rPr>
        <w:drawing>
          <wp:anchor distT="0" distB="0" distL="114300" distR="114300" simplePos="0" relativeHeight="251678720" behindDoc="0" locked="0" layoutInCell="1" allowOverlap="1">
            <wp:simplePos x="0" y="0"/>
            <wp:positionH relativeFrom="column">
              <wp:posOffset>704850</wp:posOffset>
            </wp:positionH>
            <wp:positionV relativeFrom="paragraph">
              <wp:posOffset>220345</wp:posOffset>
            </wp:positionV>
            <wp:extent cx="4389120" cy="3213735"/>
            <wp:effectExtent l="0" t="0" r="11430" b="5715"/>
            <wp:wrapNone/>
            <wp:docPr id="385" name="图表 38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744.27</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637.16</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107.11</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1.14</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30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2.66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公务用车运行维护费用减少</w:t>
      </w:r>
      <w:r>
        <w:rPr>
          <w:rFonts w:hint="eastAsia" w:ascii="仿宋_GB2312" w:hAnsi="Times New Roman" w:eastAsia="仿宋_GB2312" w:cs="DengXian-Regular"/>
          <w:sz w:val="32"/>
          <w:szCs w:val="32"/>
        </w:rPr>
        <w:t>；较2018年度</w:t>
      </w:r>
      <w:r>
        <w:rPr>
          <w:rFonts w:hint="eastAsia" w:ascii="仿宋_GB2312" w:hAnsi="Times New Roman" w:eastAsia="仿宋_GB2312" w:cs="Wingdings"/>
          <w:sz w:val="32"/>
          <w:szCs w:val="32"/>
          <w:lang w:eastAsia="zh-CN"/>
        </w:rPr>
        <w:t>减少</w:t>
      </w:r>
      <w:r>
        <w:rPr>
          <w:rFonts w:hint="eastAsia" w:ascii="仿宋_GB2312" w:hAnsi="Times New Roman" w:eastAsia="仿宋_GB2312" w:cs="Wingdings"/>
          <w:sz w:val="32"/>
          <w:szCs w:val="32"/>
          <w:lang w:val="en-US" w:eastAsia="zh-CN"/>
        </w:rPr>
        <w:t>2.57</w:t>
      </w:r>
      <w:r>
        <w:rPr>
          <w:rFonts w:hint="eastAsia" w:ascii="仿宋_GB2312" w:hAnsi="Times New Roman" w:eastAsia="仿宋_GB2312" w:cs="Wingdings"/>
          <w:sz w:val="32"/>
          <w:szCs w:val="32"/>
        </w:rPr>
        <w:t>万元</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3" w:firstLineChars="200"/>
        <w:rPr>
          <w:rFonts w:hint="eastAsia" w:ascii="楷体_GB2312" w:hAnsi="Times New Roman" w:eastAsia="楷体_GB2312" w:cs="DengXian-Bold"/>
          <w:b w:val="0"/>
          <w:bCs w:val="0"/>
          <w:sz w:val="32"/>
          <w:szCs w:val="32"/>
          <w:lang w:eastAsia="zh-CN"/>
        </w:rPr>
      </w:pP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w:t>
      </w:r>
      <w:r>
        <w:rPr>
          <w:rFonts w:hint="eastAsia" w:ascii="仿宋_GB2312" w:hAnsi="Times New Roman" w:eastAsia="仿宋_GB2312" w:cs="DengXian-Regular"/>
          <w:sz w:val="32"/>
          <w:szCs w:val="32"/>
          <w:lang w:eastAsia="zh-CN"/>
        </w:rPr>
        <w:t>无</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未发生</w:t>
      </w:r>
      <w:r>
        <w:rPr>
          <w:rFonts w:hint="eastAsia" w:ascii="楷体_GB2312" w:hAnsi="Times New Roman" w:eastAsia="楷体_GB2312" w:cs="DengXian-Bold"/>
          <w:b w:val="0"/>
          <w:bCs w:val="0"/>
          <w:sz w:val="32"/>
          <w:szCs w:val="32"/>
        </w:rPr>
        <w:t>因公出国（境）费</w:t>
      </w:r>
      <w:r>
        <w:rPr>
          <w:rFonts w:hint="eastAsia" w:ascii="楷体_GB2312" w:hAnsi="Times New Roman" w:eastAsia="楷体_GB2312" w:cs="DengXian-Bold"/>
          <w:b w:val="0"/>
          <w:bCs w:val="0"/>
          <w:sz w:val="32"/>
          <w:szCs w:val="32"/>
          <w:lang w:eastAsia="zh-CN"/>
        </w:rPr>
        <w:t>支出，与年初预算持平。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1.14</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2.66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公务用车运行维护费用减少</w:t>
      </w:r>
      <w:r>
        <w:rPr>
          <w:rFonts w:hint="eastAsia" w:ascii="仿宋_GB2312" w:hAnsi="Times New Roman" w:eastAsia="仿宋_GB2312" w:cs="DengXian-Regular"/>
          <w:sz w:val="32"/>
          <w:szCs w:val="32"/>
        </w:rPr>
        <w:t>；较2018年度</w:t>
      </w:r>
      <w:r>
        <w:rPr>
          <w:rFonts w:hint="eastAsia" w:ascii="仿宋_GB2312" w:hAnsi="Times New Roman" w:eastAsia="仿宋_GB2312" w:cs="Wingdings"/>
          <w:sz w:val="32"/>
          <w:szCs w:val="32"/>
          <w:lang w:eastAsia="zh-CN"/>
        </w:rPr>
        <w:t>减少</w:t>
      </w:r>
      <w:r>
        <w:rPr>
          <w:rFonts w:hint="eastAsia" w:ascii="仿宋_GB2312" w:hAnsi="Times New Roman" w:eastAsia="仿宋_GB2312" w:cs="Wingdings"/>
          <w:sz w:val="32"/>
          <w:szCs w:val="32"/>
          <w:lang w:val="en-US" w:eastAsia="zh-CN"/>
        </w:rPr>
        <w:t>2.57</w:t>
      </w:r>
      <w:r>
        <w:rPr>
          <w:rFonts w:hint="eastAsia" w:ascii="仿宋_GB2312" w:hAnsi="Times New Roman" w:eastAsia="仿宋_GB2312" w:cs="Wingdings"/>
          <w:sz w:val="32"/>
          <w:szCs w:val="32"/>
        </w:rPr>
        <w:t>万元</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w:t>
      </w:r>
      <w:r>
        <w:rPr>
          <w:rFonts w:hint="eastAsia" w:ascii="仿宋_GB2312" w:hAnsi="Times New Roman" w:eastAsia="仿宋_GB2312" w:cs="DengXian-Regular"/>
          <w:sz w:val="32"/>
          <w:szCs w:val="32"/>
          <w:lang w:eastAsia="zh-CN"/>
        </w:rPr>
        <w:t>无增减</w:t>
      </w:r>
      <w:r>
        <w:rPr>
          <w:rFonts w:ascii="仿宋_GB2312" w:hAnsi="Times New Roman" w:eastAsia="仿宋_GB2312" w:cs="DengXian-Regular"/>
          <w:sz w:val="32"/>
          <w:szCs w:val="32"/>
        </w:rPr>
        <w:t>,</w:t>
      </w:r>
      <w:r>
        <w:rPr>
          <w:rFonts w:hint="eastAsia" w:ascii="仿宋_GB2312" w:hAnsi="Times New Roman" w:eastAsia="仿宋_GB2312" w:cs="DengXian-Regular"/>
          <w:color w:val="000000"/>
          <w:sz w:val="32"/>
          <w:szCs w:val="32"/>
          <w:highlight w:val="none"/>
        </w:rPr>
        <w:t>未发生“公务用车购置”经费支出</w:t>
      </w:r>
      <w:r>
        <w:rPr>
          <w:rFonts w:hint="eastAsia" w:ascii="仿宋_GB2312" w:hAnsi="Times New Roman" w:eastAsia="仿宋_GB2312" w:cs="DengXian-Regular"/>
          <w:color w:val="000000"/>
          <w:sz w:val="32"/>
          <w:szCs w:val="32"/>
          <w:highlight w:val="none"/>
          <w:lang w:val="en-US" w:eastAsia="zh-CN"/>
        </w:rPr>
        <w:t>,与年初预算持平</w:t>
      </w:r>
      <w:r>
        <w:rPr>
          <w:rFonts w:hint="eastAsia" w:ascii="仿宋_GB2312" w:hAnsi="Times New Roman" w:eastAsia="仿宋_GB2312" w:cs="DengXian-Regular"/>
          <w:color w:val="000000"/>
          <w:sz w:val="32"/>
          <w:szCs w:val="32"/>
          <w:highlight w:val="none"/>
          <w:lang w:eastAsia="zh-CN"/>
        </w:rPr>
        <w:t>。</w:t>
      </w:r>
    </w:p>
    <w:p>
      <w:pPr>
        <w:adjustRightInd w:val="0"/>
        <w:snapToGrid w:val="0"/>
        <w:spacing w:line="580" w:lineRule="exact"/>
        <w:ind w:firstLine="643" w:firstLineChars="200"/>
        <w:rPr>
          <w:rFonts w:hint="default" w:ascii="仿宋_GB2312" w:hAnsi="Times New Roman" w:eastAsia="仿宋_GB2312" w:cs="DengXian-Regular"/>
          <w:sz w:val="32"/>
          <w:szCs w:val="32"/>
          <w:lang w:val="en-US"/>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2.66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公务用车运行维护费用减少</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2.57</w:t>
      </w:r>
      <w:r>
        <w:rPr>
          <w:rFonts w:hint="eastAsia" w:ascii="仿宋_GB2312" w:hAnsi="Times New Roman" w:eastAsia="仿宋_GB2312" w:cs="DengXian-Regular"/>
          <w:sz w:val="32"/>
          <w:szCs w:val="32"/>
        </w:rPr>
        <w:t>万元。</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w:t>
      </w:r>
      <w:r>
        <w:rPr>
          <w:rFonts w:hint="eastAsia" w:ascii="仿宋_GB2312" w:hAnsi="Times New Roman" w:eastAsia="仿宋_GB2312" w:cs="DengXian-Regular"/>
          <w:sz w:val="32"/>
          <w:szCs w:val="32"/>
        </w:rPr>
        <w:t>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万元，较上年度</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无增减，未发生</w:t>
      </w:r>
      <w:r>
        <w:rPr>
          <w:rFonts w:hint="eastAsia" w:ascii="楷体_GB2312" w:hAnsi="Times New Roman" w:eastAsia="楷体_GB2312" w:cs="DengXian-Bold"/>
          <w:b w:val="0"/>
          <w:bCs w:val="0"/>
          <w:sz w:val="32"/>
          <w:szCs w:val="32"/>
        </w:rPr>
        <w:t>公务接待费支出</w:t>
      </w:r>
      <w:r>
        <w:rPr>
          <w:rFonts w:hint="eastAsia" w:ascii="楷体_GB2312" w:hAnsi="Times New Roman" w:eastAsia="楷体_GB2312" w:cs="DengXian-Bold"/>
          <w:b w:val="0"/>
          <w:bCs w:val="0"/>
          <w:sz w:val="32"/>
          <w:szCs w:val="32"/>
          <w:lang w:eastAsia="zh-CN"/>
        </w:rPr>
        <w:t>，与年初预算持平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根据预算绩效管理要求，本部门组织对2019年度一般公共预算项目支出全面开展绩效自评，项目</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990.3</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eastAsia="zh-CN"/>
        </w:rPr>
        <w:t>预算绩效管理开展良好。</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rPr>
        <w:t>本部门</w:t>
      </w:r>
      <w:r>
        <w:rPr>
          <w:rFonts w:hint="eastAsia" w:ascii="仿宋_GB2312" w:hAnsi="仿宋_GB2312" w:eastAsia="仿宋_GB2312" w:cs="仿宋_GB2312"/>
          <w:sz w:val="32"/>
          <w:szCs w:val="32"/>
          <w:lang w:eastAsia="zh-CN"/>
        </w:rPr>
        <w:t>在今年部门决算公开中反映</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2019年度农村文化建设县级资金</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2019年度村级服务群众专项经费县级资金</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两个项目绩效自评结果。</w:t>
      </w:r>
    </w:p>
    <w:p>
      <w:pPr>
        <w:numPr>
          <w:ilvl w:val="0"/>
          <w:numId w:val="3"/>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2019年度农村文化建设县级资金</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val="en-US" w:eastAsia="zh-CN"/>
        </w:rPr>
        <w:t>2019年度农村文化建设县级资金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widowControl w:val="0"/>
        <w:numPr>
          <w:ilvl w:val="0"/>
          <w:numId w:val="0"/>
        </w:numPr>
        <w:adjustRightInd w:val="0"/>
        <w:snapToGrid w:val="0"/>
        <w:spacing w:line="60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600" w:lineRule="exact"/>
        <w:jc w:val="both"/>
        <w:rPr>
          <w:rFonts w:hint="eastAsia" w:ascii="仿宋_GB2312" w:hAnsi="仿宋_GB2312" w:eastAsia="仿宋_GB2312" w:cs="仿宋_GB2312"/>
          <w:sz w:val="32"/>
          <w:szCs w:val="32"/>
        </w:rPr>
      </w:pPr>
    </w:p>
    <w:tbl>
      <w:tblPr>
        <w:tblStyle w:val="6"/>
        <w:tblW w:w="96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200"/>
        <w:gridCol w:w="1200"/>
        <w:gridCol w:w="1200"/>
        <w:gridCol w:w="1200"/>
        <w:gridCol w:w="1200"/>
        <w:gridCol w:w="1200"/>
        <w:gridCol w:w="1200"/>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5" w:hRule="atLeast"/>
        </w:trPr>
        <w:tc>
          <w:tcPr>
            <w:tcW w:w="9600"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600"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填报单位：正定县西平乐乡人民政府</w:t>
            </w: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20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农村文化建设资金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正定县西平乐乡人民政府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10</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10</w:t>
            </w: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color w:val="000000"/>
                <w:sz w:val="21"/>
                <w:szCs w:val="21"/>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28"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6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eastAsia="宋体" w:cs="宋体"/>
                <w:i w:val="0"/>
                <w:color w:val="000000"/>
                <w:sz w:val="16"/>
                <w:szCs w:val="16"/>
                <w:u w:val="none"/>
                <w:lang w:eastAsia="zh-CN"/>
              </w:rPr>
              <w:t>提高农村文化活动质量</w:t>
            </w:r>
          </w:p>
        </w:tc>
        <w:tc>
          <w:tcPr>
            <w:tcW w:w="36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sz w:val="16"/>
                <w:szCs w:val="16"/>
                <w:u w:val="none"/>
                <w:lang w:eastAsia="zh-CN"/>
              </w:rPr>
              <w:t>提高农村文化活动质量</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28"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6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6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28"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6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6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20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指标</w:t>
            </w:r>
            <w:r>
              <w:rPr>
                <w:rFonts w:ascii="Calibri" w:hAnsi="Calibri" w:eastAsia="宋体" w:cs="Calibri"/>
                <w:i w:val="0"/>
                <w:color w:val="000000"/>
                <w:kern w:val="0"/>
                <w:sz w:val="16"/>
                <w:szCs w:val="16"/>
                <w:u w:val="none"/>
                <w:lang w:val="en-US" w:eastAsia="zh-CN" w:bidi="ar"/>
              </w:rPr>
              <w:t xml:space="preserve"> </w:t>
            </w:r>
            <w:r>
              <w:rPr>
                <w:rFonts w:hint="eastAsia" w:ascii="Arial Unicode MS" w:hAnsi="Arial Unicode MS" w:eastAsia="Arial Unicode MS" w:cs="Arial Unicode MS"/>
                <w:i w:val="0"/>
                <w:color w:val="000000"/>
                <w:kern w:val="0"/>
                <w:sz w:val="16"/>
                <w:szCs w:val="16"/>
                <w:u w:val="none"/>
                <w:lang w:val="en-US" w:eastAsia="zh-CN" w:bidi="ar"/>
              </w:rPr>
              <w:t>10个村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拨付10个村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eastAsia="宋体" w:cs="宋体"/>
                <w:i w:val="0"/>
                <w:color w:val="000000"/>
                <w:sz w:val="16"/>
                <w:szCs w:val="16"/>
                <w:u w:val="none"/>
                <w:lang w:val="en-US" w:eastAsia="zh-CN"/>
              </w:rPr>
              <w:t>拨付10个村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20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Fonts w:ascii="Calibri" w:hAnsi="Calibri" w:eastAsia="宋体" w:cs="Calibri"/>
                <w:i w:val="0"/>
                <w:color w:val="000000"/>
                <w:kern w:val="0"/>
                <w:sz w:val="16"/>
                <w:szCs w:val="16"/>
                <w:u w:val="none"/>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１享受服务覆盖面</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left w:val="single" w:color="000000" w:sz="4" w:space="0"/>
              <w:right w:val="single" w:color="000000" w:sz="4" w:space="0"/>
            </w:tcBorders>
            <w:shd w:val="clear" w:color="auto" w:fill="auto"/>
            <w:vAlign w:val="center"/>
          </w:tcPr>
          <w:p>
            <w:pPr>
              <w:rPr>
                <w:rFonts w:hint="eastAsia" w:ascii="宋体" w:hAnsi="宋体" w:eastAsia="宋体" w:cs="宋体"/>
                <w:i w:val="0"/>
                <w:color w:val="000000"/>
                <w:sz w:val="16"/>
                <w:szCs w:val="16"/>
                <w:u w:val="none"/>
              </w:rPr>
            </w:pPr>
          </w:p>
        </w:tc>
        <w:tc>
          <w:tcPr>
            <w:tcW w:w="120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Fonts w:ascii="Calibri" w:hAnsi="Calibri" w:eastAsia="宋体" w:cs="Calibri"/>
                <w:i w:val="0"/>
                <w:color w:val="000000"/>
                <w:kern w:val="0"/>
                <w:sz w:val="16"/>
                <w:szCs w:val="16"/>
                <w:u w:val="none"/>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１服务对象满意率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w:t>
            </w:r>
            <w:r>
              <w:rPr>
                <w:rFonts w:hint="default" w:ascii="Calibri" w:hAnsi="Calibri" w:eastAsia="宋体" w:cs="Calibri"/>
                <w:i w:val="0"/>
                <w:color w:val="000000"/>
                <w:kern w:val="0"/>
                <w:sz w:val="21"/>
                <w:szCs w:val="21"/>
                <w:u w:val="none"/>
                <w:lang w:val="en-US" w:eastAsia="zh-CN" w:bidi="ar"/>
              </w:rPr>
              <w:t>95%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r>
              <w:rPr>
                <w:rFonts w:hint="eastAsia" w:ascii="宋体" w:hAnsi="宋体" w:eastAsia="宋体" w:cs="宋体"/>
                <w:i w:val="0"/>
                <w:color w:val="000000"/>
                <w:kern w:val="0"/>
                <w:sz w:val="21"/>
                <w:szCs w:val="21"/>
                <w:u w:val="none"/>
                <w:lang w:val="en-US" w:eastAsia="zh-CN" w:bidi="ar"/>
              </w:rPr>
              <w:t>以上</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72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75" w:hRule="atLeast"/>
        </w:trPr>
        <w:tc>
          <w:tcPr>
            <w:tcW w:w="1200"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840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执行现状与年度绩效目标无偏差</w:t>
            </w:r>
          </w:p>
        </w:tc>
      </w:tr>
    </w:tbl>
    <w:p>
      <w:pPr>
        <w:widowControl w:val="0"/>
        <w:numPr>
          <w:ilvl w:val="0"/>
          <w:numId w:val="0"/>
        </w:numPr>
        <w:adjustRightInd w:val="0"/>
        <w:snapToGrid w:val="0"/>
        <w:spacing w:line="600" w:lineRule="exact"/>
        <w:jc w:val="both"/>
        <w:rPr>
          <w:rFonts w:hint="eastAsia" w:ascii="仿宋_GB2312" w:hAnsi="仿宋_GB2312" w:eastAsia="仿宋_GB2312" w:cs="仿宋_GB2312"/>
          <w:sz w:val="32"/>
          <w:szCs w:val="32"/>
        </w:rPr>
      </w:pP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（2）2019年度村级服务群众专项经费县级资金</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val="en-US" w:eastAsia="zh-CN"/>
        </w:rPr>
        <w:t>2019年度村级服务群众专项经费县级资金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w:t>
      </w:r>
    </w:p>
    <w:tbl>
      <w:tblPr>
        <w:tblStyle w:val="6"/>
        <w:tblW w:w="96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200"/>
        <w:gridCol w:w="1200"/>
        <w:gridCol w:w="1200"/>
        <w:gridCol w:w="1200"/>
        <w:gridCol w:w="1200"/>
        <w:gridCol w:w="1200"/>
        <w:gridCol w:w="1200"/>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45" w:hRule="atLeast"/>
        </w:trPr>
        <w:tc>
          <w:tcPr>
            <w:tcW w:w="9600" w:type="dxa"/>
            <w:gridSpan w:val="8"/>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县级部门预算项目绩效自评表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9600" w:type="dxa"/>
            <w:gridSpan w:val="8"/>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填报单位：正定县西平乐乡人民政府</w:t>
            </w: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jc w:val="center"/>
              <w:rPr>
                <w:rFonts w:hint="eastAsia" w:ascii="宋体" w:hAnsi="宋体" w:eastAsia="宋体" w:cs="宋体"/>
                <w:i w:val="0"/>
                <w:color w:val="000000"/>
                <w:sz w:val="16"/>
                <w:szCs w:val="16"/>
                <w:u w:val="none"/>
              </w:rPr>
            </w:pPr>
          </w:p>
        </w:tc>
        <w:tc>
          <w:tcPr>
            <w:tcW w:w="120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trPr>
        <w:tc>
          <w:tcPr>
            <w:tcW w:w="120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村级服务群众专项经费县级资金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正定县曲阳桥镇人民政府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eastAsia="zh-CN"/>
              </w:rPr>
            </w:pPr>
            <w:r>
              <w:rPr>
                <w:rFonts w:hint="eastAsia" w:ascii="宋体" w:hAnsi="宋体" w:eastAsia="宋体" w:cs="宋体"/>
                <w:i w:val="0"/>
                <w:color w:val="000000"/>
                <w:sz w:val="16"/>
                <w:szCs w:val="16"/>
                <w:u w:val="none"/>
                <w:lang w:val="en-US" w:eastAsia="zh-CN"/>
              </w:rPr>
              <w:t>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eastAsia="zh-CN"/>
              </w:rPr>
            </w:pPr>
            <w:r>
              <w:rPr>
                <w:rFonts w:hint="eastAsia" w:ascii="宋体" w:hAnsi="宋体" w:eastAsia="宋体" w:cs="宋体"/>
                <w:i w:val="0"/>
                <w:color w:val="000000"/>
                <w:sz w:val="16"/>
                <w:szCs w:val="16"/>
                <w:u w:val="none"/>
                <w:lang w:val="en-US" w:eastAsia="zh-CN"/>
              </w:rPr>
              <w:t>50</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eastAsia="zh-CN"/>
              </w:rPr>
            </w:pPr>
            <w:r>
              <w:rPr>
                <w:rFonts w:hint="eastAsia" w:ascii="宋体" w:hAnsi="宋体" w:eastAsia="宋体" w:cs="宋体"/>
                <w:i w:val="0"/>
                <w:color w:val="000000"/>
                <w:sz w:val="16"/>
                <w:szCs w:val="16"/>
                <w:u w:val="none"/>
                <w:lang w:val="en-US" w:eastAsia="zh-CN"/>
              </w:rPr>
              <w:t>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eastAsia="zh-CN"/>
              </w:rPr>
            </w:pPr>
            <w:r>
              <w:rPr>
                <w:rFonts w:hint="eastAsia" w:ascii="宋体" w:hAnsi="宋体" w:eastAsia="宋体" w:cs="宋体"/>
                <w:i w:val="0"/>
                <w:color w:val="000000"/>
                <w:sz w:val="16"/>
                <w:szCs w:val="16"/>
                <w:u w:val="none"/>
                <w:lang w:val="en-US" w:eastAsia="zh-CN"/>
              </w:rPr>
              <w:t>50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eastAsia="zh-CN"/>
              </w:rPr>
            </w:pPr>
            <w:r>
              <w:rPr>
                <w:rFonts w:hint="eastAsia" w:ascii="宋体" w:hAnsi="宋体" w:eastAsia="宋体" w:cs="宋体"/>
                <w:i w:val="0"/>
                <w:color w:val="000000"/>
                <w:sz w:val="16"/>
                <w:szCs w:val="16"/>
                <w:u w:val="none"/>
                <w:lang w:val="en-US" w:eastAsia="zh-CN"/>
              </w:rPr>
              <w:t>50</w:t>
            </w: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color w:val="000000"/>
                <w:sz w:val="21"/>
                <w:szCs w:val="21"/>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28"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6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满足日常生产生活需要</w:t>
            </w:r>
          </w:p>
        </w:tc>
        <w:tc>
          <w:tcPr>
            <w:tcW w:w="36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满足日常生产生活需要</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28"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6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6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28"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6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6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20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指标</w:t>
            </w:r>
            <w:r>
              <w:rPr>
                <w:rFonts w:hint="eastAsia" w:ascii="Calibri" w:hAnsi="Calibri" w:eastAsia="宋体" w:cs="Calibri"/>
                <w:i w:val="0"/>
                <w:color w:val="000000"/>
                <w:kern w:val="0"/>
                <w:sz w:val="16"/>
                <w:szCs w:val="16"/>
                <w:u w:val="none"/>
                <w:lang w:val="en-US" w:eastAsia="zh-CN" w:bidi="ar"/>
              </w:rPr>
              <w:t>1</w:t>
            </w:r>
            <w:r>
              <w:rPr>
                <w:rFonts w:hint="eastAsia" w:ascii="Arial Unicode MS" w:hAnsi="Arial Unicode MS" w:eastAsia="Arial Unicode MS" w:cs="Arial Unicode MS"/>
                <w:i w:val="0"/>
                <w:color w:val="000000"/>
                <w:kern w:val="0"/>
                <w:sz w:val="16"/>
                <w:szCs w:val="16"/>
                <w:u w:val="none"/>
                <w:lang w:val="en-US" w:eastAsia="zh-CN" w:bidi="ar"/>
              </w:rPr>
              <w:t>0个村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拨付10个村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eastAsia="宋体" w:cs="宋体"/>
                <w:i w:val="0"/>
                <w:color w:val="000000"/>
                <w:sz w:val="16"/>
                <w:szCs w:val="16"/>
                <w:u w:val="none"/>
                <w:lang w:val="en-US" w:eastAsia="zh-CN"/>
              </w:rPr>
              <w:t>拨付10个村</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vMerge w:val="continue"/>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50"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20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促进农民增收</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00" w:type="dxa"/>
            <w:tcBorders>
              <w:left w:val="single" w:color="000000" w:sz="4" w:space="0"/>
              <w:right w:val="single" w:color="000000" w:sz="4" w:space="0"/>
            </w:tcBorders>
            <w:shd w:val="clear" w:color="auto" w:fill="auto"/>
            <w:vAlign w:val="center"/>
          </w:tcPr>
          <w:p>
            <w:pPr>
              <w:rPr>
                <w:rFonts w:hint="eastAsia" w:ascii="宋体" w:hAnsi="宋体" w:eastAsia="宋体" w:cs="宋体"/>
                <w:i w:val="0"/>
                <w:color w:val="000000"/>
                <w:sz w:val="16"/>
                <w:szCs w:val="16"/>
                <w:u w:val="none"/>
              </w:rPr>
            </w:pPr>
          </w:p>
        </w:tc>
        <w:tc>
          <w:tcPr>
            <w:tcW w:w="120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Fonts w:ascii="Calibri" w:hAnsi="Calibri" w:eastAsia="宋体" w:cs="Calibri"/>
                <w:i w:val="0"/>
                <w:color w:val="000000"/>
                <w:kern w:val="0"/>
                <w:sz w:val="16"/>
                <w:szCs w:val="16"/>
                <w:u w:val="none"/>
                <w:lang w:val="en-US" w:eastAsia="zh-CN" w:bidi="ar"/>
              </w:rPr>
              <w:t xml:space="preserve"> </w:t>
            </w:r>
            <w:r>
              <w:rPr>
                <w:rFonts w:ascii="Arial Unicode MS" w:hAnsi="Arial Unicode MS" w:eastAsia="Arial Unicode MS" w:cs="Arial Unicode MS"/>
                <w:i w:val="0"/>
                <w:color w:val="000000"/>
                <w:kern w:val="0"/>
                <w:sz w:val="16"/>
                <w:szCs w:val="16"/>
                <w:u w:val="none"/>
                <w:lang w:val="en-US" w:eastAsia="zh-CN" w:bidi="ar"/>
              </w:rPr>
              <w:t>１服务对象满意率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w:t>
            </w:r>
            <w:r>
              <w:rPr>
                <w:rFonts w:hint="default" w:ascii="Calibri" w:hAnsi="Calibri" w:eastAsia="宋体" w:cs="Calibri"/>
                <w:i w:val="0"/>
                <w:color w:val="000000"/>
                <w:kern w:val="0"/>
                <w:sz w:val="21"/>
                <w:szCs w:val="21"/>
                <w:u w:val="none"/>
                <w:lang w:val="en-US" w:eastAsia="zh-CN" w:bidi="ar"/>
              </w:rPr>
              <w:t>95%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r>
              <w:rPr>
                <w:rFonts w:hint="eastAsia" w:ascii="宋体" w:hAnsi="宋体" w:eastAsia="宋体" w:cs="宋体"/>
                <w:i w:val="0"/>
                <w:color w:val="000000"/>
                <w:kern w:val="0"/>
                <w:sz w:val="21"/>
                <w:szCs w:val="21"/>
                <w:u w:val="none"/>
                <w:lang w:val="en-US" w:eastAsia="zh-CN" w:bidi="ar"/>
              </w:rPr>
              <w:t>以上</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20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72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75" w:hRule="atLeast"/>
        </w:trPr>
        <w:tc>
          <w:tcPr>
            <w:tcW w:w="1200"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840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执行现状与年度绩效目标无偏差</w:t>
            </w:r>
          </w:p>
        </w:tc>
      </w:tr>
    </w:tbl>
    <w:p>
      <w:pPr>
        <w:numPr>
          <w:ilvl w:val="0"/>
          <w:numId w:val="0"/>
        </w:numPr>
        <w:adjustRightInd w:val="0"/>
        <w:snapToGrid w:val="0"/>
        <w:spacing w:line="600" w:lineRule="exact"/>
        <w:rPr>
          <w:rFonts w:hint="eastAsia" w:ascii="楷体_GB2312" w:hAnsi="楷体_GB2312" w:eastAsia="楷体_GB2312" w:cs="楷体_GB2312"/>
          <w:b/>
          <w:bCs/>
          <w:sz w:val="32"/>
          <w:szCs w:val="32"/>
          <w:lang w:eastAsia="zh-CN"/>
        </w:rPr>
      </w:pPr>
    </w:p>
    <w:p>
      <w:pPr>
        <w:keepNext/>
        <w:keepLines/>
        <w:numPr>
          <w:ilvl w:val="0"/>
          <w:numId w:val="4"/>
        </w:numPr>
        <w:snapToGrid w:val="0"/>
        <w:spacing w:line="580" w:lineRule="exact"/>
        <w:ind w:firstLine="643" w:firstLineChars="2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widowControl w:val="0"/>
        <w:wordWrap/>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财政评价项目绩效评价结果无。</w:t>
      </w:r>
    </w:p>
    <w:p>
      <w:pPr>
        <w:keepNext/>
        <w:keepLines/>
        <w:numPr>
          <w:ilvl w:val="0"/>
          <w:numId w:val="0"/>
        </w:numPr>
        <w:snapToGrid w:val="0"/>
        <w:spacing w:line="580" w:lineRule="exact"/>
        <w:outlineLvl w:val="1"/>
        <w:rPr>
          <w:rFonts w:hint="default" w:ascii="仿宋_GB2312" w:hAnsi="仿宋_GB2312" w:eastAsia="仿宋_GB2312" w:cs="仿宋_GB2312"/>
          <w:b/>
          <w:bCs/>
          <w:sz w:val="32"/>
          <w:szCs w:val="32"/>
          <w:lang w:val="en-US" w:eastAsia="zh-CN"/>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600" w:lineRule="exact"/>
        <w:ind w:firstLine="640" w:firstLineChars="200"/>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rPr>
        <w:t>本部门20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年度机关运行经费支出</w:t>
      </w:r>
      <w:r>
        <w:rPr>
          <w:rFonts w:hint="eastAsia" w:ascii="仿宋_GB2312" w:hAnsi="仿宋_GB2312" w:eastAsia="仿宋_GB2312" w:cs="仿宋_GB2312"/>
          <w:sz w:val="32"/>
          <w:szCs w:val="32"/>
          <w:lang w:val="en-US" w:eastAsia="zh-CN"/>
        </w:rPr>
        <w:t>990.3</w:t>
      </w:r>
      <w:r>
        <w:rPr>
          <w:rFonts w:hint="eastAsia" w:ascii="仿宋_GB2312" w:hAnsi="仿宋_GB2312" w:eastAsia="仿宋_GB2312" w:cs="仿宋_GB2312"/>
          <w:sz w:val="32"/>
          <w:szCs w:val="32"/>
        </w:rPr>
        <w:t>万元，比201</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年度增加</w:t>
      </w:r>
      <w:r>
        <w:rPr>
          <w:rFonts w:hint="eastAsia" w:ascii="仿宋_GB2312" w:hAnsi="仿宋_GB2312" w:eastAsia="仿宋_GB2312" w:cs="仿宋_GB2312"/>
          <w:sz w:val="32"/>
          <w:szCs w:val="32"/>
          <w:lang w:val="en-US" w:eastAsia="zh-CN"/>
        </w:rPr>
        <w:t>83.85</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9.25</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工资福利支出、办公费、维修费等支出增加。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年12月31日，本部门共有车辆</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辆，比上年增加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与上年持平</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bookmarkStart w:id="0" w:name="_GoBack"/>
      <w:bookmarkEnd w:id="0"/>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w:t>
      </w:r>
      <w:r>
        <w:rPr>
          <w:rFonts w:hint="eastAsia" w:ascii="仿宋_GB2312" w:hAnsi="Times New Roman" w:eastAsia="仿宋_GB2312" w:cs="DengXian-Regular"/>
          <w:sz w:val="32"/>
          <w:szCs w:val="32"/>
          <w:lang w:eastAsia="zh-CN"/>
        </w:rPr>
        <w:t>与上年持平</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w:t>
      </w:r>
      <w:r>
        <w:rPr>
          <w:rFonts w:hint="eastAsia" w:ascii="仿宋_GB2312" w:hAnsi="Times New Roman" w:eastAsia="仿宋_GB2312" w:cs="DengXian-Regular"/>
          <w:sz w:val="32"/>
          <w:szCs w:val="32"/>
          <w:lang w:eastAsia="zh-CN"/>
        </w:rPr>
        <w:t>与上年持平</w:t>
      </w:r>
      <w:r>
        <w:rPr>
          <w:rFonts w:hint="eastAsia" w:ascii="仿宋_GB2312" w:hAnsi="仿宋_GB2312" w:eastAsia="仿宋_GB2312" w:cs="仿宋_GB2312"/>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Times New Roman" w:eastAsia="仿宋_GB2312" w:cs="DengXian-Regular"/>
          <w:sz w:val="32"/>
          <w:szCs w:val="32"/>
        </w:rPr>
        <w:t>1.</w:t>
      </w:r>
      <w:r>
        <w:rPr>
          <w:rFonts w:hint="eastAsia" w:ascii="仿宋_GB2312" w:hAnsi="仿宋_GB2312" w:eastAsia="仿宋_GB2312" w:cs="仿宋_GB2312"/>
          <w:sz w:val="32"/>
          <w:szCs w:val="32"/>
        </w:rPr>
        <w:t xml:space="preserve"> 本部门</w:t>
      </w:r>
      <w:r>
        <w:rPr>
          <w:rFonts w:hint="eastAsia" w:ascii="仿宋_GB2312" w:hAnsi="仿宋_GB2312" w:eastAsia="仿宋_GB2312" w:cs="仿宋_GB2312"/>
          <w:sz w:val="32"/>
          <w:szCs w:val="32"/>
          <w:lang w:val="en-US" w:eastAsia="zh-CN"/>
        </w:rPr>
        <w:t>2019</w:t>
      </w:r>
      <w:r>
        <w:rPr>
          <w:rFonts w:hint="eastAsia" w:ascii="仿宋_GB2312" w:hAnsi="仿宋_GB2312" w:eastAsia="仿宋_GB2312" w:cs="仿宋_GB2312"/>
          <w:sz w:val="32"/>
          <w:szCs w:val="32"/>
        </w:rPr>
        <w:t>年度未发生</w:t>
      </w:r>
      <w:r>
        <w:rPr>
          <w:rFonts w:hint="eastAsia" w:ascii="仿宋_GB2312" w:hAnsi="仿宋_GB2312" w:eastAsia="仿宋_GB2312" w:cs="仿宋_GB2312"/>
          <w:sz w:val="32"/>
          <w:szCs w:val="32"/>
          <w:highlight w:val="none"/>
        </w:rPr>
        <w:t>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财政拨款收支决算表（公开</w:t>
      </w:r>
      <w:r>
        <w:rPr>
          <w:rFonts w:hint="eastAsia" w:ascii="仿宋_GB2312" w:hAnsi="仿宋_GB2312" w:eastAsia="仿宋_GB2312" w:cs="仿宋_GB2312"/>
          <w:sz w:val="32"/>
          <w:szCs w:val="32"/>
          <w:highlight w:val="none"/>
          <w:lang w:val="en-US" w:eastAsia="zh-CN"/>
        </w:rPr>
        <w:t>08表</w:t>
      </w:r>
      <w:r>
        <w:rPr>
          <w:rFonts w:hint="eastAsia" w:ascii="仿宋_GB2312" w:hAnsi="仿宋_GB2312" w:eastAsia="仿宋_GB2312" w:cs="仿宋_GB2312"/>
          <w:sz w:val="32"/>
          <w:szCs w:val="32"/>
          <w:highlight w:val="none"/>
          <w:lang w:eastAsia="zh-CN"/>
        </w:rPr>
        <w:t>）、</w:t>
      </w:r>
      <w:r>
        <w:rPr>
          <w:rFonts w:hint="eastAsia" w:ascii="仿宋_GB2312" w:eastAsia="仿宋_GB2312" w:cs="DengXian-Regular"/>
          <w:sz w:val="32"/>
          <w:szCs w:val="32"/>
        </w:rPr>
        <w:t>国有资本经营预算</w:t>
      </w:r>
      <w:r>
        <w:rPr>
          <w:rFonts w:hint="eastAsia" w:ascii="仿宋_GB2312" w:eastAsia="仿宋_GB2312" w:cs="DengXian-Regular"/>
          <w:sz w:val="32"/>
          <w:szCs w:val="32"/>
          <w:lang w:val="en-US" w:eastAsia="zh-CN"/>
        </w:rPr>
        <w:t>财政拨款支出决算表（公开09表）</w:t>
      </w:r>
      <w:r>
        <w:rPr>
          <w:rFonts w:hint="eastAsia" w:ascii="仿宋_GB2312" w:hAnsi="仿宋_GB2312" w:eastAsia="仿宋_GB2312" w:cs="仿宋_GB2312"/>
          <w:sz w:val="32"/>
          <w:szCs w:val="32"/>
        </w:rPr>
        <w:t>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155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2576"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257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r>
        <w:object>
          <v:shape id="_x0000_i1025" o:spt="75" type="#_x0000_t75" style="height:621.7pt;width:472.55pt;" o:ole="t" filled="f" o:preferrelative="t" stroked="f" coordsize="21600,21600">
            <v:path/>
            <v:fill on="f" focussize="0,0"/>
            <v:stroke on="f"/>
            <v:imagedata r:id="rId34" o:title=""/>
            <o:lock v:ext="edit" aspectratio="f"/>
            <w10:wrap type="none"/>
            <w10:anchorlock/>
          </v:shape>
          <o:OLEObject Type="Embed" ProgID="Excel.Sheet.8" ShapeID="_x0000_i1025" DrawAspect="Content" ObjectID="_1468075725" r:id="rId33">
            <o:LockedField>false</o:LockedField>
          </o:OLEObject>
        </w:object>
      </w:r>
    </w:p>
    <w:p/>
    <w:p/>
    <w:p>
      <w:r>
        <w:object>
          <v:shape id="_x0000_i1026" o:spt="75" type="#_x0000_t75" style="height:490.1pt;width:486.05pt;" o:ole="t" filled="f" o:preferrelative="t" stroked="f" coordsize="21600,21600">
            <v:path/>
            <v:fill on="f" focussize="0,0"/>
            <v:stroke on="f"/>
            <v:imagedata r:id="rId36" o:title=""/>
            <o:lock v:ext="edit" aspectratio="f"/>
            <w10:wrap type="none"/>
            <w10:anchorlock/>
          </v:shape>
          <o:OLEObject Type="Embed" ProgID="Excel.Sheet.8" ShapeID="_x0000_i1026" DrawAspect="Content" ObjectID="_1468075726" r:id="rId35">
            <o:LockedField>false</o:LockedField>
          </o:OLEObject>
        </w:object>
      </w:r>
    </w:p>
    <w:p/>
    <w:p/>
    <w:p/>
    <w:p/>
    <w:p/>
    <w:p/>
    <w:p/>
    <w:p/>
    <w:p/>
    <w:p/>
    <w:p/>
    <w:p/>
    <w:p/>
    <w:p/>
    <w:p/>
    <w:p/>
    <w:p>
      <w:r>
        <w:object>
          <v:shape id="_x0000_i1027" o:spt="75" type="#_x0000_t75" style="height:504.15pt;width:484.8pt;" o:ole="t" filled="f" o:preferrelative="t" stroked="f" coordsize="21600,21600">
            <v:path/>
            <v:fill on="f" focussize="0,0"/>
            <v:stroke on="f"/>
            <v:imagedata r:id="rId38" o:title=""/>
            <o:lock v:ext="edit" aspectratio="f"/>
            <w10:wrap type="none"/>
            <w10:anchorlock/>
          </v:shape>
          <o:OLEObject Type="Embed" ProgID="Excel.Sheet.8" ShapeID="_x0000_i1027" DrawAspect="Content" ObjectID="_1468075727" r:id="rId37">
            <o:LockedField>false</o:LockedField>
          </o:OLEObject>
        </w:object>
      </w:r>
    </w:p>
    <w:p/>
    <w:p/>
    <w:p/>
    <w:p/>
    <w:p>
      <w:r>
        <w:object>
          <v:shape id="_x0000_i1028" o:spt="75" type="#_x0000_t75" style="height:579.3pt;width:500.55pt;" o:ole="t" filled="f" o:preferrelative="t" stroked="f" coordsize="21600,21600">
            <v:path/>
            <v:fill on="f" focussize="0,0"/>
            <v:stroke on="f"/>
            <v:imagedata r:id="rId40" o:title=""/>
            <o:lock v:ext="edit" aspectratio="f"/>
            <w10:wrap type="none"/>
            <w10:anchorlock/>
          </v:shape>
          <o:OLEObject Type="Embed" ProgID="Excel.Sheet.8" ShapeID="_x0000_i1028" DrawAspect="Content" ObjectID="_1468075728" r:id="rId39">
            <o:LockedField>false</o:LockedField>
          </o:OLEObject>
        </w:object>
      </w:r>
    </w:p>
    <w:p/>
    <w:p/>
    <w:p/>
    <w:p/>
    <w:p/>
    <w:p/>
    <w:p>
      <w:r>
        <w:object>
          <v:shape id="_x0000_i1029" o:spt="75" type="#_x0000_t75" style="height:532.85pt;width:440.6pt;" o:ole="t" filled="f" o:preferrelative="t" stroked="f" coordsize="21600,21600">
            <v:path/>
            <v:fill on="f" focussize="0,0"/>
            <v:stroke on="f"/>
            <v:imagedata r:id="rId42" o:title=""/>
            <o:lock v:ext="edit" aspectratio="f"/>
            <w10:wrap type="none"/>
            <w10:anchorlock/>
          </v:shape>
          <o:OLEObject Type="Embed" ProgID="Excel.Sheet.8" ShapeID="_x0000_i1029" DrawAspect="Content" ObjectID="_1468075729" r:id="rId41">
            <o:LockedField>false</o:LockedField>
          </o:OLEObject>
        </w:object>
      </w:r>
    </w:p>
    <w:p/>
    <w:p/>
    <w:p/>
    <w:p/>
    <w:p/>
    <w:p/>
    <w:p/>
    <w:p/>
    <w:p>
      <w:r>
        <w:object>
          <v:shape id="_x0000_i1030" o:spt="75" type="#_x0000_t75" style="height:542.25pt;width:510.4pt;" o:ole="t" filled="f" o:preferrelative="t" stroked="f" coordsize="21600,21600">
            <v:path/>
            <v:fill on="f" focussize="0,0"/>
            <v:stroke on="f"/>
            <v:imagedata r:id="rId44" o:title=""/>
            <o:lock v:ext="edit" aspectratio="f"/>
            <w10:wrap type="none"/>
            <w10:anchorlock/>
          </v:shape>
          <o:OLEObject Type="Embed" ProgID="Excel.Sheet.8" ShapeID="_x0000_i1030" DrawAspect="Content" ObjectID="_1468075730" r:id="rId43">
            <o:LockedField>false</o:LockedField>
          </o:OLEObject>
        </w:object>
      </w:r>
    </w:p>
    <w:p/>
    <w:p/>
    <w:p/>
    <w:p/>
    <w:p/>
    <w:p/>
    <w:p/>
    <w:p/>
    <w:p/>
    <w:p/>
    <w:p>
      <w:r>
        <w:object>
          <v:shape id="_x0000_i1031" o:spt="75" type="#_x0000_t75" style="height:180.25pt;width:484.8pt;" o:ole="t" filled="f" o:preferrelative="t" stroked="f" coordsize="21600,21600">
            <v:path/>
            <v:fill on="f" focussize="0,0"/>
            <v:stroke on="f"/>
            <v:imagedata r:id="rId46" o:title=""/>
            <o:lock v:ext="edit" aspectratio="f"/>
            <w10:wrap type="none"/>
            <w10:anchorlock/>
          </v:shape>
          <o:OLEObject Type="Embed" ProgID="Excel.Sheet.8" ShapeID="_x0000_i1031" DrawAspect="Content" ObjectID="_1468075731" r:id="rId45">
            <o:LockedField>false</o:LockedField>
          </o:OLEObject>
        </w:object>
      </w:r>
    </w:p>
    <w:p/>
    <w:p/>
    <w:p/>
    <w:p/>
    <w:p/>
    <w:p/>
    <w:p/>
    <w:p/>
    <w:p/>
    <w:p/>
    <w:p/>
    <w:p/>
    <w:p/>
    <w:p/>
    <w:p/>
    <w:p/>
    <w:p/>
    <w:p/>
    <w:p/>
    <w:p/>
    <w:p/>
    <w:p/>
    <w:p/>
    <w:p/>
    <w:p/>
    <w:p/>
    <w:p/>
    <w:p/>
    <w:p/>
    <w:p/>
    <w:p>
      <w:r>
        <w:object>
          <v:shape id="_x0000_i1032" o:spt="75" type="#_x0000_t75" style="height:225.85pt;width:462.1pt;" o:ole="t" filled="f" o:preferrelative="t" stroked="f" coordsize="21600,21600">
            <v:path/>
            <v:fill on="f" focussize="0,0"/>
            <v:stroke on="f"/>
            <v:imagedata r:id="rId48" o:title=""/>
            <o:lock v:ext="edit" aspectratio="f"/>
            <w10:wrap type="none"/>
            <w10:anchorlock/>
          </v:shape>
          <o:OLEObject Type="Embed" ProgID="Excel.Sheet.8" ShapeID="_x0000_i1032" DrawAspect="Content" ObjectID="_1468075732" r:id="rId47">
            <o:LockedField>false</o:LockedField>
          </o:OLEObject>
        </w:object>
      </w:r>
    </w:p>
    <w:p/>
    <w:p/>
    <w:p/>
    <w:p/>
    <w:p/>
    <w:p/>
    <w:p/>
    <w:p/>
    <w:p/>
    <w:p/>
    <w:p/>
    <w:p/>
    <w:p/>
    <w:p/>
    <w:p/>
    <w:p/>
    <w:p/>
    <w:p/>
    <w:p/>
    <w:p/>
    <w:p/>
    <w:p/>
    <w:p/>
    <w:p/>
    <w:p/>
    <w:p/>
    <w:p/>
    <w:p/>
    <w:p/>
    <w:p/>
    <w:p/>
    <w:p>
      <w:r>
        <w:object>
          <v:shape id="_x0000_i1033" o:spt="75" type="#_x0000_t75" style="height:238.2pt;width:477pt;" o:ole="t" filled="f" o:preferrelative="t" stroked="f" coordsize="21600,21600">
            <v:path/>
            <v:fill on="f" focussize="0,0"/>
            <v:stroke on="f"/>
            <v:imagedata r:id="rId50" o:title=""/>
            <o:lock v:ext="edit" aspectratio="f"/>
            <w10:wrap type="none"/>
            <w10:anchorlock/>
          </v:shape>
          <o:OLEObject Type="Embed" ProgID="Excel.Sheet.8" ShapeID="_x0000_i1033" DrawAspect="Content" ObjectID="_1468075733" r:id="rId49">
            <o:LockedField>false</o:LockedField>
          </o:OLEObject>
        </w:object>
      </w:r>
    </w:p>
    <w:p/>
    <w:p/>
    <w:p/>
    <w:p/>
    <w:p/>
    <w:p/>
    <w:p/>
    <w:p/>
    <w:p/>
    <w:p/>
    <w:p/>
    <w:p/>
    <w:p/>
    <w:p/>
    <w:p/>
    <w:p/>
    <w:p/>
    <w:p/>
    <w:p/>
    <w:p/>
    <w:p/>
    <w:p/>
    <w:p/>
    <w:p/>
    <w:p/>
    <w:p/>
    <w:p/>
    <w:p/>
    <w:p/>
    <w:p/>
    <w:p/>
    <w:p/>
    <w:p/>
    <w:p/>
    <w:p/>
    <w:p/>
    <w:p/>
    <w:p/>
    <w:p/>
    <w:p/>
    <w:p>
      <w:r>
        <mc:AlternateContent>
          <mc:Choice Requires="wps">
            <w:drawing>
              <wp:anchor distT="0" distB="0" distL="114300" distR="114300" simplePos="0" relativeHeight="251673600"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3600;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2F4FAF64-CE5C-439F-9923-FBDD0A990036}"/>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2" w:fontKey="{2ED0F609-6A4A-4DC7-BE2E-633A18DAE2A3}"/>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D7306436-13B4-4581-B339-D611F2CFA68F}"/>
  </w:font>
  <w:font w:name="等线">
    <w:altName w:val="Arial Unicode MS"/>
    <w:panose1 w:val="02010600030101010101"/>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embedRegular r:id="rId4" w:fontKey="{5764146A-85CB-4364-8651-2F58E25A9BF7}"/>
  </w:font>
  <w:font w:name="仿宋_GB2312">
    <w:panose1 w:val="02010609030101010101"/>
    <w:charset w:val="86"/>
    <w:family w:val="modern"/>
    <w:pitch w:val="default"/>
    <w:sig w:usb0="00000001" w:usb1="080E0000" w:usb2="00000000" w:usb3="00000000" w:csb0="00040000" w:csb1="00000000"/>
    <w:embedRegular r:id="rId5" w:fontKey="{B73502FE-E253-4C35-A713-82379CCEA17E}"/>
  </w:font>
  <w:font w:name="楷体_GB2312">
    <w:panose1 w:val="02010609030101010101"/>
    <w:charset w:val="86"/>
    <w:family w:val="modern"/>
    <w:pitch w:val="default"/>
    <w:sig w:usb0="00000001" w:usb1="080E0000" w:usb2="00000000" w:usb3="00000000" w:csb0="00040000" w:csb1="00000000"/>
    <w:embedRegular r:id="rId6" w:fontKey="{E3EB3156-1167-4E9A-AB79-DB83DB5164D0}"/>
  </w:font>
  <w:font w:name="Yu Gothic UI Semibold">
    <w:altName w:val="Meiryo UI"/>
    <w:panose1 w:val="020B0700000000000000"/>
    <w:charset w:val="80"/>
    <w:family w:val="swiss"/>
    <w:pitch w:val="default"/>
    <w:sig w:usb0="00000000" w:usb1="00000000" w:usb2="00000016" w:usb3="00000000" w:csb0="2002009F" w:csb1="00000000"/>
    <w:embedRegular r:id="rId7" w:fontKey="{68F600B7-B381-49E1-AC80-F19363D97563}"/>
  </w:font>
  <w:font w:name="Meiryo UI">
    <w:panose1 w:val="020B0604030504040204"/>
    <w:charset w:val="80"/>
    <w:family w:val="auto"/>
    <w:pitch w:val="default"/>
    <w:sig w:usb0="E10102FF" w:usb1="EAC7FFFF" w:usb2="00010012" w:usb3="00000000" w:csb0="6002009F" w:csb1="DFD70000"/>
  </w:font>
  <w:font w:name="思源黑体 HW Bold">
    <w:altName w:val="黑体"/>
    <w:panose1 w:val="00000000000000000000"/>
    <w:charset w:val="86"/>
    <w:family w:val="swiss"/>
    <w:pitch w:val="default"/>
    <w:sig w:usb0="00000000" w:usb1="00000000" w:usb2="00000016" w:usb3="00000000" w:csb0="002E0107" w:csb1="00000000"/>
    <w:embedRegular r:id="rId8" w:fontKey="{924106FD-30D9-40E2-BDD4-9D4BDEBA79E9}"/>
  </w:font>
  <w:font w:name="微软雅黑">
    <w:panose1 w:val="020B0503020204020204"/>
    <w:charset w:val="86"/>
    <w:family w:val="swiss"/>
    <w:pitch w:val="default"/>
    <w:sig w:usb0="80000287" w:usb1="280F3C52" w:usb2="00000016" w:usb3="00000000" w:csb0="0004001F" w:csb1="00000000"/>
    <w:embedRegular r:id="rId9" w:fontKey="{4E8BDDD4-3E05-418A-AD6B-41DE4AAB0DB0}"/>
  </w:font>
  <w:font w:name="ArialUnicodeMS">
    <w:altName w:val="Malgun Gothic"/>
    <w:panose1 w:val="00000000000000000000"/>
    <w:charset w:val="81"/>
    <w:family w:val="auto"/>
    <w:pitch w:val="default"/>
    <w:sig w:usb0="00000000" w:usb1="00000000" w:usb2="00000010" w:usb3="00000000" w:csb0="00080001" w:csb1="00000000"/>
    <w:embedRegular r:id="rId10" w:fontKey="{688491A3-8B9B-49A0-A067-976C98C566AC}"/>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embedRegular r:id="rId11" w:fontKey="{8080A954-7F8C-4044-AC1A-9A87CDE127BA}"/>
  </w:font>
  <w:font w:name="DengXian-Regular">
    <w:altName w:val="宋体"/>
    <w:panose1 w:val="00000000000000000000"/>
    <w:charset w:val="86"/>
    <w:family w:val="auto"/>
    <w:pitch w:val="default"/>
    <w:sig w:usb0="00000000" w:usb1="00000000" w:usb2="00000010" w:usb3="00000000" w:csb0="00040001" w:csb1="00000000"/>
    <w:embedRegular r:id="rId12" w:fontKey="{34D78D06-3792-42E8-B15C-F5630F83274F}"/>
  </w:font>
  <w:font w:name="仿宋">
    <w:panose1 w:val="02010609060101010101"/>
    <w:charset w:val="86"/>
    <w:family w:val="auto"/>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1" w:csb1="00000000"/>
    <w:embedRegular r:id="rId13" w:fontKey="{4CDF4BE1-A88A-4293-92E2-953D5480E536}"/>
  </w:font>
  <w:font w:name="方正小标宋_GBK">
    <w:panose1 w:val="02000000000000000000"/>
    <w:charset w:val="86"/>
    <w:family w:val="auto"/>
    <w:pitch w:val="default"/>
    <w:sig w:usb0="A00002BF" w:usb1="38CF7CFA" w:usb2="00082016" w:usb3="00000000" w:csb0="00040001" w:csb1="00000000"/>
    <w:embedRegular r:id="rId14" w:fontKey="{6B981EF6-BD70-4B9D-B8C1-8D9B43EEF170}"/>
  </w:font>
  <w:font w:name="等线">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4624"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4624;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5648"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5648;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667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667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77696;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076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052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950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6950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3840"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3840;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4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4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1792;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2816;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8720"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78720;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9744"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79744;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2576;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360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360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6432"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6432;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5408"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5408;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745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6745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6848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5C4960"/>
    <w:multiLevelType w:val="singleLevel"/>
    <w:tmpl w:val="E15C4960"/>
    <w:lvl w:ilvl="0" w:tentative="0">
      <w:start w:val="1"/>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abstractNum w:abstractNumId="2">
    <w:nsid w:val="60A37070"/>
    <w:multiLevelType w:val="singleLevel"/>
    <w:tmpl w:val="60A37070"/>
    <w:lvl w:ilvl="0" w:tentative="0">
      <w:start w:val="1"/>
      <w:numFmt w:val="chineseCounting"/>
      <w:suff w:val="nothing"/>
      <w:lvlText w:val="（%1）"/>
      <w:lvlJc w:val="left"/>
    </w:lvl>
  </w:abstractNum>
  <w:abstractNum w:abstractNumId="3">
    <w:nsid w:val="62BEA0EC"/>
    <w:multiLevelType w:val="singleLevel"/>
    <w:tmpl w:val="62BEA0EC"/>
    <w:lvl w:ilvl="0" w:tentative="0">
      <w:start w:val="3"/>
      <w:numFmt w:val="decimal"/>
      <w:lvlText w:val="%1."/>
      <w:lvlJc w:val="left"/>
      <w:pPr>
        <w:tabs>
          <w:tab w:val="left" w:pos="312"/>
        </w:tabs>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A3Y2E5ZDAxZTUzODk2OGJjOGFlNGZhODMzY2MyMGY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6E11F1E"/>
    <w:rsid w:val="071B4B75"/>
    <w:rsid w:val="082576A4"/>
    <w:rsid w:val="08896225"/>
    <w:rsid w:val="0B011416"/>
    <w:rsid w:val="0C9B2FCC"/>
    <w:rsid w:val="0D19047D"/>
    <w:rsid w:val="0D88764D"/>
    <w:rsid w:val="0EA76C97"/>
    <w:rsid w:val="11780E27"/>
    <w:rsid w:val="11F40F44"/>
    <w:rsid w:val="171F3878"/>
    <w:rsid w:val="1AB51765"/>
    <w:rsid w:val="1B243894"/>
    <w:rsid w:val="1D061223"/>
    <w:rsid w:val="21936348"/>
    <w:rsid w:val="235B6FD4"/>
    <w:rsid w:val="24810A87"/>
    <w:rsid w:val="2592044C"/>
    <w:rsid w:val="2A023D0E"/>
    <w:rsid w:val="2B5549D9"/>
    <w:rsid w:val="2E9F0978"/>
    <w:rsid w:val="30F1651D"/>
    <w:rsid w:val="31C2036A"/>
    <w:rsid w:val="320D02A5"/>
    <w:rsid w:val="348022E4"/>
    <w:rsid w:val="348E566F"/>
    <w:rsid w:val="359216F2"/>
    <w:rsid w:val="392176CD"/>
    <w:rsid w:val="3A226944"/>
    <w:rsid w:val="3AEE6A48"/>
    <w:rsid w:val="3C1620AA"/>
    <w:rsid w:val="3D8F080F"/>
    <w:rsid w:val="44CE1FA4"/>
    <w:rsid w:val="487F73ED"/>
    <w:rsid w:val="4A347EAE"/>
    <w:rsid w:val="4ABF5424"/>
    <w:rsid w:val="4BDB1D5D"/>
    <w:rsid w:val="4C7C0669"/>
    <w:rsid w:val="4F765CE7"/>
    <w:rsid w:val="50C53E03"/>
    <w:rsid w:val="52600405"/>
    <w:rsid w:val="529B4319"/>
    <w:rsid w:val="56F97981"/>
    <w:rsid w:val="57773DD6"/>
    <w:rsid w:val="578B79AB"/>
    <w:rsid w:val="59926803"/>
    <w:rsid w:val="5CCD3FD5"/>
    <w:rsid w:val="5ED456CA"/>
    <w:rsid w:val="5FF653C6"/>
    <w:rsid w:val="60F048F2"/>
    <w:rsid w:val="61FA5F9D"/>
    <w:rsid w:val="64CD6910"/>
    <w:rsid w:val="652E4E24"/>
    <w:rsid w:val="6789158D"/>
    <w:rsid w:val="67A3242D"/>
    <w:rsid w:val="67AB5824"/>
    <w:rsid w:val="67D81BA4"/>
    <w:rsid w:val="68605DAD"/>
    <w:rsid w:val="690E4859"/>
    <w:rsid w:val="6AAF1C96"/>
    <w:rsid w:val="6DE452D5"/>
    <w:rsid w:val="75681757"/>
    <w:rsid w:val="75A346A8"/>
    <w:rsid w:val="79B9382C"/>
    <w:rsid w:val="7A910FA6"/>
    <w:rsid w:val="7B043B76"/>
    <w:rsid w:val="7B8676B0"/>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4" Type="http://schemas.openxmlformats.org/officeDocument/2006/relationships/fontTable" Target="fontTable.xml"/><Relationship Id="rId53" Type="http://schemas.openxmlformats.org/officeDocument/2006/relationships/customXml" Target="../customXml/item2.xml"/><Relationship Id="rId52" Type="http://schemas.openxmlformats.org/officeDocument/2006/relationships/numbering" Target="numbering.xml"/><Relationship Id="rId51" Type="http://schemas.openxmlformats.org/officeDocument/2006/relationships/customXml" Target="../customXml/item1.xml"/><Relationship Id="rId50" Type="http://schemas.openxmlformats.org/officeDocument/2006/relationships/image" Target="media/image11.emf"/><Relationship Id="rId5" Type="http://schemas.openxmlformats.org/officeDocument/2006/relationships/footer" Target="footer1.xml"/><Relationship Id="rId49" Type="http://schemas.openxmlformats.org/officeDocument/2006/relationships/oleObject" Target="embeddings/oleObject9.bin"/><Relationship Id="rId48" Type="http://schemas.openxmlformats.org/officeDocument/2006/relationships/image" Target="media/image10.emf"/><Relationship Id="rId47" Type="http://schemas.openxmlformats.org/officeDocument/2006/relationships/oleObject" Target="embeddings/oleObject8.bin"/><Relationship Id="rId46" Type="http://schemas.openxmlformats.org/officeDocument/2006/relationships/image" Target="media/image9.emf"/><Relationship Id="rId45" Type="http://schemas.openxmlformats.org/officeDocument/2006/relationships/oleObject" Target="embeddings/oleObject7.bin"/><Relationship Id="rId44" Type="http://schemas.openxmlformats.org/officeDocument/2006/relationships/image" Target="media/image8.emf"/><Relationship Id="rId43" Type="http://schemas.openxmlformats.org/officeDocument/2006/relationships/oleObject" Target="embeddings/oleObject6.bin"/><Relationship Id="rId42" Type="http://schemas.openxmlformats.org/officeDocument/2006/relationships/image" Target="media/image7.emf"/><Relationship Id="rId41" Type="http://schemas.openxmlformats.org/officeDocument/2006/relationships/oleObject" Target="embeddings/oleObject5.bin"/><Relationship Id="rId40" Type="http://schemas.openxmlformats.org/officeDocument/2006/relationships/image" Target="media/image6.emf"/><Relationship Id="rId4" Type="http://schemas.openxmlformats.org/officeDocument/2006/relationships/header" Target="header2.xml"/><Relationship Id="rId39" Type="http://schemas.openxmlformats.org/officeDocument/2006/relationships/oleObject" Target="embeddings/oleObject4.bin"/><Relationship Id="rId38" Type="http://schemas.openxmlformats.org/officeDocument/2006/relationships/image" Target="media/image5.emf"/><Relationship Id="rId37" Type="http://schemas.openxmlformats.org/officeDocument/2006/relationships/oleObject" Target="embeddings/oleObject3.bin"/><Relationship Id="rId36" Type="http://schemas.openxmlformats.org/officeDocument/2006/relationships/image" Target="media/image4.emf"/><Relationship Id="rId35" Type="http://schemas.openxmlformats.org/officeDocument/2006/relationships/oleObject" Target="embeddings/oleObject2.bin"/><Relationship Id="rId34" Type="http://schemas.openxmlformats.org/officeDocument/2006/relationships/image" Target="media/image3.emf"/><Relationship Id="rId33" Type="http://schemas.openxmlformats.org/officeDocument/2006/relationships/oleObject" Target="embeddings/oleObject1.bin"/><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b="1">
                <a:latin typeface="仿宋" panose="02010609060101010101" charset="-122"/>
                <a:ea typeface="仿宋" panose="02010609060101010101" charset="-122"/>
                <a:cs typeface="仿宋" panose="02010609060101010101" charset="-122"/>
              </a:rPr>
              <a:t>图</a:t>
            </a:r>
            <a:r>
              <a:rPr lang="en-US" altLang="zh-CN" b="1">
                <a:latin typeface="仿宋" panose="02010609060101010101" charset="-122"/>
                <a:ea typeface="仿宋" panose="02010609060101010101" charset="-122"/>
                <a:cs typeface="仿宋" panose="02010609060101010101" charset="-122"/>
              </a:rPr>
              <a:t>1</a:t>
            </a:r>
            <a:r>
              <a:rPr altLang="en-US" b="1">
                <a:latin typeface="仿宋" panose="02010609060101010101" charset="-122"/>
                <a:ea typeface="仿宋" panose="02010609060101010101" charset="-122"/>
                <a:cs typeface="仿宋" panose="02010609060101010101" charset="-122"/>
              </a:rPr>
              <a:t>：支出决算构成情况（按支出性质）</a:t>
            </a:r>
            <a:endParaRPr altLang="en-US" b="1">
              <a:latin typeface="仿宋" panose="02010609060101010101" charset="-122"/>
              <a:ea typeface="仿宋" panose="02010609060101010101" charset="-122"/>
              <a:cs typeface="仿宋" panose="02010609060101010101" charset="-122"/>
            </a:endParaRPr>
          </a:p>
        </c:rich>
      </c:tx>
      <c:layout>
        <c:manualLayout>
          <c:xMode val="edge"/>
          <c:yMode val="edge"/>
          <c:x val="0.157400963191796"/>
          <c:y val="0.0401361678996865"/>
        </c:manualLayout>
      </c:layout>
      <c:overlay val="0"/>
      <c:spPr>
        <a:noFill/>
        <a:ln>
          <a:noFill/>
        </a:ln>
        <a:effectLst/>
      </c:spPr>
    </c:title>
    <c:autoTitleDeleted val="0"/>
    <c:plotArea>
      <c:layout/>
      <c:pieChart>
        <c:varyColors val="1"/>
        <c:ser>
          <c:idx val="0"/>
          <c:order val="0"/>
          <c:tx>
            <c:strRef>
              <c:f>Sheet1!$B$1</c:f>
              <c:strCache>
                <c:ptCount val="1"/>
                <c:pt idx="0">
                  <c:v>支出情况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744.27</c:v>
                </c:pt>
                <c:pt idx="1">
                  <c:v>246.03</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40" b="0" i="0" u="none" strike="noStrike" kern="1200" spc="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r>
              <a:rPr lang="en-US" altLang="zh-CN" sz="1440" b="1">
                <a:latin typeface="仿宋" panose="02010609060101010101" charset="-122"/>
                <a:ea typeface="仿宋" panose="02010609060101010101" charset="-122"/>
                <a:cs typeface="仿宋" panose="02010609060101010101" charset="-122"/>
                <a:sym typeface="仿宋" panose="02010609060101010101" charset="-122"/>
              </a:rPr>
              <a:t> </a:t>
            </a:r>
            <a:r>
              <a:rPr altLang="en-US" sz="1440" b="1">
                <a:latin typeface="仿宋" panose="02010609060101010101" charset="-122"/>
                <a:ea typeface="仿宋" panose="02010609060101010101" charset="-122"/>
                <a:cs typeface="仿宋" panose="02010609060101010101" charset="-122"/>
                <a:sym typeface="仿宋" panose="02010609060101010101" charset="-122"/>
              </a:rPr>
              <a:t>图</a:t>
            </a:r>
            <a:r>
              <a:rPr lang="en-US" altLang="zh-CN" sz="1440" b="1">
                <a:latin typeface="仿宋" panose="02010609060101010101" charset="-122"/>
                <a:ea typeface="仿宋" panose="02010609060101010101" charset="-122"/>
                <a:cs typeface="仿宋" panose="02010609060101010101" charset="-122"/>
                <a:sym typeface="仿宋" panose="02010609060101010101" charset="-122"/>
              </a:rPr>
              <a:t>2</a:t>
            </a:r>
            <a:r>
              <a:rPr altLang="en-US" sz="1440" b="1">
                <a:latin typeface="仿宋" panose="02010609060101010101" charset="-122"/>
                <a:ea typeface="仿宋" panose="02010609060101010101" charset="-122"/>
                <a:cs typeface="仿宋" panose="02010609060101010101" charset="-122"/>
                <a:sym typeface="仿宋" panose="02010609060101010101" charset="-122"/>
              </a:rPr>
              <a:t>：</a:t>
            </a:r>
            <a:r>
              <a:rPr lang="en-US" altLang="zh-CN" sz="1440" b="1">
                <a:latin typeface="仿宋" panose="02010609060101010101" charset="-122"/>
                <a:ea typeface="仿宋" panose="02010609060101010101" charset="-122"/>
                <a:cs typeface="仿宋" panose="02010609060101010101" charset="-122"/>
                <a:sym typeface="仿宋" panose="02010609060101010101" charset="-122"/>
              </a:rPr>
              <a:t>2018-2019</a:t>
            </a:r>
            <a:r>
              <a:rPr altLang="en-US" sz="1440" b="1">
                <a:latin typeface="仿宋" panose="02010609060101010101" charset="-122"/>
                <a:ea typeface="仿宋" panose="02010609060101010101" charset="-122"/>
                <a:cs typeface="仿宋" panose="02010609060101010101" charset="-122"/>
                <a:sym typeface="仿宋" panose="02010609060101010101" charset="-122"/>
              </a:rPr>
              <a:t>年收财政拨款收支情况</a:t>
            </a:r>
            <a:endParaRPr lang="en-US" altLang="zh-CN" sz="1440" b="1">
              <a:latin typeface="仿宋" panose="02010609060101010101" charset="-122"/>
              <a:ea typeface="仿宋" panose="02010609060101010101" charset="-122"/>
              <a:cs typeface="仿宋" panose="02010609060101010101" charset="-122"/>
              <a:sym typeface="仿宋" panose="02010609060101010101" charset="-122"/>
            </a:endParaRPr>
          </a:p>
        </c:rich>
      </c:tx>
      <c:layout>
        <c:manualLayout>
          <c:xMode val="edge"/>
          <c:yMode val="edge"/>
          <c:x val="0.202258450040399"/>
          <c:y val="0.913833333333333"/>
        </c:manualLayout>
      </c:layout>
      <c:overlay val="0"/>
      <c:spPr>
        <a:noFill/>
        <a:ln>
          <a:noFill/>
        </a:ln>
        <a:effectLst/>
      </c:spPr>
    </c:title>
    <c:autoTitleDeleted val="0"/>
    <c:plotArea>
      <c:layout>
        <c:manualLayout>
          <c:layoutTarget val="inner"/>
          <c:xMode val="edge"/>
          <c:yMode val="edge"/>
          <c:x val="0.111203878265553"/>
          <c:y val="0.222878078567067"/>
          <c:w val="0.862537032049556"/>
          <c:h val="0.599267250152656"/>
        </c:manualLayout>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chemeClr val="tx1">
                        <a:lumMod val="75000"/>
                        <a:lumOff val="2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906.45</c:v>
                </c:pt>
                <c:pt idx="1">
                  <c:v>906.45</c:v>
                </c:pt>
              </c:numCache>
            </c:numRef>
          </c:val>
        </c:ser>
        <c:ser>
          <c:idx val="1"/>
          <c:order val="1"/>
          <c:tx>
            <c:strRef>
              <c:f>Sheet1!$C$1</c:f>
              <c:strCache>
                <c:ptCount val="1"/>
                <c:pt idx="0">
                  <c:v>2019年</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chemeClr val="tx1">
                        <a:lumMod val="75000"/>
                        <a:lumOff val="2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990.3</c:v>
                </c:pt>
                <c:pt idx="1">
                  <c:v>990.3</c:v>
                </c:pt>
              </c:numCache>
            </c:numRef>
          </c:val>
        </c:ser>
        <c:dLbls>
          <c:showLegendKey val="0"/>
          <c:showVal val="1"/>
          <c:showCatName val="0"/>
          <c:showSerName val="0"/>
          <c:showPercent val="0"/>
          <c:showBubbleSize val="0"/>
        </c:dLbls>
        <c:gapWidth val="219"/>
        <c:overlap val="-27"/>
        <c:axId val="446907195"/>
        <c:axId val="110097532"/>
      </c:barChart>
      <c:catAx>
        <c:axId val="44690719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crossAx val="110097532"/>
        <c:crosses val="autoZero"/>
        <c:auto val="1"/>
        <c:lblAlgn val="ctr"/>
        <c:lblOffset val="100"/>
        <c:noMultiLvlLbl val="0"/>
      </c:catAx>
      <c:valAx>
        <c:axId val="110097532"/>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crossAx val="446907195"/>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Entry>
      <c:layout>
        <c:manualLayout>
          <c:xMode val="edge"/>
          <c:yMode val="edge"/>
          <c:x val="0.773498518718018"/>
          <c:y val="0.0164868715652351"/>
          <c:w val="0.222461621330461"/>
          <c:h val="0.0889476898025646"/>
        </c:manualLayout>
      </c:layout>
      <c:overlay val="0"/>
      <c:spPr>
        <a:noFill/>
        <a:ln>
          <a:noFill/>
        </a:ln>
        <a:effectLst/>
      </c:spPr>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
    <c:plotVisOnly val="1"/>
    <c:dispBlanksAs val="gap"/>
    <c:showDLblsOverMax val="0"/>
  </c:chart>
  <c:spPr>
    <a:solidFill>
      <a:schemeClr val="bg1"/>
    </a:solidFill>
    <a:ln w="9525" cap="flat" cmpd="sng" algn="ctr">
      <a:noFill/>
      <a:round/>
    </a:ln>
    <a:effectLst/>
  </c:spPr>
  <c:txPr>
    <a:bodyPr/>
    <a:lstStyle/>
    <a:p>
      <a:pPr>
        <a:defRPr lang="zh-CN" sz="1200">
          <a:latin typeface="仿宋" panose="02010609060101010101" charset="-122"/>
          <a:ea typeface="仿宋" panose="02010609060101010101" charset="-122"/>
          <a:cs typeface="仿宋" panose="02010609060101010101" charset="-122"/>
          <a:sym typeface="仿宋" panose="02010609060101010101" charset="-122"/>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40" b="0" i="0" u="none" strike="noStrike" kern="1200" spc="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r>
              <a:rPr lang="en-US" altLang="zh-CN" sz="1440" b="1">
                <a:latin typeface="仿宋" panose="02010609060101010101" charset="-122"/>
                <a:ea typeface="仿宋" panose="02010609060101010101" charset="-122"/>
                <a:cs typeface="仿宋" panose="02010609060101010101" charset="-122"/>
                <a:sym typeface="仿宋" panose="02010609060101010101" charset="-122"/>
              </a:rPr>
              <a:t> </a:t>
            </a:r>
            <a:r>
              <a:rPr altLang="en-US" sz="1440" b="1">
                <a:latin typeface="仿宋" panose="02010609060101010101" charset="-122"/>
                <a:ea typeface="仿宋" panose="02010609060101010101" charset="-122"/>
                <a:cs typeface="仿宋" panose="02010609060101010101" charset="-122"/>
                <a:sym typeface="仿宋" panose="02010609060101010101" charset="-122"/>
              </a:rPr>
              <a:t>图</a:t>
            </a:r>
            <a:r>
              <a:rPr lang="en-US" altLang="zh-CN" sz="1440" b="1">
                <a:latin typeface="仿宋" panose="02010609060101010101" charset="-122"/>
                <a:ea typeface="仿宋" panose="02010609060101010101" charset="-122"/>
                <a:cs typeface="仿宋" panose="02010609060101010101" charset="-122"/>
                <a:sym typeface="仿宋" panose="02010609060101010101" charset="-122"/>
              </a:rPr>
              <a:t>3</a:t>
            </a:r>
            <a:r>
              <a:rPr altLang="en-US" sz="1440" b="1">
                <a:latin typeface="仿宋" panose="02010609060101010101" charset="-122"/>
                <a:ea typeface="仿宋" panose="02010609060101010101" charset="-122"/>
                <a:cs typeface="仿宋" panose="02010609060101010101" charset="-122"/>
                <a:sym typeface="仿宋" panose="02010609060101010101" charset="-122"/>
              </a:rPr>
              <a:t>：财政拨款收支预决算对比图</a:t>
            </a:r>
            <a:endParaRPr lang="en-US" altLang="zh-CN" sz="1440" b="1">
              <a:latin typeface="仿宋" panose="02010609060101010101" charset="-122"/>
              <a:ea typeface="仿宋" panose="02010609060101010101" charset="-122"/>
              <a:cs typeface="仿宋" panose="02010609060101010101" charset="-122"/>
              <a:sym typeface="仿宋" panose="02010609060101010101" charset="-122"/>
            </a:endParaRPr>
          </a:p>
        </c:rich>
      </c:tx>
      <c:layout>
        <c:manualLayout>
          <c:xMode val="edge"/>
          <c:yMode val="edge"/>
          <c:x val="0.202258450040399"/>
          <c:y val="0.913833333333333"/>
        </c:manualLayout>
      </c:layout>
      <c:overlay val="0"/>
      <c:spPr>
        <a:noFill/>
        <a:ln>
          <a:noFill/>
        </a:ln>
        <a:effectLst/>
      </c:spPr>
    </c:title>
    <c:autoTitleDeleted val="0"/>
    <c:plotArea>
      <c:layout>
        <c:manualLayout>
          <c:layoutTarget val="inner"/>
          <c:xMode val="edge"/>
          <c:yMode val="edge"/>
          <c:x val="0.100026932399677"/>
          <c:y val="0.230612660289029"/>
          <c:w val="0.862537032049556"/>
          <c:h val="0.599267250152656"/>
        </c:manualLayout>
      </c:layout>
      <c:barChart>
        <c:barDir val="col"/>
        <c:grouping val="clustered"/>
        <c:varyColors val="0"/>
        <c:ser>
          <c:idx val="0"/>
          <c:order val="0"/>
          <c:tx>
            <c:strRef>
              <c:f>Sheet1!$B$1</c:f>
              <c:strCache>
                <c:ptCount val="1"/>
                <c:pt idx="0">
                  <c:v>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chemeClr val="tx1">
                        <a:lumMod val="75000"/>
                        <a:lumOff val="2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1101.54</c:v>
                </c:pt>
                <c:pt idx="1">
                  <c:v>1101.54</c:v>
                </c:pt>
              </c:numCache>
            </c:numRef>
          </c:val>
        </c:ser>
        <c:ser>
          <c:idx val="1"/>
          <c:order val="1"/>
          <c:tx>
            <c:strRef>
              <c:f>Sheet1!$C$1</c:f>
              <c:strCache>
                <c:ptCount val="1"/>
                <c:pt idx="0">
                  <c:v>决算数</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chemeClr val="tx1">
                        <a:lumMod val="75000"/>
                        <a:lumOff val="2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990.3</c:v>
                </c:pt>
                <c:pt idx="1">
                  <c:v>990.3</c:v>
                </c:pt>
              </c:numCache>
            </c:numRef>
          </c:val>
        </c:ser>
        <c:dLbls>
          <c:showLegendKey val="0"/>
          <c:showVal val="1"/>
          <c:showCatName val="0"/>
          <c:showSerName val="0"/>
          <c:showPercent val="0"/>
          <c:showBubbleSize val="0"/>
        </c:dLbls>
        <c:gapWidth val="219"/>
        <c:overlap val="-27"/>
        <c:axId val="446907195"/>
        <c:axId val="110097532"/>
      </c:barChart>
      <c:catAx>
        <c:axId val="44690719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crossAx val="110097532"/>
        <c:crosses val="autoZero"/>
        <c:auto val="1"/>
        <c:lblAlgn val="ctr"/>
        <c:lblOffset val="100"/>
        <c:noMultiLvlLbl val="0"/>
      </c:catAx>
      <c:valAx>
        <c:axId val="110097532"/>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crossAx val="446907195"/>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Entry>
      <c:layout>
        <c:manualLayout>
          <c:xMode val="edge"/>
          <c:yMode val="edge"/>
          <c:x val="0.773498518718018"/>
          <c:y val="0.0164868715652351"/>
          <c:w val="0.222461621330461"/>
          <c:h val="0.0889476898025646"/>
        </c:manualLayout>
      </c:layout>
      <c:overlay val="0"/>
      <c:spPr>
        <a:noFill/>
        <a:ln>
          <a:noFill/>
        </a:ln>
        <a:effectLst/>
      </c:spPr>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
    <c:plotVisOnly val="1"/>
    <c:dispBlanksAs val="gap"/>
    <c:showDLblsOverMax val="0"/>
  </c:chart>
  <c:spPr>
    <a:solidFill>
      <a:schemeClr val="bg1"/>
    </a:solidFill>
    <a:ln w="9525" cap="flat" cmpd="sng" algn="ctr">
      <a:noFill/>
      <a:round/>
    </a:ln>
    <a:effectLst/>
  </c:spPr>
  <c:txPr>
    <a:bodyPr/>
    <a:lstStyle/>
    <a:p>
      <a:pPr>
        <a:defRPr lang="zh-CN" sz="1200">
          <a:latin typeface="仿宋" panose="02010609060101010101" charset="-122"/>
          <a:ea typeface="仿宋" panose="02010609060101010101" charset="-122"/>
          <a:cs typeface="仿宋" panose="02010609060101010101" charset="-122"/>
          <a:sym typeface="仿宋" panose="02010609060101010101" charset="-12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40" b="1" i="0" u="none" strike="noStrike" kern="1200" spc="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r>
              <a:rPr sz="1440" b="1">
                <a:latin typeface="仿宋" panose="02010609060101010101" charset="-122"/>
                <a:ea typeface="仿宋" panose="02010609060101010101" charset="-122"/>
                <a:cs typeface="仿宋" panose="02010609060101010101" charset="-122"/>
                <a:sym typeface="仿宋" panose="02010609060101010101" charset="-122"/>
              </a:rPr>
              <a:t>图</a:t>
            </a:r>
            <a:r>
              <a:rPr lang="en-US" altLang="zh-CN" sz="1440" b="1">
                <a:latin typeface="仿宋" panose="02010609060101010101" charset="-122"/>
                <a:ea typeface="仿宋" panose="02010609060101010101" charset="-122"/>
                <a:cs typeface="仿宋" panose="02010609060101010101" charset="-122"/>
                <a:sym typeface="仿宋" panose="02010609060101010101" charset="-122"/>
              </a:rPr>
              <a:t>4</a:t>
            </a:r>
            <a:r>
              <a:rPr altLang="en-US" sz="1440" b="1">
                <a:latin typeface="仿宋" panose="02010609060101010101" charset="-122"/>
                <a:ea typeface="仿宋" panose="02010609060101010101" charset="-122"/>
                <a:cs typeface="仿宋" panose="02010609060101010101" charset="-122"/>
                <a:sym typeface="仿宋" panose="02010609060101010101" charset="-122"/>
              </a:rPr>
              <a:t>：财政拨款支出决算结构（按功能分类）</a:t>
            </a:r>
            <a:endParaRPr altLang="en-US" sz="1440" b="1">
              <a:latin typeface="仿宋" panose="02010609060101010101" charset="-122"/>
              <a:ea typeface="仿宋" panose="02010609060101010101" charset="-122"/>
              <a:cs typeface="仿宋" panose="02010609060101010101" charset="-122"/>
              <a:sym typeface="仿宋" panose="02010609060101010101" charset="-122"/>
            </a:endParaRPr>
          </a:p>
        </c:rich>
      </c:tx>
      <c:layout>
        <c:manualLayout>
          <c:xMode val="edge"/>
          <c:yMode val="edge"/>
          <c:x val="0.191312346430983"/>
          <c:y val="0.921778584392015"/>
        </c:manualLayout>
      </c:layout>
      <c:overlay val="0"/>
      <c:spPr>
        <a:noFill/>
        <a:ln>
          <a:noFill/>
        </a:ln>
        <a:effectLst/>
      </c:spPr>
    </c:title>
    <c:autoTitleDeleted val="0"/>
    <c:plotArea>
      <c:layout/>
      <c:pieChart>
        <c:varyColors val="1"/>
        <c:ser>
          <c:idx val="0"/>
          <c:order val="0"/>
          <c:tx>
            <c:strRef>
              <c:f>Sheet1!$B$1</c:f>
              <c:strCache>
                <c:ptCount val="1"/>
                <c:pt idx="0">
                  <c:v>支出情况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Pt>
            <c:idx val="4"/>
            <c:bubble3D val="0"/>
            <c:spPr>
              <a:solidFill>
                <a:schemeClr val="accent5">
                  <a:tint val="100000"/>
                  <a:shade val="100000"/>
                  <a:hueMod val="100000"/>
                  <a:satMod val="100000"/>
                </a:schemeClr>
              </a:solidFill>
              <a:ln w="19050">
                <a:solidFill>
                  <a:schemeClr val="lt1"/>
                </a:solidFill>
              </a:ln>
              <a:effectLst/>
            </c:spPr>
          </c:dPt>
          <c:dPt>
            <c:idx val="5"/>
            <c:bubble3D val="0"/>
            <c:spPr>
              <a:solidFill>
                <a:schemeClr val="accent6">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1200" b="0" i="0" u="none" strike="noStrike" kern="1200" baseline="0">
                    <a:solidFill>
                      <a:schemeClr val="tx1">
                        <a:lumMod val="75000"/>
                        <a:lumOff val="2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一般公共服务（类）支出</c:v>
                </c:pt>
                <c:pt idx="1">
                  <c:v>教育（类）支出</c:v>
                </c:pt>
                <c:pt idx="2">
                  <c:v>卫生健康（类）支出</c:v>
                </c:pt>
                <c:pt idx="3">
                  <c:v>节能环保（类）支出 </c:v>
                </c:pt>
                <c:pt idx="4">
                  <c:v>社会保障与就业（类）支出</c:v>
                </c:pt>
                <c:pt idx="5">
                  <c:v>农林水（类）支出</c:v>
                </c:pt>
              </c:strCache>
            </c:strRef>
          </c:cat>
          <c:val>
            <c:numRef>
              <c:f>Sheet1!$B$2:$B$7</c:f>
              <c:numCache>
                <c:formatCode>General</c:formatCode>
                <c:ptCount val="6"/>
                <c:pt idx="0">
                  <c:v>744.27</c:v>
                </c:pt>
                <c:pt idx="1">
                  <c:v>19.46</c:v>
                </c:pt>
                <c:pt idx="2">
                  <c:v>49.85</c:v>
                </c:pt>
                <c:pt idx="3">
                  <c:v>38.55</c:v>
                </c:pt>
                <c:pt idx="4">
                  <c:v>2.27</c:v>
                </c:pt>
                <c:pt idx="5">
                  <c:v>135.9</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egendEntry>
        <c:idx val="0"/>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Entry>
      <c:legendEntry>
        <c:idx val="1"/>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Entry>
      <c:legendEntry>
        <c:idx val="2"/>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Entry>
      <c:legendEntry>
        <c:idx val="3"/>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Entry>
      <c:legendEntry>
        <c:idx val="4"/>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Entry>
      <c:legendEntry>
        <c:idx val="5"/>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Entry>
      <c:layout/>
      <c:overlay val="0"/>
      <c:spPr>
        <a:noFill/>
        <a:ln>
          <a:noFill/>
        </a:ln>
        <a:effectLst/>
      </c:spPr>
      <c:txPr>
        <a:bodyPr rot="0" spcFirstLastPara="0" vertOverflow="ellipsis" vert="horz" wrap="square" anchor="ctr" anchorCtr="1"/>
        <a:lstStyle/>
        <a:p>
          <a:pPr>
            <a:defRPr lang="zh-CN" sz="1200" b="0" i="0" u="none" strike="noStrike" kern="120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p>
      </c:txPr>
    </c:legend>
    <c:plotVisOnly val="1"/>
    <c:dispBlanksAs val="gap"/>
    <c:showDLblsOverMax val="0"/>
  </c:chart>
  <c:spPr>
    <a:solidFill>
      <a:schemeClr val="bg1"/>
    </a:solidFill>
    <a:ln w="9525" cap="flat" cmpd="sng" algn="ctr">
      <a:noFill/>
      <a:round/>
    </a:ln>
    <a:effectLst/>
  </c:spPr>
  <c:txPr>
    <a:bodyPr/>
    <a:lstStyle/>
    <a:p>
      <a:pPr>
        <a:defRPr lang="zh-CN" sz="1200">
          <a:latin typeface="仿宋" panose="02010609060101010101" charset="-122"/>
          <a:ea typeface="仿宋" panose="02010609060101010101" charset="-122"/>
          <a:cs typeface="仿宋" panose="02010609060101010101" charset="-122"/>
          <a:sym typeface="仿宋" panose="02010609060101010101" charset="-122"/>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38</Pages>
  <Words>5919</Words>
  <Characters>6368</Characters>
  <Lines>78</Lines>
  <Paragraphs>22</Paragraphs>
  <TotalTime>3</TotalTime>
  <ScaleCrop>false</ScaleCrop>
  <LinksUpToDate>false</LinksUpToDate>
  <CharactersWithSpaces>6410</CharactersWithSpaces>
  <Application>WPS Office_11.1.0.12302_F1E327BC-269C-435d-A152-05C5408002CA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底彬彬</cp:lastModifiedBy>
  <cp:lastPrinted>2020-07-30T02:37:00Z</cp:lastPrinted>
  <dcterms:modified xsi:type="dcterms:W3CDTF">2022-08-27T06:46:21Z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8308EC8F02364DBEB167F9B5786A0BF1</vt:lpwstr>
  </property>
</Properties>
</file>