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adjustRightInd w:val="0"/>
        <w:snapToGrid w:val="0"/>
        <w:jc w:val="center"/>
        <w:rPr>
          <w:rFonts w:ascii="方正小标宋_GBK" w:hAnsi="Times New Roman" w:eastAsia="方正小标宋_GBK" w:cs="Times New Roman"/>
          <w:bCs/>
          <w:sz w:val="44"/>
          <w:szCs w:val="44"/>
        </w:rPr>
      </w:pPr>
      <w:bookmarkStart w:id="9" w:name="_GoBack"/>
      <w:r>
        <w:rPr>
          <w:rFonts w:hint="eastAsia" w:ascii="方正小标宋_GBK" w:hAnsi="Times New Roman" w:eastAsia="方正小标宋_GBK" w:cs="Times New Roman"/>
          <w:bCs/>
          <w:sz w:val="44"/>
          <w:szCs w:val="44"/>
        </w:rPr>
        <w:t>正定县水利局</w:t>
      </w:r>
    </w:p>
    <w:bookmarkEnd w:id="9"/>
    <w:p>
      <w:pPr>
        <w:adjustRightInd w:val="0"/>
        <w:snapToGrid w:val="0"/>
        <w:jc w:val="center"/>
        <w:rPr>
          <w:rFonts w:ascii="方正小标宋_GBK" w:hAnsi="Times New Roman" w:eastAsia="方正小标宋_GBK" w:cs="Times New Roman"/>
          <w:bCs/>
          <w:sz w:val="44"/>
          <w:szCs w:val="44"/>
        </w:rPr>
      </w:pPr>
      <w:r>
        <w:rPr>
          <w:rFonts w:ascii="方正小标宋_GBK" w:hAnsi="Times New Roman" w:eastAsia="方正小标宋_GBK" w:cs="Times New Roman"/>
          <w:bCs/>
          <w:sz w:val="44"/>
          <w:szCs w:val="44"/>
        </w:rPr>
        <w:t>2020</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val="en-US" w:eastAsia="zh-CN"/>
        </w:rPr>
        <w:t>中华人民共和国</w:t>
      </w:r>
      <w:r>
        <w:rPr>
          <w:rFonts w:hint="eastAsia" w:ascii="Times New Roman" w:hAnsi="Times New Roman" w:eastAsia="仿宋" w:cs="Times New Roman"/>
          <w:sz w:val="32"/>
          <w:szCs w:val="32"/>
        </w:rPr>
        <w:t>预算法》、《地方预决算公开操作规程》和《河北省省级预算公开办法》规定，现将正定县水利局</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年部门预算公开如下：</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3" w:firstLineChars="200"/>
        <w:jc w:val="both"/>
        <w:textAlignment w:val="auto"/>
        <w:outlineLvl w:val="9"/>
        <w:rPr>
          <w:rFonts w:hint="eastAsia" w:ascii="仿宋" w:hAnsi="仿宋" w:eastAsia="仿宋" w:cs="仿宋"/>
          <w:b/>
          <w:bCs/>
          <w:color w:val="FF00FF"/>
          <w:sz w:val="30"/>
          <w:szCs w:val="30"/>
        </w:rPr>
      </w:pPr>
      <w:r>
        <w:rPr>
          <w:rFonts w:hint="eastAsia" w:ascii="仿宋" w:hAnsi="仿宋" w:eastAsia="仿宋" w:cs="仿宋"/>
          <w:b/>
          <w:bCs/>
          <w:sz w:val="32"/>
          <w:szCs w:val="30"/>
        </w:rPr>
        <w:t>一、部门职责及机构设置情况</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（一）部门职责：</w:t>
      </w:r>
      <w:r>
        <w:rPr>
          <w:rFonts w:hint="eastAsia" w:ascii="仿宋" w:hAnsi="仿宋" w:eastAsia="仿宋" w:cs="仿宋"/>
          <w:color w:val="000000"/>
          <w:sz w:val="32"/>
          <w:szCs w:val="32"/>
        </w:rPr>
        <w:t>正定县水利局为县政府工作部门，机构规格正科级。</w:t>
      </w:r>
      <w:r>
        <w:rPr>
          <w:rFonts w:hint="eastAsia" w:ascii="仿宋" w:hAnsi="仿宋" w:eastAsia="仿宋" w:cs="仿宋"/>
          <w:sz w:val="32"/>
          <w:szCs w:val="32"/>
        </w:rPr>
        <w:t>主要职责是：</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spacing w:val="2"/>
          <w:sz w:val="32"/>
          <w:szCs w:val="32"/>
        </w:rPr>
      </w:pPr>
      <w:r>
        <w:rPr>
          <w:rFonts w:hint="eastAsia" w:ascii="仿宋" w:hAnsi="仿宋" w:eastAsia="仿宋" w:cs="仿宋"/>
          <w:sz w:val="32"/>
          <w:szCs w:val="32"/>
        </w:rPr>
        <w:t>1、负责保障水资源合理开发利用，</w:t>
      </w:r>
      <w:r>
        <w:rPr>
          <w:rFonts w:hint="eastAsia" w:ascii="仿宋" w:hAnsi="仿宋" w:eastAsia="仿宋" w:cs="仿宋"/>
          <w:spacing w:val="2"/>
          <w:sz w:val="32"/>
          <w:szCs w:val="32"/>
        </w:rPr>
        <w:t>贯彻落实上级水利政策及法规，组织编制全县水资源规划、县以内河流综合规划、防洪规划等水利规划。</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spacing w:val="2"/>
          <w:sz w:val="32"/>
          <w:szCs w:val="32"/>
        </w:rPr>
      </w:pPr>
      <w:r>
        <w:rPr>
          <w:rFonts w:hint="eastAsia" w:ascii="仿宋" w:hAnsi="仿宋" w:eastAsia="仿宋" w:cs="仿宋"/>
          <w:sz w:val="32"/>
          <w:szCs w:val="32"/>
        </w:rPr>
        <w:t>2、</w:t>
      </w:r>
      <w:r>
        <w:rPr>
          <w:rFonts w:hint="eastAsia" w:ascii="仿宋" w:hAnsi="仿宋" w:eastAsia="仿宋" w:cs="仿宋"/>
          <w:spacing w:val="2"/>
          <w:sz w:val="32"/>
          <w:szCs w:val="32"/>
        </w:rPr>
        <w:t>负责生活、生产经营和生态环境用水的统筹和保障。</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spacing w:val="2"/>
          <w:sz w:val="32"/>
          <w:szCs w:val="32"/>
        </w:rPr>
      </w:pPr>
      <w:r>
        <w:rPr>
          <w:rFonts w:hint="eastAsia" w:ascii="仿宋" w:hAnsi="仿宋" w:eastAsia="仿宋" w:cs="仿宋"/>
          <w:spacing w:val="2"/>
          <w:sz w:val="32"/>
          <w:szCs w:val="32"/>
        </w:rPr>
        <w:t>3、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4、负责水资源保护工作。</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5、负责节约用水工作。</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54" w:firstLineChars="202"/>
        <w:jc w:val="both"/>
        <w:textAlignment w:val="auto"/>
        <w:outlineLvl w:val="9"/>
        <w:rPr>
          <w:rFonts w:hint="eastAsia" w:ascii="仿宋" w:hAnsi="仿宋" w:eastAsia="仿宋" w:cs="仿宋"/>
          <w:spacing w:val="2"/>
          <w:sz w:val="32"/>
          <w:szCs w:val="32"/>
        </w:rPr>
      </w:pPr>
      <w:r>
        <w:rPr>
          <w:rFonts w:hint="eastAsia" w:ascii="仿宋" w:hAnsi="仿宋" w:eastAsia="仿宋" w:cs="仿宋"/>
          <w:spacing w:val="2"/>
          <w:sz w:val="32"/>
          <w:szCs w:val="32"/>
        </w:rPr>
        <w:t>6、指导水利设施、水域及其岸线的管理、保护与综合利用。负责水利基础设施网络建设。负责主要河道的治理、开发和保护。负责河道水生态保护与修复。</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6" w:firstLineChars="202"/>
        <w:jc w:val="both"/>
        <w:textAlignment w:val="auto"/>
        <w:outlineLvl w:val="9"/>
        <w:rPr>
          <w:rFonts w:hint="eastAsia" w:ascii="仿宋" w:hAnsi="仿宋" w:eastAsia="仿宋" w:cs="仿宋"/>
          <w:spacing w:val="2"/>
          <w:sz w:val="32"/>
          <w:szCs w:val="32"/>
        </w:rPr>
      </w:pPr>
      <w:r>
        <w:rPr>
          <w:rFonts w:hint="eastAsia" w:ascii="仿宋" w:hAnsi="仿宋" w:eastAsia="仿宋" w:cs="仿宋"/>
          <w:sz w:val="32"/>
          <w:szCs w:val="32"/>
        </w:rPr>
        <w:t>7、</w:t>
      </w:r>
      <w:r>
        <w:rPr>
          <w:rFonts w:hint="eastAsia" w:ascii="仿宋" w:hAnsi="仿宋" w:eastAsia="仿宋" w:cs="仿宋"/>
          <w:spacing w:val="2"/>
          <w:sz w:val="32"/>
          <w:szCs w:val="32"/>
        </w:rPr>
        <w:t>负责监督水利工程建设与运行管理。组织实施水利工程建设与运行管理。落实南水北调配套工程运行和后续工程建设的有关政策措施，指导监督工程安全运行。</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spacing w:val="2"/>
          <w:sz w:val="32"/>
          <w:szCs w:val="32"/>
        </w:rPr>
      </w:pPr>
      <w:r>
        <w:rPr>
          <w:rFonts w:hint="eastAsia" w:ascii="仿宋" w:hAnsi="仿宋" w:eastAsia="仿宋" w:cs="仿宋"/>
          <w:spacing w:val="2"/>
          <w:sz w:val="32"/>
          <w:szCs w:val="32"/>
        </w:rPr>
        <w:t>8、负责全县水土保持工作。</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spacing w:val="2"/>
          <w:sz w:val="32"/>
          <w:szCs w:val="32"/>
        </w:rPr>
      </w:pPr>
      <w:r>
        <w:rPr>
          <w:rFonts w:hint="eastAsia" w:ascii="仿宋" w:hAnsi="仿宋" w:eastAsia="仿宋" w:cs="仿宋"/>
          <w:spacing w:val="2"/>
          <w:sz w:val="32"/>
          <w:szCs w:val="32"/>
        </w:rPr>
        <w:t>9、指导农村水利工作。</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sz w:val="32"/>
          <w:szCs w:val="32"/>
        </w:rPr>
      </w:pPr>
      <w:r>
        <w:rPr>
          <w:rFonts w:hint="eastAsia" w:ascii="仿宋" w:hAnsi="仿宋" w:eastAsia="仿宋" w:cs="仿宋"/>
          <w:spacing w:val="2"/>
          <w:sz w:val="32"/>
          <w:szCs w:val="32"/>
        </w:rPr>
        <w:t>10、</w:t>
      </w:r>
      <w:r>
        <w:rPr>
          <w:rFonts w:hint="eastAsia" w:ascii="仿宋" w:hAnsi="仿宋" w:eastAsia="仿宋" w:cs="仿宋"/>
          <w:sz w:val="32"/>
          <w:szCs w:val="32"/>
        </w:rPr>
        <w:t>负责水库、水电工程移民管理工作。负责贯彻落实水库、水电工程移民有关政策。</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color w:val="000000"/>
          <w:spacing w:val="2"/>
          <w:sz w:val="32"/>
          <w:szCs w:val="32"/>
        </w:rPr>
      </w:pPr>
      <w:r>
        <w:rPr>
          <w:rFonts w:hint="eastAsia" w:ascii="仿宋" w:hAnsi="仿宋" w:eastAsia="仿宋" w:cs="仿宋"/>
          <w:sz w:val="32"/>
          <w:szCs w:val="32"/>
        </w:rPr>
        <w:t>11、</w:t>
      </w:r>
      <w:r>
        <w:rPr>
          <w:rFonts w:hint="eastAsia" w:ascii="仿宋" w:hAnsi="仿宋" w:eastAsia="仿宋" w:cs="仿宋"/>
          <w:color w:val="000000"/>
          <w:spacing w:val="2"/>
          <w:sz w:val="32"/>
          <w:szCs w:val="32"/>
        </w:rPr>
        <w:t>依法负责涉水违法事件的查处。</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38" w:firstLineChars="197"/>
        <w:jc w:val="both"/>
        <w:textAlignment w:val="auto"/>
        <w:outlineLvl w:val="9"/>
        <w:rPr>
          <w:rFonts w:hint="eastAsia" w:ascii="仿宋" w:hAnsi="仿宋" w:eastAsia="仿宋" w:cs="仿宋"/>
          <w:spacing w:val="2"/>
          <w:sz w:val="32"/>
          <w:szCs w:val="32"/>
        </w:rPr>
      </w:pPr>
      <w:r>
        <w:rPr>
          <w:rFonts w:hint="eastAsia" w:ascii="仿宋" w:hAnsi="仿宋" w:eastAsia="仿宋" w:cs="仿宋"/>
          <w:spacing w:val="2"/>
          <w:sz w:val="32"/>
          <w:szCs w:val="32"/>
        </w:rPr>
        <w:t>12、组织开展水利行业质量监督工作。监督实施水利行业的技术标准、规程规范。</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38" w:firstLineChars="197"/>
        <w:jc w:val="both"/>
        <w:textAlignment w:val="auto"/>
        <w:outlineLvl w:val="9"/>
        <w:rPr>
          <w:rFonts w:hint="eastAsia" w:ascii="仿宋" w:hAnsi="仿宋" w:eastAsia="仿宋" w:cs="仿宋"/>
          <w:spacing w:val="2"/>
          <w:sz w:val="32"/>
          <w:szCs w:val="32"/>
        </w:rPr>
      </w:pPr>
      <w:r>
        <w:rPr>
          <w:rFonts w:hint="eastAsia" w:ascii="仿宋" w:hAnsi="仿宋" w:eastAsia="仿宋" w:cs="仿宋"/>
          <w:spacing w:val="2"/>
          <w:sz w:val="32"/>
          <w:szCs w:val="32"/>
        </w:rPr>
        <w:t>13、负责落实综合防灾减灾规划相关要求，组织编制洪水干旱灾害防治规划。</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spacing w:val="2"/>
          <w:sz w:val="32"/>
          <w:szCs w:val="32"/>
        </w:rPr>
      </w:pPr>
      <w:r>
        <w:rPr>
          <w:rFonts w:hint="eastAsia" w:ascii="仿宋" w:hAnsi="仿宋" w:eastAsia="仿宋" w:cs="仿宋"/>
          <w:sz w:val="32"/>
          <w:szCs w:val="32"/>
        </w:rPr>
        <w:t>14、</w:t>
      </w:r>
      <w:r>
        <w:rPr>
          <w:rFonts w:hint="eastAsia" w:ascii="仿宋" w:hAnsi="仿宋" w:eastAsia="仿宋" w:cs="仿宋"/>
          <w:spacing w:val="2"/>
          <w:sz w:val="32"/>
          <w:szCs w:val="32"/>
        </w:rPr>
        <w:t>承办县级河长各项指示、批示；负责正定县河长制办公室日常工作；督促乡级河长及村级河长履职尽责。</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atLeast"/>
        <w:ind w:left="0" w:leftChars="0" w:right="0" w:rightChars="0" w:firstLine="64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15、完成县委、县政府交办的其他任务。</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（二）机构设置</w:t>
      </w:r>
    </w:p>
    <w:p>
      <w:pPr>
        <w:jc w:val="center"/>
        <w:outlineLvl w:val="0"/>
        <w:rPr>
          <w:rFonts w:hint="eastAsia" w:ascii="仿宋" w:hAnsi="仿宋" w:eastAsia="仿宋" w:cs="仿宋"/>
          <w:b/>
          <w:bCs/>
          <w:sz w:val="32"/>
          <w:szCs w:val="32"/>
        </w:rPr>
      </w:pPr>
      <w:r>
        <w:rPr>
          <w:rFonts w:hint="eastAsia" w:ascii="仿宋" w:hAnsi="仿宋" w:eastAsia="仿宋" w:cs="仿宋"/>
          <w:b w:val="0"/>
          <w:bCs w:val="0"/>
          <w:sz w:val="32"/>
          <w:szCs w:val="32"/>
        </w:rPr>
        <w:t>部门机构设置情况</w:t>
      </w:r>
    </w:p>
    <w:tbl>
      <w:tblPr>
        <w:tblStyle w:val="7"/>
        <w:tblW w:w="70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92"/>
        <w:gridCol w:w="1511"/>
        <w:gridCol w:w="1579"/>
        <w:gridCol w:w="17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4" w:hRule="atLeast"/>
          <w:tblHeader/>
          <w:jc w:val="center"/>
        </w:trPr>
        <w:tc>
          <w:tcPr>
            <w:tcW w:w="2292" w:type="dxa"/>
            <w:vAlign w:val="center"/>
          </w:tcPr>
          <w:p>
            <w:pPr>
              <w:tabs>
                <w:tab w:val="left" w:pos="1035"/>
                <w:tab w:val="center" w:pos="2173"/>
              </w:tabs>
              <w:spacing w:line="300" w:lineRule="exact"/>
              <w:jc w:val="left"/>
              <w:rPr>
                <w:rFonts w:hint="eastAsia" w:ascii="仿宋" w:hAnsi="仿宋" w:eastAsia="仿宋" w:cs="仿宋"/>
                <w:b w:val="0"/>
                <w:bCs/>
                <w:sz w:val="32"/>
                <w:szCs w:val="32"/>
              </w:rPr>
            </w:pPr>
            <w:r>
              <w:rPr>
                <w:rFonts w:hint="eastAsia" w:ascii="仿宋" w:hAnsi="仿宋" w:eastAsia="仿宋" w:cs="仿宋"/>
                <w:b w:val="0"/>
                <w:bCs/>
                <w:sz w:val="32"/>
                <w:szCs w:val="32"/>
              </w:rPr>
              <w:tab/>
            </w:r>
            <w:r>
              <w:rPr>
                <w:rFonts w:hint="eastAsia" w:ascii="仿宋" w:hAnsi="仿宋" w:eastAsia="仿宋" w:cs="仿宋"/>
                <w:b w:val="0"/>
                <w:bCs/>
                <w:sz w:val="32"/>
                <w:szCs w:val="32"/>
              </w:rPr>
              <w:tab/>
            </w:r>
            <w:r>
              <w:rPr>
                <w:rFonts w:hint="eastAsia" w:ascii="仿宋" w:hAnsi="仿宋" w:eastAsia="仿宋" w:cs="仿宋"/>
                <w:b w:val="0"/>
                <w:bCs/>
                <w:sz w:val="32"/>
                <w:szCs w:val="32"/>
              </w:rPr>
              <w:t>单位名称</w:t>
            </w:r>
          </w:p>
        </w:tc>
        <w:tc>
          <w:tcPr>
            <w:tcW w:w="1511" w:type="dxa"/>
            <w:vAlign w:val="center"/>
          </w:tcPr>
          <w:p>
            <w:pPr>
              <w:spacing w:line="300" w:lineRule="exact"/>
              <w:jc w:val="center"/>
              <w:rPr>
                <w:rFonts w:hint="eastAsia" w:ascii="仿宋" w:hAnsi="仿宋" w:eastAsia="仿宋" w:cs="仿宋"/>
                <w:b w:val="0"/>
                <w:bCs/>
                <w:sz w:val="32"/>
                <w:szCs w:val="32"/>
              </w:rPr>
            </w:pPr>
            <w:r>
              <w:rPr>
                <w:rFonts w:hint="eastAsia" w:ascii="仿宋" w:hAnsi="仿宋" w:eastAsia="仿宋" w:cs="仿宋"/>
                <w:b w:val="0"/>
                <w:bCs/>
                <w:sz w:val="32"/>
                <w:szCs w:val="32"/>
              </w:rPr>
              <w:t>单位性质</w:t>
            </w:r>
          </w:p>
        </w:tc>
        <w:tc>
          <w:tcPr>
            <w:tcW w:w="1579" w:type="dxa"/>
            <w:vAlign w:val="center"/>
          </w:tcPr>
          <w:p>
            <w:pPr>
              <w:spacing w:line="300" w:lineRule="exact"/>
              <w:jc w:val="center"/>
              <w:rPr>
                <w:rFonts w:hint="eastAsia" w:ascii="仿宋" w:hAnsi="仿宋" w:eastAsia="仿宋" w:cs="仿宋"/>
                <w:b w:val="0"/>
                <w:bCs/>
                <w:sz w:val="32"/>
                <w:szCs w:val="32"/>
              </w:rPr>
            </w:pPr>
            <w:r>
              <w:rPr>
                <w:rFonts w:hint="eastAsia" w:ascii="仿宋" w:hAnsi="仿宋" w:eastAsia="仿宋" w:cs="仿宋"/>
                <w:b w:val="0"/>
                <w:bCs/>
                <w:sz w:val="32"/>
                <w:szCs w:val="32"/>
              </w:rPr>
              <w:t>单位规格</w:t>
            </w:r>
          </w:p>
        </w:tc>
        <w:tc>
          <w:tcPr>
            <w:tcW w:w="1714" w:type="dxa"/>
            <w:vAlign w:val="center"/>
          </w:tcPr>
          <w:p>
            <w:pPr>
              <w:spacing w:line="300" w:lineRule="exact"/>
              <w:jc w:val="center"/>
              <w:rPr>
                <w:rFonts w:hint="eastAsia" w:ascii="仿宋" w:hAnsi="仿宋" w:eastAsia="仿宋" w:cs="仿宋"/>
                <w:b w:val="0"/>
                <w:bCs/>
                <w:sz w:val="32"/>
                <w:szCs w:val="32"/>
              </w:rPr>
            </w:pPr>
            <w:r>
              <w:rPr>
                <w:rFonts w:hint="eastAsia" w:ascii="仿宋" w:hAnsi="仿宋" w:eastAsia="仿宋" w:cs="仿宋"/>
                <w:b w:val="0"/>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2292" w:type="dxa"/>
            <w:vAlign w:val="center"/>
          </w:tcPr>
          <w:p>
            <w:pPr>
              <w:spacing w:line="300" w:lineRule="exact"/>
              <w:jc w:val="left"/>
              <w:rPr>
                <w:rFonts w:hint="eastAsia" w:ascii="仿宋" w:hAnsi="仿宋" w:eastAsia="仿宋" w:cs="仿宋"/>
                <w:sz w:val="32"/>
                <w:szCs w:val="32"/>
              </w:rPr>
            </w:pPr>
            <w:r>
              <w:rPr>
                <w:rFonts w:hint="eastAsia" w:ascii="仿宋" w:hAnsi="仿宋" w:eastAsia="仿宋" w:cs="仿宋"/>
                <w:sz w:val="32"/>
                <w:szCs w:val="32"/>
              </w:rPr>
              <w:t>正定县水利局（机关）</w:t>
            </w:r>
          </w:p>
        </w:tc>
        <w:tc>
          <w:tcPr>
            <w:tcW w:w="1511"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行政</w:t>
            </w:r>
          </w:p>
        </w:tc>
        <w:tc>
          <w:tcPr>
            <w:tcW w:w="1579"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正科级</w:t>
            </w:r>
          </w:p>
        </w:tc>
        <w:tc>
          <w:tcPr>
            <w:tcW w:w="1714" w:type="dxa"/>
            <w:vAlign w:val="center"/>
          </w:tcPr>
          <w:p>
            <w:pPr>
              <w:spacing w:line="300" w:lineRule="exact"/>
              <w:jc w:val="left"/>
              <w:rPr>
                <w:rFonts w:hint="eastAsia" w:ascii="仿宋" w:hAnsi="仿宋" w:eastAsia="仿宋" w:cs="仿宋"/>
                <w:sz w:val="32"/>
                <w:szCs w:val="32"/>
              </w:rPr>
            </w:pPr>
            <w:r>
              <w:rPr>
                <w:rFonts w:hint="eastAsia" w:ascii="仿宋" w:hAnsi="仿宋" w:eastAsia="仿宋" w:cs="仿宋"/>
                <w:sz w:val="32"/>
                <w:szCs w:val="3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5" w:hRule="atLeast"/>
          <w:jc w:val="center"/>
        </w:trPr>
        <w:tc>
          <w:tcPr>
            <w:tcW w:w="2292" w:type="dxa"/>
            <w:vAlign w:val="center"/>
          </w:tcPr>
          <w:p>
            <w:pPr>
              <w:spacing w:line="3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正定县水利服务中心</w:t>
            </w:r>
          </w:p>
        </w:tc>
        <w:tc>
          <w:tcPr>
            <w:tcW w:w="1511"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事业</w:t>
            </w:r>
          </w:p>
        </w:tc>
        <w:tc>
          <w:tcPr>
            <w:tcW w:w="1579"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股级</w:t>
            </w:r>
          </w:p>
        </w:tc>
        <w:tc>
          <w:tcPr>
            <w:tcW w:w="1714" w:type="dxa"/>
            <w:vAlign w:val="center"/>
          </w:tcPr>
          <w:p>
            <w:pPr>
              <w:spacing w:line="300" w:lineRule="exact"/>
              <w:jc w:val="left"/>
              <w:rPr>
                <w:rFonts w:hint="eastAsia" w:ascii="仿宋" w:hAnsi="仿宋" w:eastAsia="仿宋" w:cs="仿宋"/>
                <w:sz w:val="32"/>
                <w:szCs w:val="32"/>
              </w:rPr>
            </w:pPr>
            <w:r>
              <w:rPr>
                <w:rFonts w:hint="eastAsia" w:ascii="仿宋" w:hAnsi="仿宋" w:eastAsia="仿宋" w:cs="仿宋"/>
                <w:sz w:val="32"/>
                <w:szCs w:val="3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5" w:hRule="atLeast"/>
          <w:jc w:val="center"/>
        </w:trPr>
        <w:tc>
          <w:tcPr>
            <w:tcW w:w="2292" w:type="dxa"/>
            <w:vAlign w:val="center"/>
          </w:tcPr>
          <w:p>
            <w:pPr>
              <w:spacing w:line="3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正定县河道服务中心</w:t>
            </w:r>
          </w:p>
        </w:tc>
        <w:tc>
          <w:tcPr>
            <w:tcW w:w="1511"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事业</w:t>
            </w:r>
          </w:p>
        </w:tc>
        <w:tc>
          <w:tcPr>
            <w:tcW w:w="1579"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其他</w:t>
            </w:r>
          </w:p>
        </w:tc>
        <w:tc>
          <w:tcPr>
            <w:tcW w:w="1714" w:type="dxa"/>
            <w:vAlign w:val="center"/>
          </w:tcPr>
          <w:p>
            <w:pPr>
              <w:spacing w:line="300" w:lineRule="exact"/>
              <w:jc w:val="left"/>
              <w:rPr>
                <w:rFonts w:hint="eastAsia" w:ascii="仿宋" w:hAnsi="仿宋" w:eastAsia="仿宋" w:cs="仿宋"/>
                <w:sz w:val="32"/>
                <w:szCs w:val="32"/>
              </w:rPr>
            </w:pPr>
            <w:r>
              <w:rPr>
                <w:rFonts w:hint="eastAsia" w:ascii="仿宋" w:hAnsi="仿宋" w:eastAsia="仿宋" w:cs="仿宋"/>
                <w:sz w:val="32"/>
                <w:szCs w:val="3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2292" w:type="dxa"/>
            <w:vAlign w:val="center"/>
          </w:tcPr>
          <w:p>
            <w:pPr>
              <w:spacing w:line="3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正定县水政水资源综合服务中心</w:t>
            </w:r>
          </w:p>
        </w:tc>
        <w:tc>
          <w:tcPr>
            <w:tcW w:w="1511"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事业</w:t>
            </w:r>
          </w:p>
        </w:tc>
        <w:tc>
          <w:tcPr>
            <w:tcW w:w="1579"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股级</w:t>
            </w:r>
          </w:p>
        </w:tc>
        <w:tc>
          <w:tcPr>
            <w:tcW w:w="1714" w:type="dxa"/>
            <w:vAlign w:val="center"/>
          </w:tcPr>
          <w:p>
            <w:pPr>
              <w:spacing w:line="300" w:lineRule="exact"/>
              <w:jc w:val="left"/>
              <w:rPr>
                <w:rFonts w:hint="eastAsia" w:ascii="仿宋" w:hAnsi="仿宋" w:eastAsia="仿宋" w:cs="仿宋"/>
                <w:sz w:val="32"/>
                <w:szCs w:val="32"/>
              </w:rPr>
            </w:pPr>
            <w:r>
              <w:rPr>
                <w:rFonts w:hint="eastAsia" w:ascii="仿宋" w:hAnsi="仿宋" w:eastAsia="仿宋" w:cs="仿宋"/>
                <w:sz w:val="32"/>
                <w:szCs w:val="32"/>
              </w:rPr>
              <w:t>财政性资金基本保证</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left="-3" w:leftChars="0" w:right="57" w:rightChars="27" w:firstLine="3" w:firstLineChars="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按照预算管理有关规定，目前我省部门预算的编制实行综合预算管理，即全部收入和支出都反映的预算中。正定县水利局及所属事业单位的收支包含在部门预算中。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年预算收入</w:t>
      </w:r>
      <w:r>
        <w:rPr>
          <w:rFonts w:ascii="Times New Roman" w:hAnsi="Times New Roman" w:eastAsia="仿宋" w:cs="Times New Roman"/>
          <w:sz w:val="32"/>
          <w:szCs w:val="32"/>
        </w:rPr>
        <w:t>23597.18</w:t>
      </w:r>
      <w:r>
        <w:rPr>
          <w:rFonts w:hint="eastAsia" w:ascii="Times New Roman" w:hAnsi="Times New Roman" w:eastAsia="仿宋" w:cs="Times New Roman"/>
          <w:sz w:val="32"/>
          <w:szCs w:val="32"/>
        </w:rPr>
        <w:t>万元，其中：一般公共预算收入</w:t>
      </w:r>
      <w:r>
        <w:rPr>
          <w:rFonts w:ascii="Times New Roman" w:hAnsi="Times New Roman" w:eastAsia="仿宋" w:cs="Times New Roman"/>
          <w:sz w:val="32"/>
          <w:szCs w:val="32"/>
        </w:rPr>
        <w:t>17063.63</w:t>
      </w:r>
      <w:r>
        <w:rPr>
          <w:rFonts w:hint="eastAsia" w:ascii="Times New Roman" w:hAnsi="Times New Roman" w:eastAsia="仿宋" w:cs="Times New Roman"/>
          <w:sz w:val="32"/>
          <w:szCs w:val="32"/>
        </w:rPr>
        <w:t>万元，基金预算收入</w:t>
      </w:r>
      <w:r>
        <w:rPr>
          <w:rFonts w:ascii="Times New Roman" w:hAnsi="Times New Roman" w:eastAsia="仿宋" w:cs="Times New Roman"/>
          <w:sz w:val="32"/>
          <w:szCs w:val="32"/>
        </w:rPr>
        <w:t>6533.55</w:t>
      </w:r>
      <w:r>
        <w:rPr>
          <w:rFonts w:hint="eastAsia" w:ascii="Times New Roman" w:hAnsi="Times New Roman" w:eastAsia="仿宋" w:cs="Times New Roman"/>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收支预算总表支出栏、基本支出表、项目支出表按经济分类和支出功能分类科目编制，反映正定县水利局年度部门预算中支出预算的总体情况。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年部门支出预算为</w:t>
      </w:r>
      <w:r>
        <w:rPr>
          <w:rFonts w:ascii="Times New Roman" w:hAnsi="Times New Roman" w:eastAsia="仿宋" w:cs="Times New Roman"/>
          <w:sz w:val="32"/>
          <w:szCs w:val="32"/>
        </w:rPr>
        <w:t>23597.18</w:t>
      </w:r>
      <w:r>
        <w:rPr>
          <w:rFonts w:hint="eastAsia" w:ascii="Times New Roman" w:hAnsi="Times New Roman" w:eastAsia="仿宋" w:cs="Times New Roman"/>
          <w:sz w:val="32"/>
          <w:szCs w:val="32"/>
        </w:rPr>
        <w:t>万元，其中基本支出</w:t>
      </w:r>
      <w:r>
        <w:rPr>
          <w:rFonts w:ascii="Times New Roman" w:hAnsi="Times New Roman" w:eastAsia="仿宋" w:cs="Times New Roman"/>
          <w:sz w:val="32"/>
          <w:szCs w:val="32"/>
        </w:rPr>
        <w:t>1468.4</w:t>
      </w:r>
      <w:r>
        <w:rPr>
          <w:rFonts w:hint="eastAsia" w:ascii="Times New Roman" w:hAnsi="Times New Roman" w:eastAsia="仿宋" w:cs="Times New Roman"/>
          <w:sz w:val="32"/>
          <w:szCs w:val="32"/>
        </w:rPr>
        <w:t>万元，包括人员经费</w:t>
      </w:r>
      <w:r>
        <w:rPr>
          <w:rFonts w:ascii="Times New Roman" w:hAnsi="Times New Roman" w:eastAsia="仿宋" w:cs="Times New Roman"/>
          <w:sz w:val="32"/>
          <w:szCs w:val="32"/>
        </w:rPr>
        <w:t>1392.94</w:t>
      </w:r>
      <w:r>
        <w:rPr>
          <w:rFonts w:hint="eastAsia" w:ascii="Times New Roman" w:hAnsi="Times New Roman" w:eastAsia="仿宋" w:cs="Times New Roman"/>
          <w:sz w:val="32"/>
          <w:szCs w:val="32"/>
        </w:rPr>
        <w:t>万元和日常公用经费</w:t>
      </w:r>
      <w:r>
        <w:rPr>
          <w:rFonts w:ascii="Times New Roman" w:hAnsi="Times New Roman" w:eastAsia="仿宋" w:cs="Times New Roman"/>
          <w:sz w:val="32"/>
          <w:szCs w:val="32"/>
        </w:rPr>
        <w:t>75.46</w:t>
      </w:r>
      <w:r>
        <w:rPr>
          <w:rFonts w:hint="eastAsia" w:ascii="Times New Roman" w:hAnsi="Times New Roman" w:eastAsia="仿宋" w:cs="Times New Roman"/>
          <w:sz w:val="32"/>
          <w:szCs w:val="32"/>
        </w:rPr>
        <w:t>万元；项目支出</w:t>
      </w:r>
      <w:r>
        <w:rPr>
          <w:rFonts w:ascii="Times New Roman" w:hAnsi="Times New Roman" w:eastAsia="仿宋" w:cs="Times New Roman"/>
          <w:sz w:val="32"/>
          <w:szCs w:val="32"/>
        </w:rPr>
        <w:t>22128.78</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华电水务供水费、自来水关停自备井及管网改造费用</w:t>
      </w:r>
      <w:r>
        <w:rPr>
          <w:rFonts w:hint="eastAsia" w:ascii="Times New Roman" w:hAnsi="Times New Roman" w:eastAsia="仿宋" w:cs="Times New Roman"/>
          <w:sz w:val="32"/>
          <w:szCs w:val="32"/>
          <w:lang w:val="en-US" w:eastAsia="zh-CN"/>
        </w:rPr>
        <w:t>5419.75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地下水超采综合治理资金</w:t>
      </w:r>
      <w:r>
        <w:rPr>
          <w:rFonts w:hint="eastAsia" w:ascii="Times New Roman" w:hAnsi="Times New Roman" w:eastAsia="仿宋" w:cs="Times New Roman"/>
          <w:sz w:val="32"/>
          <w:szCs w:val="32"/>
          <w:lang w:val="en-US" w:eastAsia="zh-CN"/>
        </w:rPr>
        <w:t>13147.96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城区护城河管护及河道清理整治费用</w:t>
      </w:r>
      <w:r>
        <w:rPr>
          <w:rFonts w:hint="eastAsia" w:ascii="Times New Roman" w:hAnsi="Times New Roman" w:eastAsia="仿宋" w:cs="Times New Roman"/>
          <w:sz w:val="32"/>
          <w:szCs w:val="32"/>
          <w:lang w:val="en-US" w:eastAsia="zh-CN"/>
        </w:rPr>
        <w:t>102.38</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Times New Roman"/>
          <w:color w:val="000000"/>
          <w:sz w:val="32"/>
          <w:szCs w:val="32"/>
        </w:rPr>
        <w:t>年部门预算收支安排</w:t>
      </w:r>
      <w:r>
        <w:rPr>
          <w:rFonts w:ascii="Times New Roman" w:hAnsi="Times New Roman" w:eastAsia="仿宋" w:cs="Times New Roman"/>
          <w:sz w:val="32"/>
          <w:szCs w:val="32"/>
        </w:rPr>
        <w:t>23597.18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2019</w:t>
      </w:r>
      <w:r>
        <w:rPr>
          <w:rFonts w:hint="eastAsia" w:ascii="Times New Roman" w:hAnsi="Times New Roman" w:eastAsia="仿宋" w:cs="Times New Roman"/>
          <w:sz w:val="32"/>
          <w:szCs w:val="32"/>
        </w:rPr>
        <w:t>年增加</w:t>
      </w:r>
      <w:r>
        <w:rPr>
          <w:rFonts w:hint="eastAsia" w:ascii="Times New Roman" w:hAnsi="Times New Roman" w:eastAsia="仿宋" w:cs="Times New Roman"/>
          <w:sz w:val="32"/>
          <w:szCs w:val="32"/>
          <w:lang w:val="en-US" w:eastAsia="zh-CN"/>
        </w:rPr>
        <w:t>12907.32</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47.53</w:t>
      </w:r>
      <w:r>
        <w:rPr>
          <w:rFonts w:hint="eastAsia" w:ascii="Times New Roman" w:hAnsi="Times New Roman" w:eastAsia="仿宋" w:cs="Times New Roman"/>
          <w:sz w:val="32"/>
          <w:szCs w:val="32"/>
        </w:rPr>
        <w:t>万元，主要是人员减少，相应减少人员经费和日常公用经费；项目支出增加</w:t>
      </w:r>
      <w:r>
        <w:rPr>
          <w:rFonts w:hint="eastAsia" w:ascii="Times New Roman" w:hAnsi="Times New Roman" w:eastAsia="仿宋" w:cs="Times New Roman"/>
          <w:sz w:val="32"/>
          <w:szCs w:val="32"/>
          <w:lang w:val="en-US" w:eastAsia="zh-CN"/>
        </w:rPr>
        <w:t>12954.85</w:t>
      </w:r>
      <w:r>
        <w:rPr>
          <w:rFonts w:hint="eastAsia" w:ascii="Times New Roman" w:hAnsi="Times New Roman" w:eastAsia="仿宋" w:cs="Times New Roman"/>
          <w:sz w:val="32"/>
          <w:szCs w:val="32"/>
        </w:rPr>
        <w:t>万元，主要是增加</w:t>
      </w:r>
      <w:r>
        <w:rPr>
          <w:rFonts w:hint="eastAsia" w:ascii="Times New Roman" w:hAnsi="Times New Roman" w:eastAsia="仿宋" w:cs="Times New Roman"/>
          <w:sz w:val="32"/>
          <w:szCs w:val="32"/>
          <w:lang w:val="en-US" w:eastAsia="zh-CN"/>
        </w:rPr>
        <w:t>2020年中央水利发展地下水超采综合治理项目资金</w:t>
      </w:r>
      <w:r>
        <w:rPr>
          <w:rFonts w:hint="eastAsia" w:ascii="Times New Roman" w:hAnsi="Times New Roman" w:eastAsia="仿宋" w:cs="Times New Roman"/>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年，我部门机关运行经费共计安排</w:t>
      </w:r>
      <w:r>
        <w:rPr>
          <w:rFonts w:ascii="Times New Roman" w:hAnsi="Times New Roman" w:eastAsia="仿宋" w:cs="Times New Roman"/>
          <w:sz w:val="32"/>
          <w:szCs w:val="32"/>
        </w:rPr>
        <w:t>75.46</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年，我部门财政拨款“三公”经费预算安排</w:t>
      </w:r>
      <w:r>
        <w:rPr>
          <w:rFonts w:ascii="Times New Roman" w:hAnsi="Times New Roman" w:eastAsia="仿宋" w:cs="Times New Roman"/>
          <w:sz w:val="32"/>
          <w:szCs w:val="32"/>
        </w:rPr>
        <w:t>7.98</w:t>
      </w:r>
      <w:r>
        <w:rPr>
          <w:rFonts w:hint="eastAsia" w:ascii="Times New Roman" w:hAnsi="Times New Roman" w:eastAsia="仿宋" w:cs="Times New Roman"/>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万元；公务用车购置及运维费</w:t>
      </w:r>
      <w:r>
        <w:rPr>
          <w:rFonts w:ascii="Times New Roman" w:hAnsi="Times New Roman" w:eastAsia="仿宋" w:cs="Times New Roman"/>
          <w:sz w:val="32"/>
          <w:szCs w:val="32"/>
        </w:rPr>
        <w:t>7.98</w:t>
      </w:r>
      <w:r>
        <w:rPr>
          <w:rFonts w:hint="eastAsia" w:ascii="Times New Roman" w:hAnsi="Times New Roman" w:eastAsia="仿宋" w:cs="Times New Roman"/>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万元，公务用车运行维护费</w:t>
      </w:r>
      <w:r>
        <w:rPr>
          <w:rFonts w:ascii="Times New Roman" w:hAnsi="Times New Roman" w:eastAsia="仿宋" w:cs="Times New Roman"/>
          <w:sz w:val="32"/>
          <w:szCs w:val="32"/>
        </w:rPr>
        <w:t>7.98</w:t>
      </w:r>
      <w:r>
        <w:rPr>
          <w:rFonts w:hint="eastAsia" w:ascii="Times New Roman" w:hAnsi="Times New Roman" w:eastAsia="仿宋" w:cs="Times New Roman"/>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rPr>
        <w:t>；公务接待费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万元。“三公”经费</w:t>
      </w:r>
      <w:r>
        <w:rPr>
          <w:rFonts w:hint="eastAsia" w:ascii="Times New Roman" w:hAnsi="Times New Roman" w:eastAsia="仿宋" w:cs="Times New Roman"/>
          <w:sz w:val="32"/>
          <w:szCs w:val="32"/>
          <w:lang w:eastAsia="zh-CN"/>
        </w:rPr>
        <w:t>较去年减</w:t>
      </w:r>
      <w:r>
        <w:rPr>
          <w:rFonts w:hint="eastAsia" w:ascii="Times New Roman" w:hAnsi="Times New Roman" w:eastAsia="仿宋" w:cs="Times New Roman"/>
          <w:sz w:val="32"/>
          <w:szCs w:val="32"/>
          <w:lang w:val="en-US" w:eastAsia="zh-CN"/>
        </w:rPr>
        <w:t>9.36万元，一</w:t>
      </w:r>
      <w:r>
        <w:rPr>
          <w:rFonts w:hint="eastAsia" w:ascii="仿宋_GB2312" w:hAnsi="Times New Roman" w:eastAsia="仿宋_GB2312" w:cs="DengXian-Regular"/>
          <w:sz w:val="32"/>
          <w:szCs w:val="32"/>
        </w:rPr>
        <w:t>是认真贯彻落实中央八项规定精神和厉行节约要求，从严控制“三公”经费开支</w:t>
      </w:r>
      <w:r>
        <w:rPr>
          <w:rFonts w:hint="eastAsia" w:ascii="仿宋_GB2312" w:hAnsi="Times New Roman" w:eastAsia="仿宋_GB2312" w:cs="DengXian-Regular"/>
          <w:sz w:val="32"/>
          <w:szCs w:val="32"/>
          <w:lang w:eastAsia="zh-CN"/>
        </w:rPr>
        <w:t>，二是公务用车车辆减少。</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部门整体绩效目标</w:t>
      </w:r>
    </w:p>
    <w:p>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val="en-US" w:eastAsia="zh-CN"/>
        </w:rPr>
        <w:t xml:space="preserve">   </w:t>
      </w:r>
      <w:r>
        <w:rPr>
          <w:rFonts w:hint="eastAsia" w:ascii="Times New Roman" w:hAnsi="Times New Roman" w:eastAsia="方正仿宋_GBK" w:cs="Times New Roman"/>
          <w:b/>
          <w:sz w:val="32"/>
          <w:szCs w:val="32"/>
        </w:rPr>
        <w:t>（一）总体绩效目标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ascii="Times New Roman" w:hAnsi="Times New Roman" w:eastAsia="方正仿宋_GBK" w:cs="Times New Roman"/>
          <w:b/>
          <w:sz w:val="32"/>
          <w:szCs w:val="32"/>
        </w:rPr>
        <w:instrText xml:space="preserve">" \f A \l 0001</w:instrText>
      </w:r>
      <w:r>
        <w:rPr>
          <w:rFonts w:ascii="Times New Roman" w:hAnsi="Times New Roman" w:eastAsia="方正仿宋_GBK" w:cs="Times New Roman"/>
          <w:b/>
          <w:sz w:val="32"/>
          <w:szCs w:val="32"/>
        </w:rPr>
        <w:fldChar w:fldCharType="end"/>
      </w:r>
    </w:p>
    <w:p>
      <w:pPr>
        <w:keepNext w:val="0"/>
        <w:keepLines w:val="0"/>
        <w:pageBreakBefore w:val="0"/>
        <w:widowControl w:val="0"/>
        <w:kinsoku/>
        <w:wordWrap/>
        <w:overflowPunct/>
        <w:topLinePunct w:val="0"/>
        <w:bidi w:val="0"/>
        <w:snapToGrid/>
        <w:spacing w:before="0" w:beforeLines="0" w:after="0" w:afterLines="0" w:line="580" w:lineRule="atLeast"/>
        <w:ind w:right="0" w:rightChars="0"/>
        <w:jc w:val="both"/>
        <w:textAlignment w:val="auto"/>
        <w:outlineLvl w:val="9"/>
        <w:rPr>
          <w:rFonts w:hint="eastAsia" w:ascii="仿宋" w:hAnsi="仿宋" w:eastAsia="仿宋" w:cs="仿宋"/>
          <w:sz w:val="32"/>
          <w:szCs w:val="32"/>
          <w:lang w:eastAsia="zh-CN"/>
        </w:rPr>
      </w:pPr>
      <w:bookmarkStart w:id="2" w:name="_Toc480377512"/>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以深入贯彻落实党的十九大精神为指导，推进“民生水利、生态水利、活力水利、安全水利、法治水利、廉政水利”建设，</w:t>
      </w:r>
      <w:r>
        <w:rPr>
          <w:rFonts w:hint="eastAsia" w:ascii="仿宋" w:hAnsi="仿宋" w:eastAsia="仿宋" w:cs="仿宋"/>
          <w:sz w:val="32"/>
          <w:szCs w:val="32"/>
        </w:rPr>
        <w:t>执行上级关于水利工作的方针、政策及法规，</w:t>
      </w:r>
      <w:r>
        <w:rPr>
          <w:rFonts w:hint="eastAsia" w:ascii="仿宋" w:hAnsi="仿宋" w:eastAsia="仿宋" w:cs="仿宋"/>
          <w:sz w:val="32"/>
          <w:szCs w:val="32"/>
          <w:lang w:eastAsia="zh-CN"/>
        </w:rPr>
        <w:t>落实省、市、县及局党组下达的工作任务为重点，</w:t>
      </w:r>
      <w:r>
        <w:rPr>
          <w:rFonts w:hint="eastAsia" w:ascii="仿宋" w:hAnsi="仿宋" w:eastAsia="仿宋" w:cs="仿宋"/>
          <w:sz w:val="32"/>
          <w:szCs w:val="32"/>
        </w:rPr>
        <w:t>研究拟定我县水利发展的中长期规划和年度计划，并组织实施</w:t>
      </w:r>
      <w:r>
        <w:rPr>
          <w:rFonts w:hint="eastAsia" w:ascii="仿宋" w:hAnsi="仿宋" w:eastAsia="仿宋" w:cs="仿宋"/>
          <w:sz w:val="32"/>
          <w:szCs w:val="32"/>
          <w:lang w:eastAsia="zh-CN"/>
        </w:rPr>
        <w:t>。深入推进绩效管理，增强绩效意识，改进管理方式，强化激励机制，提升工作实效，为水利事业又快又好发展，为正定县经济建设和百姓安居生活提供有力保障。</w:t>
      </w:r>
    </w:p>
    <w:p>
      <w:pPr>
        <w:keepNext w:val="0"/>
        <w:keepLines w:val="0"/>
        <w:pageBreakBefore w:val="0"/>
        <w:widowControl w:val="0"/>
        <w:kinsoku/>
        <w:wordWrap/>
        <w:overflowPunct/>
        <w:topLinePunct w:val="0"/>
        <w:bidi w:val="0"/>
        <w:snapToGrid/>
        <w:spacing w:before="0" w:beforeLines="0" w:after="0" w:afterLines="0" w:line="580" w:lineRule="atLeast"/>
        <w:ind w:left="0" w:leftChars="0" w:right="0" w:rightChars="0" w:firstLine="560"/>
        <w:jc w:val="both"/>
        <w:textAlignment w:val="auto"/>
        <w:outlineLvl w:val="9"/>
        <w:rPr>
          <w:rFonts w:hint="eastAsia" w:ascii="仿宋" w:hAnsi="仿宋" w:eastAsia="仿宋" w:cs="仿宋"/>
          <w:sz w:val="32"/>
          <w:szCs w:val="32"/>
        </w:rPr>
      </w:pPr>
      <w:r>
        <w:rPr>
          <w:rFonts w:hint="eastAsia" w:ascii="Times New Roman" w:hAnsi="Times New Roman" w:eastAsia="方正仿宋_GBK" w:cs="Times New Roman"/>
          <w:b/>
          <w:sz w:val="32"/>
          <w:szCs w:val="32"/>
        </w:rPr>
        <w:t>（二）分项绩效目标</w:t>
      </w:r>
    </w:p>
    <w:p>
      <w:pPr>
        <w:keepNext w:val="0"/>
        <w:keepLines w:val="0"/>
        <w:pageBreakBefore w:val="0"/>
        <w:widowControl w:val="0"/>
        <w:kinsoku/>
        <w:wordWrap/>
        <w:overflowPunct/>
        <w:topLinePunct w:val="0"/>
        <w:bidi w:val="0"/>
        <w:snapToGrid/>
        <w:spacing w:before="0" w:beforeLines="0" w:after="0" w:afterLines="0" w:line="580" w:lineRule="atLeast"/>
        <w:ind w:right="0" w:rightChars="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 xml:space="preserve">    1</w:t>
      </w:r>
      <w:r>
        <w:rPr>
          <w:rFonts w:hint="eastAsia" w:ascii="仿宋" w:hAnsi="仿宋" w:eastAsia="仿宋" w:cs="仿宋"/>
          <w:sz w:val="32"/>
          <w:szCs w:val="32"/>
        </w:rPr>
        <w:t>、</w:t>
      </w:r>
      <w:r>
        <w:rPr>
          <w:rFonts w:hint="eastAsia" w:ascii="仿宋" w:hAnsi="仿宋" w:eastAsia="仿宋" w:cs="仿宋"/>
          <w:sz w:val="32"/>
          <w:szCs w:val="32"/>
          <w:lang w:eastAsia="zh-CN"/>
        </w:rPr>
        <w:t>管理</w:t>
      </w:r>
      <w:r>
        <w:rPr>
          <w:rFonts w:hint="eastAsia" w:ascii="仿宋" w:hAnsi="仿宋" w:eastAsia="仿宋" w:cs="仿宋"/>
          <w:sz w:val="32"/>
          <w:szCs w:val="32"/>
        </w:rPr>
        <w:t>全县水资源(含外调水、地表水、地下水),做好南水北调受水区自备井关停工作。</w:t>
      </w:r>
    </w:p>
    <w:p>
      <w:pPr>
        <w:keepNext w:val="0"/>
        <w:keepLines w:val="0"/>
        <w:pageBreakBefore w:val="0"/>
        <w:widowControl w:val="0"/>
        <w:kinsoku/>
        <w:wordWrap/>
        <w:overflowPunct/>
        <w:topLinePunct w:val="0"/>
        <w:bidi w:val="0"/>
        <w:snapToGrid/>
        <w:spacing w:before="0" w:beforeLines="0" w:after="0" w:afterLines="0" w:line="580" w:lineRule="atLeas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管理</w:t>
      </w:r>
      <w:r>
        <w:rPr>
          <w:rFonts w:hint="eastAsia" w:ascii="仿宋" w:hAnsi="仿宋" w:eastAsia="仿宋" w:cs="仿宋"/>
          <w:sz w:val="32"/>
          <w:szCs w:val="32"/>
        </w:rPr>
        <w:t>全县合理用水、节约用水工作。加强水政监察和水行政执法，负责水资源保护的监督管理。</w:t>
      </w:r>
      <w:r>
        <w:rPr>
          <w:rFonts w:hint="eastAsia" w:ascii="仿宋" w:hAnsi="仿宋" w:eastAsia="仿宋" w:cs="仿宋"/>
          <w:sz w:val="32"/>
          <w:szCs w:val="32"/>
          <w:lang w:val="en-US" w:eastAsia="zh-CN"/>
        </w:rPr>
        <w:t>3</w:t>
      </w:r>
      <w:r>
        <w:rPr>
          <w:rFonts w:hint="eastAsia" w:ascii="仿宋" w:hAnsi="仿宋" w:eastAsia="仿宋" w:cs="仿宋"/>
          <w:sz w:val="32"/>
          <w:szCs w:val="32"/>
        </w:rPr>
        <w:t>、承担全县抗旱、农业用水的调度、管理工作；组织协调农田水利基本建设、城乡供水、新技术的推广应用和农村水利社会化服务体管理全县水务工作。</w:t>
      </w:r>
    </w:p>
    <w:p>
      <w:pPr>
        <w:keepNext w:val="0"/>
        <w:keepLines w:val="0"/>
        <w:pageBreakBefore w:val="0"/>
        <w:widowControl w:val="0"/>
        <w:kinsoku/>
        <w:wordWrap/>
        <w:overflowPunct/>
        <w:topLinePunct w:val="0"/>
        <w:bidi w:val="0"/>
        <w:snapToGrid/>
        <w:spacing w:before="0" w:beforeLines="0" w:after="0" w:afterLines="0" w:line="580" w:lineRule="atLeas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eastAsia="zh-CN"/>
        </w:rPr>
        <w:t>管理</w:t>
      </w:r>
      <w:r>
        <w:rPr>
          <w:rFonts w:hint="eastAsia" w:ascii="仿宋" w:hAnsi="仿宋" w:eastAsia="仿宋" w:cs="仿宋"/>
          <w:sz w:val="32"/>
          <w:szCs w:val="32"/>
        </w:rPr>
        <w:t>全县水土保持工作。</w:t>
      </w: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atLeas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w:t>
      </w:r>
      <w:r>
        <w:rPr>
          <w:rFonts w:hint="eastAsia" w:ascii="仿宋" w:hAnsi="仿宋" w:eastAsia="仿宋" w:cs="仿宋"/>
          <w:sz w:val="32"/>
          <w:szCs w:val="32"/>
          <w:lang w:eastAsia="zh-CN"/>
        </w:rPr>
        <w:t>管理</w:t>
      </w:r>
      <w:r>
        <w:rPr>
          <w:rFonts w:hint="eastAsia" w:ascii="仿宋" w:hAnsi="仿宋" w:eastAsia="仿宋" w:cs="仿宋"/>
          <w:sz w:val="32"/>
          <w:szCs w:val="32"/>
        </w:rPr>
        <w:t>全县防汛、河道堤防维修加固、排水沟整修管理、滹沱河开发利用和河道水利工程的建设</w:t>
      </w:r>
      <w:bookmarkEnd w:id="2"/>
      <w:r>
        <w:rPr>
          <w:rFonts w:hint="eastAsia" w:ascii="仿宋" w:hAnsi="仿宋" w:eastAsia="仿宋" w:cs="仿宋"/>
          <w:sz w:val="32"/>
          <w:szCs w:val="32"/>
        </w:rPr>
        <w:t xml:space="preserve">及开发利用。  </w:t>
      </w:r>
    </w:p>
    <w:p>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val="en-US" w:eastAsia="zh-CN"/>
        </w:rPr>
        <w:t xml:space="preserve">   </w:t>
      </w:r>
      <w:r>
        <w:rPr>
          <w:rFonts w:hint="eastAsia" w:ascii="Times New Roman" w:hAnsi="Times New Roman" w:eastAsia="方正仿宋_GBK" w:cs="Times New Roman"/>
          <w:b/>
          <w:sz w:val="32"/>
          <w:szCs w:val="32"/>
        </w:rPr>
        <w:t>（三）工作保障措施</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r>
        <w:rPr>
          <w:rFonts w:hint="eastAsia" w:ascii="Times New Roman" w:hAnsi="Times New Roman" w:eastAsia="方正仿宋_GBK" w:cs="Times New Roman"/>
          <w:b/>
          <w:sz w:val="32"/>
          <w:szCs w:val="32"/>
        </w:rPr>
        <w:instrText xml:space="preserve">工作保障措施</w:instrText>
      </w:r>
      <w:r>
        <w:rPr>
          <w:rFonts w:ascii="Times New Roman" w:hAnsi="Times New Roman" w:eastAsia="方正仿宋_GBK" w:cs="Times New Roman"/>
          <w:b/>
          <w:sz w:val="32"/>
          <w:szCs w:val="32"/>
        </w:rPr>
        <w:instrText xml:space="preserve">" \f A \l 0001</w:instrText>
      </w:r>
      <w:r>
        <w:rPr>
          <w:rFonts w:ascii="Times New Roman" w:hAnsi="Times New Roman" w:eastAsia="方正仿宋_GBK" w:cs="Times New Roman"/>
          <w:b/>
          <w:sz w:val="32"/>
          <w:szCs w:val="32"/>
        </w:rPr>
        <w:fldChar w:fldCharType="end"/>
      </w:r>
    </w:p>
    <w:p>
      <w:pPr>
        <w:autoSpaceDE w:val="0"/>
        <w:autoSpaceDN w:val="0"/>
        <w:adjustRightInd w:val="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预算项目绩效目标</w:t>
      </w:r>
    </w:p>
    <w:p>
      <w:pPr>
        <w:jc w:val="left"/>
        <w:outlineLvl w:val="1"/>
        <w:rPr>
          <w:rFonts w:ascii="Times New Roman" w:hAnsi="宋体"/>
          <w:b/>
          <w:sz w:val="28"/>
        </w:rPr>
      </w:pPr>
      <w:r>
        <w:rPr>
          <w:rFonts w:ascii="方正仿宋_GBK" w:eastAsia="方正仿宋_GBK"/>
          <w:b/>
          <w:sz w:val="28"/>
        </w:rPr>
        <w:t xml:space="preserve">  1</w:t>
      </w:r>
      <w:r>
        <w:rPr>
          <w:rFonts w:hint="eastAsia" w:ascii="方正仿宋_GBK" w:eastAsia="方正仿宋_GBK"/>
          <w:b/>
          <w:sz w:val="28"/>
        </w:rPr>
        <w:t>、第三方评价工作经费绩效目标表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3" w:name="_Toc29484634"/>
      <w:r>
        <w:rPr>
          <w:rFonts w:ascii="方正仿宋_GBK" w:eastAsia="方正仿宋_GBK"/>
          <w:b/>
          <w:sz w:val="28"/>
        </w:rPr>
        <w:instrText xml:space="preserve">3</w:instrText>
      </w:r>
      <w:r>
        <w:rPr>
          <w:rFonts w:hint="eastAsia" w:ascii="方正仿宋_GBK" w:eastAsia="方正仿宋_GBK"/>
          <w:b/>
          <w:sz w:val="28"/>
        </w:rPr>
        <w:instrText xml:space="preserve">、第三方评价工作经费绩效目标表</w:instrText>
      </w:r>
      <w:bookmarkEnd w:id="3"/>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、完成对</w:t>
            </w:r>
            <w:r>
              <w:rPr>
                <w:rFonts w:ascii="方正书宋_GBK" w:eastAsia="方正书宋_GBK"/>
              </w:rPr>
              <w:t>2020</w:t>
            </w:r>
            <w:r>
              <w:rPr>
                <w:rFonts w:hint="eastAsia" w:ascii="方正书宋_GBK" w:eastAsia="方正书宋_GBK"/>
              </w:rPr>
              <w:t>年选定的两项财政专项资金的第三方绩效评估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、提升资金使用效益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财政专项资金数量</w:t>
            </w:r>
          </w:p>
        </w:tc>
        <w:tc>
          <w:tcPr>
            <w:tcW w:w="289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年开展第三方绩效评估的财政专项资金数量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2020</w:t>
            </w:r>
            <w:r>
              <w:rPr>
                <w:rFonts w:hint="eastAsia" w:ascii="方正书宋_GBK" w:eastAsia="方正书宋_GBK"/>
              </w:rPr>
              <w:t>年选定的两项财政专项资金第三方绩效评估工作的完成情况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工作完成时间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资金绩效</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通过第三方绩效评估，发现被评估的财政专项资金存在的问题，提高资金使用绩效</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资金使用绩效提高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eastAsia="zh-CN"/>
              </w:rPr>
              <w:t>群众</w:t>
            </w:r>
            <w:r>
              <w:rPr>
                <w:rFonts w:hint="eastAsia" w:ascii="方正书宋_GBK" w:eastAsia="方正书宋_GBK"/>
              </w:rPr>
              <w:t>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lang w:eastAsia="zh-CN"/>
              </w:rPr>
              <w:t>受益群众</w:t>
            </w:r>
            <w:r>
              <w:rPr>
                <w:rFonts w:hint="eastAsia" w:ascii="方正书宋_GBK" w:eastAsia="方正书宋_GBK"/>
              </w:rPr>
              <w:t>对项财政专项资金的第三方绩效评估工作的满意度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numPr>
          <w:ilvl w:val="0"/>
          <w:numId w:val="0"/>
        </w:numPr>
        <w:jc w:val="left"/>
        <w:outlineLvl w:val="1"/>
        <w:rPr>
          <w:rFonts w:ascii="Times New Roman" w:hAnsi="宋体"/>
          <w:b/>
          <w:sz w:val="28"/>
        </w:rPr>
      </w:pPr>
    </w:p>
    <w:p>
      <w:pPr>
        <w:numPr>
          <w:ilvl w:val="0"/>
          <w:numId w:val="0"/>
        </w:numPr>
        <w:jc w:val="left"/>
        <w:outlineLvl w:val="1"/>
        <w:rPr>
          <w:rFonts w:ascii="Times New Roman" w:hAnsi="宋体"/>
          <w:b/>
          <w:sz w:val="28"/>
        </w:rPr>
      </w:pPr>
      <w:r>
        <w:rPr>
          <w:rFonts w:hint="eastAsia" w:ascii="方正仿宋_GBK" w:eastAsia="方正仿宋_GBK"/>
          <w:b/>
          <w:sz w:val="28"/>
          <w:lang w:val="en-US" w:eastAsia="zh-CN"/>
        </w:rPr>
        <w:t>2、</w:t>
      </w:r>
      <w:r>
        <w:rPr>
          <w:rFonts w:hint="eastAsia" w:ascii="方正仿宋_GBK" w:eastAsia="方正仿宋_GBK"/>
          <w:b/>
          <w:sz w:val="28"/>
          <w:lang w:eastAsia="zh-CN"/>
        </w:rPr>
        <w:t>地下水超采综合治理项目县级配套资金绩效目标表</w:t>
      </w:r>
    </w:p>
    <w:tbl>
      <w:tblPr>
        <w:tblStyle w:val="7"/>
        <w:tblpPr w:leftFromText="180" w:rightFromText="180" w:vertAnchor="text" w:horzAnchor="page" w:tblpX="2665" w:tblpY="389"/>
        <w:tblOverlap w:val="never"/>
        <w:tblW w:w="87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
      <w:tblGrid>
        <w:gridCol w:w="330"/>
        <w:gridCol w:w="1443"/>
        <w:gridCol w:w="1099"/>
        <w:gridCol w:w="1603"/>
        <w:gridCol w:w="458"/>
        <w:gridCol w:w="584"/>
        <w:gridCol w:w="1695"/>
        <w:gridCol w:w="15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339" w:hRule="atLeast"/>
        </w:trPr>
        <w:tc>
          <w:tcPr>
            <w:tcW w:w="330"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44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6986" w:type="dxa"/>
            <w:gridSpan w:val="6"/>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地表水置换地下水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39" w:hRule="atLeast"/>
        </w:trPr>
        <w:tc>
          <w:tcPr>
            <w:tcW w:w="330" w:type="dxa"/>
            <w:vMerge w:val="continue"/>
            <w:shd w:val="clear" w:color="auto" w:fill="auto"/>
            <w:vAlign w:val="center"/>
          </w:tcPr>
          <w:p>
            <w:pPr>
              <w:jc w:val="center"/>
              <w:rPr>
                <w:rFonts w:hint="eastAsia" w:ascii="宋体" w:hAnsi="宋体" w:eastAsia="宋体" w:cs="宋体"/>
                <w:b/>
                <w:i w:val="0"/>
                <w:color w:val="000000"/>
                <w:sz w:val="18"/>
                <w:szCs w:val="18"/>
                <w:u w:val="none"/>
              </w:rPr>
            </w:pPr>
          </w:p>
        </w:tc>
        <w:tc>
          <w:tcPr>
            <w:tcW w:w="144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6986" w:type="dxa"/>
            <w:gridSpan w:val="6"/>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压缩地下水开采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1" w:hRule="atLeast"/>
        </w:trPr>
        <w:tc>
          <w:tcPr>
            <w:tcW w:w="330"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443"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99"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603"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737" w:type="dxa"/>
            <w:gridSpan w:val="3"/>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547"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1" w:hRule="atLeast"/>
        </w:trPr>
        <w:tc>
          <w:tcPr>
            <w:tcW w:w="330" w:type="dxa"/>
            <w:vMerge w:val="continue"/>
            <w:shd w:val="clear" w:color="auto" w:fill="auto"/>
            <w:vAlign w:val="center"/>
          </w:tcPr>
          <w:p>
            <w:pPr>
              <w:jc w:val="center"/>
              <w:rPr>
                <w:rFonts w:hint="eastAsia" w:ascii="宋体" w:hAnsi="宋体" w:eastAsia="宋体" w:cs="宋体"/>
                <w:b/>
                <w:i w:val="0"/>
                <w:color w:val="000000"/>
                <w:sz w:val="18"/>
                <w:szCs w:val="18"/>
                <w:u w:val="none"/>
              </w:rPr>
            </w:pPr>
          </w:p>
        </w:tc>
        <w:tc>
          <w:tcPr>
            <w:tcW w:w="1443" w:type="dxa"/>
            <w:vMerge w:val="continue"/>
            <w:shd w:val="clear" w:color="auto" w:fill="auto"/>
            <w:vAlign w:val="center"/>
          </w:tcPr>
          <w:p>
            <w:pPr>
              <w:jc w:val="center"/>
              <w:rPr>
                <w:rFonts w:hint="eastAsia" w:ascii="宋体" w:hAnsi="宋体" w:eastAsia="宋体" w:cs="宋体"/>
                <w:b/>
                <w:i w:val="0"/>
                <w:color w:val="000000"/>
                <w:sz w:val="18"/>
                <w:szCs w:val="18"/>
                <w:u w:val="none"/>
              </w:rPr>
            </w:pPr>
          </w:p>
        </w:tc>
        <w:tc>
          <w:tcPr>
            <w:tcW w:w="1099" w:type="dxa"/>
            <w:vMerge w:val="continue"/>
            <w:shd w:val="clear" w:color="auto" w:fill="auto"/>
            <w:vAlign w:val="center"/>
          </w:tcPr>
          <w:p>
            <w:pPr>
              <w:jc w:val="center"/>
              <w:rPr>
                <w:rFonts w:hint="eastAsia" w:ascii="宋体" w:hAnsi="宋体" w:eastAsia="宋体" w:cs="宋体"/>
                <w:b/>
                <w:i w:val="0"/>
                <w:color w:val="000000"/>
                <w:sz w:val="18"/>
                <w:szCs w:val="18"/>
                <w:u w:val="none"/>
              </w:rPr>
            </w:pPr>
          </w:p>
        </w:tc>
        <w:tc>
          <w:tcPr>
            <w:tcW w:w="1603" w:type="dxa"/>
            <w:vMerge w:val="continue"/>
            <w:shd w:val="clear" w:color="auto" w:fill="auto"/>
            <w:vAlign w:val="center"/>
          </w:tcPr>
          <w:p>
            <w:pPr>
              <w:jc w:val="center"/>
              <w:rPr>
                <w:rFonts w:hint="eastAsia" w:ascii="宋体" w:hAnsi="宋体" w:eastAsia="宋体" w:cs="宋体"/>
                <w:b/>
                <w:i w:val="0"/>
                <w:color w:val="000000"/>
                <w:sz w:val="18"/>
                <w:szCs w:val="18"/>
                <w:u w:val="none"/>
              </w:rPr>
            </w:pPr>
          </w:p>
        </w:tc>
        <w:tc>
          <w:tcPr>
            <w:tcW w:w="458" w:type="dxa"/>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84" w:type="dxa"/>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695" w:type="dxa"/>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547" w:type="dxa"/>
            <w:vMerge w:val="continue"/>
            <w:shd w:val="clear" w:color="auto" w:fill="auto"/>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1" w:hRule="atLeast"/>
        </w:trPr>
        <w:tc>
          <w:tcPr>
            <w:tcW w:w="330"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4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09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完成率</w:t>
            </w:r>
          </w:p>
        </w:tc>
        <w:tc>
          <w:tcPr>
            <w:tcW w:w="160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当年按时完成工程</w:t>
            </w:r>
          </w:p>
        </w:tc>
        <w:tc>
          <w:tcPr>
            <w:tcW w:w="458"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84"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695"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547"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历年经验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1" w:hRule="atLeast"/>
        </w:trPr>
        <w:tc>
          <w:tcPr>
            <w:tcW w:w="330" w:type="dxa"/>
            <w:vMerge w:val="continue"/>
            <w:shd w:val="clear" w:color="auto" w:fill="auto"/>
            <w:vAlign w:val="center"/>
          </w:tcPr>
          <w:p>
            <w:pPr>
              <w:jc w:val="center"/>
              <w:rPr>
                <w:rFonts w:hint="eastAsia" w:ascii="宋体" w:hAnsi="宋体" w:eastAsia="宋体" w:cs="宋体"/>
                <w:b/>
                <w:i w:val="0"/>
                <w:color w:val="000000"/>
                <w:sz w:val="18"/>
                <w:szCs w:val="18"/>
                <w:u w:val="none"/>
              </w:rPr>
            </w:pPr>
          </w:p>
        </w:tc>
        <w:tc>
          <w:tcPr>
            <w:tcW w:w="1443" w:type="dxa"/>
            <w:shd w:val="clear" w:color="auto" w:fill="auto"/>
            <w:vAlign w:val="center"/>
          </w:tcPr>
          <w:p>
            <w:pPr>
              <w:rPr>
                <w:rFonts w:hint="eastAsia" w:ascii="宋体" w:hAnsi="宋体" w:eastAsia="宋体" w:cs="宋体"/>
                <w:i w:val="0"/>
                <w:color w:val="000000"/>
                <w:sz w:val="18"/>
                <w:szCs w:val="18"/>
                <w:u w:val="none"/>
              </w:rPr>
            </w:pPr>
          </w:p>
        </w:tc>
        <w:tc>
          <w:tcPr>
            <w:tcW w:w="1099" w:type="dxa"/>
            <w:shd w:val="clear" w:color="auto" w:fill="auto"/>
            <w:vAlign w:val="center"/>
          </w:tcPr>
          <w:p>
            <w:pPr>
              <w:rPr>
                <w:rFonts w:hint="eastAsia" w:ascii="宋体" w:hAnsi="宋体" w:eastAsia="宋体" w:cs="宋体"/>
                <w:i w:val="0"/>
                <w:color w:val="000000"/>
                <w:sz w:val="18"/>
                <w:szCs w:val="18"/>
                <w:u w:val="none"/>
              </w:rPr>
            </w:pPr>
          </w:p>
        </w:tc>
        <w:tc>
          <w:tcPr>
            <w:tcW w:w="1603" w:type="dxa"/>
            <w:shd w:val="clear" w:color="auto" w:fill="auto"/>
            <w:vAlign w:val="center"/>
          </w:tcPr>
          <w:p>
            <w:pPr>
              <w:rPr>
                <w:rFonts w:hint="eastAsia" w:ascii="宋体" w:hAnsi="宋体" w:eastAsia="宋体" w:cs="宋体"/>
                <w:i w:val="0"/>
                <w:color w:val="000000"/>
                <w:sz w:val="18"/>
                <w:szCs w:val="18"/>
                <w:u w:val="none"/>
              </w:rPr>
            </w:pPr>
          </w:p>
        </w:tc>
        <w:tc>
          <w:tcPr>
            <w:tcW w:w="458" w:type="dxa"/>
            <w:shd w:val="clear" w:color="auto" w:fill="auto"/>
            <w:vAlign w:val="center"/>
          </w:tcPr>
          <w:p>
            <w:pPr>
              <w:rPr>
                <w:rFonts w:hint="eastAsia" w:ascii="宋体" w:hAnsi="宋体" w:eastAsia="宋体" w:cs="宋体"/>
                <w:i w:val="0"/>
                <w:color w:val="000000"/>
                <w:sz w:val="18"/>
                <w:szCs w:val="18"/>
                <w:u w:val="none"/>
              </w:rPr>
            </w:pPr>
          </w:p>
        </w:tc>
        <w:tc>
          <w:tcPr>
            <w:tcW w:w="584" w:type="dxa"/>
            <w:shd w:val="clear" w:color="auto" w:fill="auto"/>
            <w:vAlign w:val="center"/>
          </w:tcPr>
          <w:p>
            <w:pPr>
              <w:jc w:val="right"/>
              <w:rPr>
                <w:rFonts w:hint="eastAsia" w:ascii="宋体" w:hAnsi="宋体" w:eastAsia="宋体" w:cs="宋体"/>
                <w:i w:val="0"/>
                <w:color w:val="000000"/>
                <w:sz w:val="18"/>
                <w:szCs w:val="18"/>
                <w:u w:val="none"/>
              </w:rPr>
            </w:pPr>
          </w:p>
        </w:tc>
        <w:tc>
          <w:tcPr>
            <w:tcW w:w="1695" w:type="dxa"/>
            <w:shd w:val="clear" w:color="auto" w:fill="auto"/>
            <w:vAlign w:val="center"/>
          </w:tcPr>
          <w:p>
            <w:pPr>
              <w:rPr>
                <w:rFonts w:hint="eastAsia" w:ascii="宋体" w:hAnsi="宋体" w:eastAsia="宋体" w:cs="宋体"/>
                <w:i w:val="0"/>
                <w:color w:val="000000"/>
                <w:sz w:val="18"/>
                <w:szCs w:val="18"/>
                <w:u w:val="none"/>
              </w:rPr>
            </w:pPr>
          </w:p>
        </w:tc>
        <w:tc>
          <w:tcPr>
            <w:tcW w:w="1547" w:type="dxa"/>
            <w:shd w:val="clear" w:color="auto" w:fill="auto"/>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391" w:hRule="atLeast"/>
        </w:trPr>
        <w:tc>
          <w:tcPr>
            <w:tcW w:w="330" w:type="dxa"/>
            <w:vMerge w:val="continue"/>
            <w:shd w:val="clear" w:color="auto" w:fill="auto"/>
            <w:vAlign w:val="center"/>
          </w:tcPr>
          <w:p>
            <w:pPr>
              <w:jc w:val="center"/>
              <w:rPr>
                <w:rFonts w:hint="eastAsia" w:ascii="宋体" w:hAnsi="宋体" w:eastAsia="宋体" w:cs="宋体"/>
                <w:b/>
                <w:i w:val="0"/>
                <w:color w:val="000000"/>
                <w:sz w:val="18"/>
                <w:szCs w:val="18"/>
                <w:u w:val="none"/>
              </w:rPr>
            </w:pPr>
          </w:p>
        </w:tc>
        <w:tc>
          <w:tcPr>
            <w:tcW w:w="1443" w:type="dxa"/>
            <w:shd w:val="clear" w:color="auto" w:fill="auto"/>
            <w:vAlign w:val="center"/>
          </w:tcPr>
          <w:p>
            <w:pPr>
              <w:rPr>
                <w:rFonts w:hint="eastAsia" w:ascii="宋体" w:hAnsi="宋体" w:eastAsia="宋体" w:cs="宋体"/>
                <w:i w:val="0"/>
                <w:color w:val="000000"/>
                <w:sz w:val="18"/>
                <w:szCs w:val="18"/>
                <w:u w:val="none"/>
              </w:rPr>
            </w:pPr>
          </w:p>
        </w:tc>
        <w:tc>
          <w:tcPr>
            <w:tcW w:w="1099" w:type="dxa"/>
            <w:shd w:val="clear" w:color="auto" w:fill="auto"/>
            <w:vAlign w:val="center"/>
          </w:tcPr>
          <w:p>
            <w:pPr>
              <w:rPr>
                <w:rFonts w:hint="eastAsia" w:ascii="宋体" w:hAnsi="宋体" w:eastAsia="宋体" w:cs="宋体"/>
                <w:i w:val="0"/>
                <w:color w:val="000000"/>
                <w:sz w:val="18"/>
                <w:szCs w:val="18"/>
                <w:u w:val="none"/>
              </w:rPr>
            </w:pPr>
          </w:p>
        </w:tc>
        <w:tc>
          <w:tcPr>
            <w:tcW w:w="1603" w:type="dxa"/>
            <w:shd w:val="clear" w:color="auto" w:fill="auto"/>
            <w:vAlign w:val="center"/>
          </w:tcPr>
          <w:p>
            <w:pPr>
              <w:rPr>
                <w:rFonts w:hint="eastAsia" w:ascii="宋体" w:hAnsi="宋体" w:eastAsia="宋体" w:cs="宋体"/>
                <w:i w:val="0"/>
                <w:color w:val="000000"/>
                <w:sz w:val="18"/>
                <w:szCs w:val="18"/>
                <w:u w:val="none"/>
              </w:rPr>
            </w:pPr>
          </w:p>
        </w:tc>
        <w:tc>
          <w:tcPr>
            <w:tcW w:w="458" w:type="dxa"/>
            <w:shd w:val="clear" w:color="auto" w:fill="auto"/>
            <w:vAlign w:val="center"/>
          </w:tcPr>
          <w:p>
            <w:pPr>
              <w:rPr>
                <w:rFonts w:hint="eastAsia" w:ascii="宋体" w:hAnsi="宋体" w:eastAsia="宋体" w:cs="宋体"/>
                <w:i w:val="0"/>
                <w:color w:val="000000"/>
                <w:sz w:val="18"/>
                <w:szCs w:val="18"/>
                <w:u w:val="none"/>
              </w:rPr>
            </w:pPr>
          </w:p>
        </w:tc>
        <w:tc>
          <w:tcPr>
            <w:tcW w:w="584" w:type="dxa"/>
            <w:shd w:val="clear" w:color="auto" w:fill="auto"/>
            <w:vAlign w:val="center"/>
          </w:tcPr>
          <w:p>
            <w:pPr>
              <w:jc w:val="right"/>
              <w:rPr>
                <w:rFonts w:hint="eastAsia" w:ascii="宋体" w:hAnsi="宋体" w:eastAsia="宋体" w:cs="宋体"/>
                <w:i w:val="0"/>
                <w:color w:val="000000"/>
                <w:sz w:val="18"/>
                <w:szCs w:val="18"/>
                <w:u w:val="none"/>
              </w:rPr>
            </w:pPr>
          </w:p>
        </w:tc>
        <w:tc>
          <w:tcPr>
            <w:tcW w:w="1695" w:type="dxa"/>
            <w:shd w:val="clear" w:color="auto" w:fill="auto"/>
            <w:vAlign w:val="center"/>
          </w:tcPr>
          <w:p>
            <w:pPr>
              <w:rPr>
                <w:rFonts w:hint="eastAsia" w:ascii="宋体" w:hAnsi="宋体" w:eastAsia="宋体" w:cs="宋体"/>
                <w:i w:val="0"/>
                <w:color w:val="000000"/>
                <w:sz w:val="18"/>
                <w:szCs w:val="18"/>
                <w:u w:val="none"/>
              </w:rPr>
            </w:pPr>
          </w:p>
        </w:tc>
        <w:tc>
          <w:tcPr>
            <w:tcW w:w="1547" w:type="dxa"/>
            <w:shd w:val="clear" w:color="auto" w:fill="auto"/>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1" w:hRule="atLeast"/>
        </w:trPr>
        <w:tc>
          <w:tcPr>
            <w:tcW w:w="330"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4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09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压缩地下水开采</w:t>
            </w:r>
          </w:p>
        </w:tc>
        <w:tc>
          <w:tcPr>
            <w:tcW w:w="160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完成农村灌溉水源置换</w:t>
            </w:r>
          </w:p>
        </w:tc>
        <w:tc>
          <w:tcPr>
            <w:tcW w:w="458"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84"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695"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547"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历年经验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1" w:hRule="atLeast"/>
        </w:trPr>
        <w:tc>
          <w:tcPr>
            <w:tcW w:w="330" w:type="dxa"/>
            <w:vMerge w:val="continue"/>
            <w:shd w:val="clear" w:color="auto" w:fill="auto"/>
            <w:vAlign w:val="center"/>
          </w:tcPr>
          <w:p>
            <w:pPr>
              <w:jc w:val="center"/>
              <w:rPr>
                <w:rFonts w:hint="eastAsia" w:ascii="宋体" w:hAnsi="宋体" w:eastAsia="宋体" w:cs="宋体"/>
                <w:b/>
                <w:i w:val="0"/>
                <w:color w:val="000000"/>
                <w:sz w:val="18"/>
                <w:szCs w:val="18"/>
                <w:u w:val="none"/>
              </w:rPr>
            </w:pPr>
          </w:p>
        </w:tc>
        <w:tc>
          <w:tcPr>
            <w:tcW w:w="1443" w:type="dxa"/>
            <w:shd w:val="clear" w:color="auto" w:fill="auto"/>
            <w:vAlign w:val="center"/>
          </w:tcPr>
          <w:p>
            <w:pPr>
              <w:rPr>
                <w:rFonts w:hint="eastAsia" w:ascii="宋体" w:hAnsi="宋体" w:eastAsia="宋体" w:cs="宋体"/>
                <w:i w:val="0"/>
                <w:color w:val="000000"/>
                <w:sz w:val="18"/>
                <w:szCs w:val="18"/>
                <w:u w:val="none"/>
              </w:rPr>
            </w:pPr>
          </w:p>
        </w:tc>
        <w:tc>
          <w:tcPr>
            <w:tcW w:w="1099" w:type="dxa"/>
            <w:shd w:val="clear" w:color="auto" w:fill="auto"/>
            <w:vAlign w:val="center"/>
          </w:tcPr>
          <w:p>
            <w:pPr>
              <w:rPr>
                <w:rFonts w:hint="eastAsia" w:ascii="宋体" w:hAnsi="宋体" w:eastAsia="宋体" w:cs="宋体"/>
                <w:i w:val="0"/>
                <w:color w:val="000000"/>
                <w:sz w:val="18"/>
                <w:szCs w:val="18"/>
                <w:u w:val="none"/>
              </w:rPr>
            </w:pPr>
          </w:p>
        </w:tc>
        <w:tc>
          <w:tcPr>
            <w:tcW w:w="1603" w:type="dxa"/>
            <w:shd w:val="clear" w:color="auto" w:fill="auto"/>
            <w:vAlign w:val="center"/>
          </w:tcPr>
          <w:p>
            <w:pPr>
              <w:rPr>
                <w:rFonts w:hint="eastAsia" w:ascii="宋体" w:hAnsi="宋体" w:eastAsia="宋体" w:cs="宋体"/>
                <w:i w:val="0"/>
                <w:color w:val="000000"/>
                <w:sz w:val="18"/>
                <w:szCs w:val="18"/>
                <w:u w:val="none"/>
              </w:rPr>
            </w:pPr>
          </w:p>
        </w:tc>
        <w:tc>
          <w:tcPr>
            <w:tcW w:w="458" w:type="dxa"/>
            <w:shd w:val="clear" w:color="auto" w:fill="auto"/>
            <w:vAlign w:val="center"/>
          </w:tcPr>
          <w:p>
            <w:pPr>
              <w:rPr>
                <w:rFonts w:hint="eastAsia" w:ascii="宋体" w:hAnsi="宋体" w:eastAsia="宋体" w:cs="宋体"/>
                <w:i w:val="0"/>
                <w:color w:val="000000"/>
                <w:sz w:val="18"/>
                <w:szCs w:val="18"/>
                <w:u w:val="none"/>
              </w:rPr>
            </w:pPr>
          </w:p>
        </w:tc>
        <w:tc>
          <w:tcPr>
            <w:tcW w:w="584" w:type="dxa"/>
            <w:shd w:val="clear" w:color="auto" w:fill="auto"/>
            <w:vAlign w:val="center"/>
          </w:tcPr>
          <w:p>
            <w:pPr>
              <w:jc w:val="right"/>
              <w:rPr>
                <w:rFonts w:hint="eastAsia" w:ascii="宋体" w:hAnsi="宋体" w:eastAsia="宋体" w:cs="宋体"/>
                <w:i w:val="0"/>
                <w:color w:val="000000"/>
                <w:sz w:val="18"/>
                <w:szCs w:val="18"/>
                <w:u w:val="none"/>
              </w:rPr>
            </w:pPr>
          </w:p>
        </w:tc>
        <w:tc>
          <w:tcPr>
            <w:tcW w:w="1695" w:type="dxa"/>
            <w:shd w:val="clear" w:color="auto" w:fill="auto"/>
            <w:vAlign w:val="center"/>
          </w:tcPr>
          <w:p>
            <w:pPr>
              <w:rPr>
                <w:rFonts w:hint="eastAsia" w:ascii="宋体" w:hAnsi="宋体" w:eastAsia="宋体" w:cs="宋体"/>
                <w:i w:val="0"/>
                <w:color w:val="000000"/>
                <w:sz w:val="18"/>
                <w:szCs w:val="18"/>
                <w:u w:val="none"/>
              </w:rPr>
            </w:pPr>
          </w:p>
        </w:tc>
        <w:tc>
          <w:tcPr>
            <w:tcW w:w="1547" w:type="dxa"/>
            <w:shd w:val="clear" w:color="auto" w:fill="auto"/>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1" w:hRule="atLeast"/>
        </w:trPr>
        <w:tc>
          <w:tcPr>
            <w:tcW w:w="330" w:type="dxa"/>
            <w:vMerge w:val="continue"/>
            <w:shd w:val="clear" w:color="auto" w:fill="auto"/>
            <w:vAlign w:val="center"/>
          </w:tcPr>
          <w:p>
            <w:pPr>
              <w:jc w:val="center"/>
              <w:rPr>
                <w:rFonts w:hint="eastAsia" w:ascii="宋体" w:hAnsi="宋体" w:eastAsia="宋体" w:cs="宋体"/>
                <w:b/>
                <w:i w:val="0"/>
                <w:color w:val="000000"/>
                <w:sz w:val="18"/>
                <w:szCs w:val="18"/>
                <w:u w:val="none"/>
              </w:rPr>
            </w:pPr>
          </w:p>
        </w:tc>
        <w:tc>
          <w:tcPr>
            <w:tcW w:w="1443" w:type="dxa"/>
            <w:shd w:val="clear" w:color="auto" w:fill="auto"/>
            <w:vAlign w:val="center"/>
          </w:tcPr>
          <w:p>
            <w:pPr>
              <w:rPr>
                <w:rFonts w:hint="eastAsia" w:ascii="宋体" w:hAnsi="宋体" w:eastAsia="宋体" w:cs="宋体"/>
                <w:i w:val="0"/>
                <w:color w:val="000000"/>
                <w:sz w:val="18"/>
                <w:szCs w:val="18"/>
                <w:u w:val="none"/>
              </w:rPr>
            </w:pPr>
          </w:p>
        </w:tc>
        <w:tc>
          <w:tcPr>
            <w:tcW w:w="1099" w:type="dxa"/>
            <w:shd w:val="clear" w:color="auto" w:fill="auto"/>
            <w:vAlign w:val="center"/>
          </w:tcPr>
          <w:p>
            <w:pPr>
              <w:rPr>
                <w:rFonts w:hint="eastAsia" w:ascii="宋体" w:hAnsi="宋体" w:eastAsia="宋体" w:cs="宋体"/>
                <w:i w:val="0"/>
                <w:color w:val="000000"/>
                <w:sz w:val="18"/>
                <w:szCs w:val="18"/>
                <w:u w:val="none"/>
              </w:rPr>
            </w:pPr>
          </w:p>
        </w:tc>
        <w:tc>
          <w:tcPr>
            <w:tcW w:w="1603" w:type="dxa"/>
            <w:shd w:val="clear" w:color="auto" w:fill="auto"/>
            <w:vAlign w:val="center"/>
          </w:tcPr>
          <w:p>
            <w:pPr>
              <w:rPr>
                <w:rFonts w:hint="eastAsia" w:ascii="宋体" w:hAnsi="宋体" w:eastAsia="宋体" w:cs="宋体"/>
                <w:i w:val="0"/>
                <w:color w:val="000000"/>
                <w:sz w:val="18"/>
                <w:szCs w:val="18"/>
                <w:u w:val="none"/>
              </w:rPr>
            </w:pPr>
          </w:p>
        </w:tc>
        <w:tc>
          <w:tcPr>
            <w:tcW w:w="458" w:type="dxa"/>
            <w:shd w:val="clear" w:color="auto" w:fill="auto"/>
            <w:vAlign w:val="center"/>
          </w:tcPr>
          <w:p>
            <w:pPr>
              <w:rPr>
                <w:rFonts w:hint="eastAsia" w:ascii="宋体" w:hAnsi="宋体" w:eastAsia="宋体" w:cs="宋体"/>
                <w:i w:val="0"/>
                <w:color w:val="000000"/>
                <w:sz w:val="18"/>
                <w:szCs w:val="18"/>
                <w:u w:val="none"/>
              </w:rPr>
            </w:pPr>
          </w:p>
        </w:tc>
        <w:tc>
          <w:tcPr>
            <w:tcW w:w="584" w:type="dxa"/>
            <w:shd w:val="clear" w:color="auto" w:fill="auto"/>
            <w:vAlign w:val="center"/>
          </w:tcPr>
          <w:p>
            <w:pPr>
              <w:jc w:val="right"/>
              <w:rPr>
                <w:rFonts w:hint="eastAsia" w:ascii="宋体" w:hAnsi="宋体" w:eastAsia="宋体" w:cs="宋体"/>
                <w:i w:val="0"/>
                <w:color w:val="000000"/>
                <w:sz w:val="18"/>
                <w:szCs w:val="18"/>
                <w:u w:val="none"/>
              </w:rPr>
            </w:pPr>
          </w:p>
        </w:tc>
        <w:tc>
          <w:tcPr>
            <w:tcW w:w="1695" w:type="dxa"/>
            <w:shd w:val="clear" w:color="auto" w:fill="auto"/>
            <w:vAlign w:val="center"/>
          </w:tcPr>
          <w:p>
            <w:pPr>
              <w:rPr>
                <w:rFonts w:hint="eastAsia" w:ascii="宋体" w:hAnsi="宋体" w:eastAsia="宋体" w:cs="宋体"/>
                <w:i w:val="0"/>
                <w:color w:val="000000"/>
                <w:sz w:val="18"/>
                <w:szCs w:val="18"/>
                <w:u w:val="none"/>
              </w:rPr>
            </w:pPr>
          </w:p>
        </w:tc>
        <w:tc>
          <w:tcPr>
            <w:tcW w:w="1547" w:type="dxa"/>
            <w:shd w:val="clear" w:color="auto" w:fill="auto"/>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1" w:hRule="atLeast"/>
        </w:trPr>
        <w:tc>
          <w:tcPr>
            <w:tcW w:w="330"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44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09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0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群众对工作的满意度</w:t>
            </w:r>
          </w:p>
        </w:tc>
        <w:tc>
          <w:tcPr>
            <w:tcW w:w="458"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84"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695"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547"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历年经验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1" w:hRule="atLeast"/>
        </w:trPr>
        <w:tc>
          <w:tcPr>
            <w:tcW w:w="330" w:type="dxa"/>
            <w:vMerge w:val="continue"/>
            <w:shd w:val="clear" w:color="auto" w:fill="auto"/>
            <w:vAlign w:val="center"/>
          </w:tcPr>
          <w:p>
            <w:pPr>
              <w:jc w:val="center"/>
              <w:rPr>
                <w:rFonts w:hint="eastAsia" w:ascii="宋体" w:hAnsi="宋体" w:eastAsia="宋体" w:cs="宋体"/>
                <w:b/>
                <w:i w:val="0"/>
                <w:color w:val="000000"/>
                <w:sz w:val="18"/>
                <w:szCs w:val="18"/>
                <w:u w:val="none"/>
              </w:rPr>
            </w:pPr>
          </w:p>
        </w:tc>
        <w:tc>
          <w:tcPr>
            <w:tcW w:w="1443" w:type="dxa"/>
            <w:shd w:val="clear" w:color="auto" w:fill="auto"/>
            <w:vAlign w:val="center"/>
          </w:tcPr>
          <w:p>
            <w:pPr>
              <w:rPr>
                <w:rFonts w:hint="eastAsia" w:ascii="宋体" w:hAnsi="宋体" w:eastAsia="宋体" w:cs="宋体"/>
                <w:i w:val="0"/>
                <w:color w:val="000000"/>
                <w:sz w:val="18"/>
                <w:szCs w:val="18"/>
                <w:u w:val="none"/>
              </w:rPr>
            </w:pPr>
          </w:p>
        </w:tc>
        <w:tc>
          <w:tcPr>
            <w:tcW w:w="1099" w:type="dxa"/>
            <w:shd w:val="clear" w:color="auto" w:fill="auto"/>
            <w:vAlign w:val="center"/>
          </w:tcPr>
          <w:p>
            <w:pPr>
              <w:rPr>
                <w:rFonts w:hint="eastAsia" w:ascii="宋体" w:hAnsi="宋体" w:eastAsia="宋体" w:cs="宋体"/>
                <w:i w:val="0"/>
                <w:color w:val="000000"/>
                <w:sz w:val="18"/>
                <w:szCs w:val="18"/>
                <w:u w:val="none"/>
              </w:rPr>
            </w:pPr>
          </w:p>
        </w:tc>
        <w:tc>
          <w:tcPr>
            <w:tcW w:w="1603" w:type="dxa"/>
            <w:shd w:val="clear" w:color="auto" w:fill="auto"/>
            <w:vAlign w:val="center"/>
          </w:tcPr>
          <w:p>
            <w:pPr>
              <w:rPr>
                <w:rFonts w:hint="eastAsia" w:ascii="宋体" w:hAnsi="宋体" w:eastAsia="宋体" w:cs="宋体"/>
                <w:i w:val="0"/>
                <w:color w:val="000000"/>
                <w:sz w:val="18"/>
                <w:szCs w:val="18"/>
                <w:u w:val="none"/>
              </w:rPr>
            </w:pPr>
          </w:p>
        </w:tc>
        <w:tc>
          <w:tcPr>
            <w:tcW w:w="458" w:type="dxa"/>
            <w:shd w:val="clear" w:color="auto" w:fill="auto"/>
            <w:vAlign w:val="center"/>
          </w:tcPr>
          <w:p>
            <w:pPr>
              <w:rPr>
                <w:rFonts w:hint="eastAsia" w:ascii="宋体" w:hAnsi="宋体" w:eastAsia="宋体" w:cs="宋体"/>
                <w:i w:val="0"/>
                <w:color w:val="000000"/>
                <w:sz w:val="18"/>
                <w:szCs w:val="18"/>
                <w:u w:val="none"/>
              </w:rPr>
            </w:pPr>
          </w:p>
        </w:tc>
        <w:tc>
          <w:tcPr>
            <w:tcW w:w="584" w:type="dxa"/>
            <w:shd w:val="clear" w:color="auto" w:fill="auto"/>
            <w:vAlign w:val="center"/>
          </w:tcPr>
          <w:p>
            <w:pPr>
              <w:jc w:val="right"/>
              <w:rPr>
                <w:rFonts w:hint="eastAsia" w:ascii="宋体" w:hAnsi="宋体" w:eastAsia="宋体" w:cs="宋体"/>
                <w:i w:val="0"/>
                <w:color w:val="000000"/>
                <w:sz w:val="18"/>
                <w:szCs w:val="18"/>
                <w:u w:val="none"/>
              </w:rPr>
            </w:pPr>
          </w:p>
        </w:tc>
        <w:tc>
          <w:tcPr>
            <w:tcW w:w="1695" w:type="dxa"/>
            <w:shd w:val="clear" w:color="auto" w:fill="auto"/>
            <w:vAlign w:val="center"/>
          </w:tcPr>
          <w:p>
            <w:pPr>
              <w:rPr>
                <w:rFonts w:hint="eastAsia" w:ascii="宋体" w:hAnsi="宋体" w:eastAsia="宋体" w:cs="宋体"/>
                <w:i w:val="0"/>
                <w:color w:val="000000"/>
                <w:sz w:val="18"/>
                <w:szCs w:val="18"/>
                <w:u w:val="none"/>
              </w:rPr>
            </w:pPr>
          </w:p>
        </w:tc>
        <w:tc>
          <w:tcPr>
            <w:tcW w:w="1547" w:type="dxa"/>
            <w:shd w:val="clear" w:color="auto" w:fill="auto"/>
            <w:vAlign w:val="center"/>
          </w:tcPr>
          <w:p/>
        </w:tc>
      </w:tr>
    </w:tbl>
    <w:p>
      <w:pPr>
        <w:numPr>
          <w:ilvl w:val="0"/>
          <w:numId w:val="0"/>
        </w:numPr>
        <w:jc w:val="left"/>
        <w:outlineLvl w:val="1"/>
        <w:rPr>
          <w:rFonts w:ascii="Times New Roman" w:hAnsi="宋体"/>
          <w:b/>
          <w:sz w:val="28"/>
        </w:rPr>
      </w:pPr>
    </w:p>
    <w:p>
      <w:pPr>
        <w:spacing w:line="300" w:lineRule="exact"/>
        <w:ind w:firstLine="420" w:firstLineChars="200"/>
        <w:jc w:val="left"/>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hint="eastAsia" w:ascii="方正仿宋_GBK" w:eastAsia="方正仿宋_GBK"/>
          <w:b/>
          <w:sz w:val="28"/>
          <w:lang w:val="en-US" w:eastAsia="zh-CN"/>
        </w:rPr>
      </w:pPr>
    </w:p>
    <w:p>
      <w:pPr>
        <w:jc w:val="left"/>
        <w:outlineLvl w:val="1"/>
        <w:rPr>
          <w:rFonts w:hint="eastAsia" w:ascii="方正仿宋_GBK" w:eastAsia="方正仿宋_GBK"/>
          <w:b/>
          <w:sz w:val="28"/>
          <w:lang w:val="en-US" w:eastAsia="zh-CN"/>
        </w:rPr>
      </w:pPr>
    </w:p>
    <w:p>
      <w:pPr>
        <w:jc w:val="left"/>
        <w:outlineLvl w:val="1"/>
        <w:rPr>
          <w:rFonts w:hint="eastAsia" w:ascii="方正仿宋_GBK" w:eastAsia="方正仿宋_GBK"/>
          <w:b/>
          <w:sz w:val="28"/>
          <w:lang w:val="en-US" w:eastAsia="zh-CN"/>
        </w:rPr>
      </w:pPr>
    </w:p>
    <w:p>
      <w:pPr>
        <w:jc w:val="left"/>
        <w:outlineLvl w:val="1"/>
        <w:rPr>
          <w:rFonts w:hint="eastAsia" w:ascii="方正仿宋_GBK" w:eastAsia="方正仿宋_GBK"/>
          <w:b/>
          <w:sz w:val="28"/>
          <w:lang w:val="en-US" w:eastAsia="zh-CN"/>
        </w:rPr>
      </w:pPr>
    </w:p>
    <w:p>
      <w:pPr>
        <w:jc w:val="left"/>
        <w:outlineLvl w:val="1"/>
        <w:rPr>
          <w:rFonts w:hint="eastAsia" w:ascii="方正仿宋_GBK" w:eastAsia="方正仿宋_GBK"/>
          <w:b/>
          <w:sz w:val="28"/>
          <w:lang w:val="en-US" w:eastAsia="zh-CN"/>
        </w:rPr>
      </w:pPr>
    </w:p>
    <w:p>
      <w:pPr>
        <w:jc w:val="left"/>
        <w:outlineLvl w:val="1"/>
        <w:rPr>
          <w:rFonts w:ascii="Times New Roman" w:hAnsi="宋体"/>
          <w:b/>
          <w:sz w:val="28"/>
        </w:rPr>
      </w:pPr>
      <w:r>
        <w:rPr>
          <w:rFonts w:hint="eastAsia" w:ascii="方正仿宋_GBK" w:eastAsia="方正仿宋_GBK"/>
          <w:b/>
          <w:sz w:val="28"/>
          <w:lang w:val="en-US" w:eastAsia="zh-CN"/>
        </w:rPr>
        <w:t>3</w:t>
      </w:r>
      <w:r>
        <w:rPr>
          <w:rFonts w:hint="eastAsia" w:ascii="方正仿宋_GBK" w:eastAsia="方正仿宋_GBK"/>
          <w:b/>
          <w:sz w:val="28"/>
        </w:rPr>
        <w:t>、</w:t>
      </w:r>
      <w:r>
        <w:rPr>
          <w:rFonts w:hint="eastAsia" w:ascii="方正仿宋_GBK" w:eastAsia="方正仿宋_GBK"/>
          <w:b/>
          <w:sz w:val="28"/>
          <w:lang w:val="en-US" w:eastAsia="zh-CN"/>
        </w:rPr>
        <w:t>水利发展节水工程补助资金绩效目标表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4" w:name="_Toc29484638"/>
      <w:r>
        <w:rPr>
          <w:rFonts w:ascii="方正仿宋_GBK" w:eastAsia="方正仿宋_GBK"/>
          <w:b/>
          <w:sz w:val="28"/>
        </w:rPr>
        <w:instrText xml:space="preserve">7</w:instrText>
      </w:r>
      <w:r>
        <w:rPr>
          <w:rFonts w:hint="eastAsia" w:ascii="方正仿宋_GBK" w:eastAsia="方正仿宋_GBK"/>
          <w:b/>
          <w:sz w:val="28"/>
        </w:rPr>
        <w:instrText xml:space="preserve">、人大代表培训费绩效目标表</w:instrText>
      </w:r>
      <w:bookmarkEnd w:id="4"/>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
        <w:gridCol w:w="494"/>
        <w:gridCol w:w="1500"/>
        <w:gridCol w:w="1590"/>
        <w:gridCol w:w="1740"/>
        <w:gridCol w:w="525"/>
        <w:gridCol w:w="570"/>
        <w:gridCol w:w="1199"/>
        <w:gridCol w:w="346"/>
        <w:gridCol w:w="14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1771" w:type="dxa"/>
          <w:trHeight w:val="397" w:hRule="atLeast"/>
          <w:jc w:val="center"/>
        </w:trPr>
        <w:tc>
          <w:tcPr>
            <w:tcW w:w="7711" w:type="dxa"/>
            <w:gridSpan w:val="8"/>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285" w:hRule="atLeast"/>
          <w:jc w:val="center"/>
        </w:trPr>
        <w:tc>
          <w:tcPr>
            <w:tcW w:w="4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39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墅洋居礼小区节水的效果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28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p>
        </w:tc>
        <w:tc>
          <w:tcPr>
            <w:tcW w:w="739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5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59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74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64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42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9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74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54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42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安装率</w:t>
            </w:r>
          </w:p>
        </w:tc>
        <w:tc>
          <w:tcPr>
            <w:tcW w:w="17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安装率</w:t>
            </w:r>
          </w:p>
        </w:tc>
        <w:tc>
          <w:tcPr>
            <w:tcW w:w="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54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节水设施安装率</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pPr>
              <w:jc w:val="lef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工程验收合格率</w:t>
            </w:r>
          </w:p>
        </w:tc>
        <w:tc>
          <w:tcPr>
            <w:tcW w:w="17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完成工程合格率</w:t>
            </w:r>
          </w:p>
        </w:tc>
        <w:tc>
          <w:tcPr>
            <w:tcW w:w="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54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当年投资完成率</w:t>
            </w:r>
          </w:p>
        </w:tc>
        <w:tc>
          <w:tcPr>
            <w:tcW w:w="17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投资完成率</w:t>
            </w:r>
          </w:p>
        </w:tc>
        <w:tc>
          <w:tcPr>
            <w:tcW w:w="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154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达到生态绿化小区</w:t>
            </w:r>
          </w:p>
        </w:tc>
        <w:tc>
          <w:tcPr>
            <w:tcW w:w="17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节水设施推广率</w:t>
            </w:r>
          </w:p>
        </w:tc>
        <w:tc>
          <w:tcPr>
            <w:tcW w:w="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54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达到生态小区</w:t>
            </w:r>
          </w:p>
        </w:tc>
        <w:tc>
          <w:tcPr>
            <w:tcW w:w="17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生态小区节水率</w:t>
            </w:r>
          </w:p>
        </w:tc>
        <w:tc>
          <w:tcPr>
            <w:tcW w:w="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54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74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70"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54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受益群众满意度</w:t>
            </w:r>
          </w:p>
        </w:tc>
        <w:tc>
          <w:tcPr>
            <w:tcW w:w="17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5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54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28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74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70"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54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28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74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70"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54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42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bl>
    <w:p>
      <w:pPr>
        <w:ind w:firstLine="562" w:firstLineChars="200"/>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hint="eastAsia" w:ascii="方正仿宋_GBK" w:eastAsia="方正仿宋_GBK"/>
          <w:b/>
          <w:sz w:val="28"/>
          <w:lang w:val="en-US" w:eastAsia="zh-CN"/>
        </w:rPr>
      </w:pPr>
      <w:r>
        <w:rPr>
          <w:rFonts w:hint="eastAsia" w:ascii="方正仿宋_GBK" w:eastAsia="方正仿宋_GBK"/>
          <w:b/>
          <w:sz w:val="28"/>
          <w:lang w:val="en-US" w:eastAsia="zh-CN"/>
        </w:rPr>
        <w:t xml:space="preserve"> </w:t>
      </w:r>
    </w:p>
    <w:p>
      <w:pPr>
        <w:jc w:val="left"/>
        <w:outlineLvl w:val="1"/>
        <w:rPr>
          <w:rFonts w:ascii="Times New Roman" w:hAnsi="宋体"/>
          <w:b/>
          <w:sz w:val="28"/>
        </w:rPr>
      </w:pPr>
      <w:r>
        <w:rPr>
          <w:rFonts w:ascii="方正仿宋_GBK" w:eastAsia="方正仿宋_GBK"/>
          <w:b/>
          <w:sz w:val="28"/>
        </w:rPr>
        <w:t>4</w:t>
      </w:r>
      <w:r>
        <w:rPr>
          <w:rFonts w:hint="eastAsia" w:ascii="方正仿宋_GBK" w:eastAsia="方正仿宋_GBK"/>
          <w:b/>
          <w:sz w:val="28"/>
        </w:rPr>
        <w:t>、</w:t>
      </w:r>
      <w:r>
        <w:rPr>
          <w:rFonts w:hint="eastAsia" w:ascii="方正仿宋_GBK" w:eastAsia="方正仿宋_GBK"/>
          <w:b/>
          <w:sz w:val="28"/>
          <w:lang w:eastAsia="zh-CN"/>
        </w:rPr>
        <w:t>水费及水网专项改造项目资金</w:t>
      </w:r>
      <w:r>
        <w:rPr>
          <w:rFonts w:hint="eastAsia" w:ascii="方正仿宋_GBK" w:eastAsia="方正仿宋_GBK"/>
          <w:b/>
          <w:sz w:val="28"/>
        </w:rPr>
        <w:t>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5" w:name="_Toc29484641"/>
      <w:r>
        <w:rPr>
          <w:rFonts w:ascii="方正仿宋_GBK" w:eastAsia="方正仿宋_GBK"/>
          <w:b/>
          <w:sz w:val="28"/>
        </w:rPr>
        <w:instrText xml:space="preserve">10</w:instrText>
      </w:r>
      <w:r>
        <w:rPr>
          <w:rFonts w:hint="eastAsia" w:ascii="方正仿宋_GBK" w:eastAsia="方正仿宋_GBK"/>
          <w:b/>
          <w:sz w:val="28"/>
        </w:rPr>
        <w:instrText xml:space="preserve">、省人大办公厅办公用房修缮及基础设施改造资金（预内基建）绩效目标表</w:instrText>
      </w:r>
      <w:bookmarkEnd w:id="5"/>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
        <w:gridCol w:w="494"/>
        <w:gridCol w:w="1590"/>
        <w:gridCol w:w="1260"/>
        <w:gridCol w:w="1830"/>
        <w:gridCol w:w="444"/>
        <w:gridCol w:w="524"/>
        <w:gridCol w:w="1476"/>
        <w:gridCol w:w="286"/>
        <w:gridCol w:w="14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1726" w:type="dxa"/>
          <w:trHeight w:val="397" w:hRule="atLeast"/>
          <w:jc w:val="center"/>
        </w:trPr>
        <w:tc>
          <w:tcPr>
            <w:tcW w:w="7711" w:type="dxa"/>
            <w:gridSpan w:val="8"/>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285" w:hRule="atLeast"/>
          <w:jc w:val="center"/>
        </w:trPr>
        <w:tc>
          <w:tcPr>
            <w:tcW w:w="4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260"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及时缴纳制水运行费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28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260"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及时改造供水管网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59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6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83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73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9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26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83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44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76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18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实际到位资金占应到位资金的比例</w:t>
            </w:r>
          </w:p>
        </w:tc>
        <w:tc>
          <w:tcPr>
            <w:tcW w:w="44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176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8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4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76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8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4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76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855" w:hRule="atLeast"/>
          <w:jc w:val="center"/>
        </w:trPr>
        <w:tc>
          <w:tcPr>
            <w:tcW w:w="4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正常城市供水</w:t>
            </w:r>
          </w:p>
        </w:tc>
        <w:tc>
          <w:tcPr>
            <w:tcW w:w="18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通过及时缴纳水费改造供水管网，保障正常城市供水</w:t>
            </w:r>
          </w:p>
        </w:tc>
        <w:tc>
          <w:tcPr>
            <w:tcW w:w="44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76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正常城市供水</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8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4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76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8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4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76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375" w:hRule="atLeast"/>
          <w:jc w:val="center"/>
        </w:trPr>
        <w:tc>
          <w:tcPr>
            <w:tcW w:w="4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8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群众对城市供水的整体满意度</w:t>
            </w:r>
          </w:p>
        </w:tc>
        <w:tc>
          <w:tcPr>
            <w:tcW w:w="44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176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28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8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4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76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285" w:hRule="atLeast"/>
          <w:jc w:val="center"/>
        </w:trPr>
        <w:tc>
          <w:tcPr>
            <w:tcW w:w="49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8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4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76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bl>
    <w:p>
      <w:pPr>
        <w:spacing w:line="300" w:lineRule="exact"/>
        <w:ind w:firstLine="420" w:firstLineChars="200"/>
        <w:jc w:val="left"/>
        <w:sectPr>
          <w:footerReference r:id="rId3" w:type="default"/>
          <w:pgSz w:w="11906" w:h="16838"/>
          <w:pgMar w:top="1417" w:right="1304" w:bottom="1417" w:left="1304" w:header="851" w:footer="992" w:gutter="0"/>
          <w:cols w:space="0" w:num="1"/>
          <w:rtlGutter w:val="0"/>
          <w:docGrid w:type="lines" w:linePitch="320"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ascii="方正仿宋_GBK" w:eastAsia="方正仿宋_GBK"/>
          <w:b/>
          <w:sz w:val="28"/>
        </w:rPr>
        <w:t>5</w:t>
      </w:r>
      <w:r>
        <w:rPr>
          <w:rFonts w:hint="eastAsia" w:ascii="方正仿宋_GBK" w:eastAsia="方正仿宋_GBK"/>
          <w:b/>
          <w:sz w:val="28"/>
        </w:rPr>
        <w:t>、</w:t>
      </w:r>
      <w:r>
        <w:rPr>
          <w:rFonts w:hint="eastAsia" w:ascii="方正仿宋_GBK" w:eastAsia="方正仿宋_GBK"/>
          <w:b/>
          <w:sz w:val="28"/>
          <w:lang w:eastAsia="zh-CN"/>
        </w:rPr>
        <w:t>滹沱河沿岸拆违奖励资金绩效目标表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6" w:name="_Toc29484642"/>
      <w:r>
        <w:rPr>
          <w:rFonts w:ascii="方正仿宋_GBK" w:eastAsia="方正仿宋_GBK"/>
          <w:b/>
          <w:sz w:val="28"/>
        </w:rPr>
        <w:instrText xml:space="preserve">11</w:instrText>
      </w:r>
      <w:r>
        <w:rPr>
          <w:rFonts w:hint="eastAsia" w:ascii="方正仿宋_GBK" w:eastAsia="方正仿宋_GBK"/>
          <w:b/>
          <w:sz w:val="28"/>
        </w:rPr>
        <w:instrText xml:space="preserve">、省人大常委会办公厅信息化建设资金（预内基建）绩效目标表</w:instrText>
      </w:r>
      <w:bookmarkEnd w:id="6"/>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
        <w:gridCol w:w="406"/>
        <w:gridCol w:w="1334"/>
        <w:gridCol w:w="1290"/>
        <w:gridCol w:w="2070"/>
        <w:gridCol w:w="779"/>
        <w:gridCol w:w="528"/>
        <w:gridCol w:w="1423"/>
        <w:gridCol w:w="165"/>
        <w:gridCol w:w="13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gridAfter w:val="2"/>
          <w:wBefore w:w="150" w:type="dxa"/>
          <w:wAfter w:w="1485" w:type="dxa"/>
          <w:trHeight w:val="397" w:hRule="atLeast"/>
          <w:jc w:val="center"/>
        </w:trPr>
        <w:tc>
          <w:tcPr>
            <w:tcW w:w="7830"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jc w:val="center"/>
        </w:trPr>
        <w:tc>
          <w:tcPr>
            <w:tcW w:w="55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57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资金及时到位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jc w:val="center"/>
        </w:trPr>
        <w:tc>
          <w:tcPr>
            <w:tcW w:w="55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57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及时将奖励资金发放到位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55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29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7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89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3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55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29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207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2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5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32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55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2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奖励资金到位率</w:t>
            </w:r>
          </w:p>
        </w:tc>
        <w:tc>
          <w:tcPr>
            <w:tcW w:w="20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实际到位奖励资金占应到位资金的比例</w:t>
            </w:r>
          </w:p>
        </w:tc>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2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15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奖励资金到位率</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556" w:type="dxa"/>
            <w:gridSpan w:val="2"/>
            <w:tcBorders>
              <w:top w:val="single" w:color="auto" w:sz="4" w:space="0"/>
              <w:left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07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8"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5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55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07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8"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5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55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2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奖励发放率</w:t>
            </w:r>
          </w:p>
        </w:tc>
        <w:tc>
          <w:tcPr>
            <w:tcW w:w="20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发放拆违奖励发放完成率</w:t>
            </w:r>
          </w:p>
        </w:tc>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2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15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奖励发放率</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556" w:type="dxa"/>
            <w:gridSpan w:val="2"/>
            <w:tcBorders>
              <w:top w:val="single" w:color="auto" w:sz="4" w:space="0"/>
              <w:left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07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8"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5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55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07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8"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5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55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29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20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接受奖励人群的满意程度</w:t>
            </w:r>
          </w:p>
        </w:tc>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2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15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jc w:val="center"/>
        </w:trPr>
        <w:tc>
          <w:tcPr>
            <w:tcW w:w="556" w:type="dxa"/>
            <w:gridSpan w:val="2"/>
            <w:tcBorders>
              <w:top w:val="single" w:color="auto" w:sz="4" w:space="0"/>
              <w:left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07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8"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5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jc w:val="center"/>
        </w:trPr>
        <w:tc>
          <w:tcPr>
            <w:tcW w:w="55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33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29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07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28"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5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32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bl>
    <w:p>
      <w:pPr>
        <w:jc w:val="left"/>
        <w:outlineLvl w:val="1"/>
        <w:rPr>
          <w:rFonts w:ascii="Times New Roman" w:hAnsi="宋体"/>
          <w:b/>
          <w:sz w:val="28"/>
        </w:rPr>
      </w:pPr>
      <w:r>
        <w:rPr>
          <w:rFonts w:ascii="方正仿宋_GBK" w:eastAsia="方正仿宋_GBK"/>
          <w:b/>
          <w:sz w:val="28"/>
        </w:rPr>
        <w:t>6</w:t>
      </w:r>
      <w:r>
        <w:rPr>
          <w:rFonts w:hint="eastAsia" w:ascii="方正仿宋_GBK" w:eastAsia="方正仿宋_GBK"/>
          <w:b/>
          <w:sz w:val="28"/>
        </w:rPr>
        <w:t>、</w:t>
      </w:r>
      <w:r>
        <w:rPr>
          <w:rFonts w:hint="eastAsia" w:ascii="方正仿宋_GBK" w:eastAsia="方正仿宋_GBK"/>
          <w:b/>
          <w:sz w:val="28"/>
          <w:lang w:val="en-US" w:eastAsia="zh-CN"/>
        </w:rPr>
        <w:t>2020中央水利发展地下水超采综合治理项目</w:t>
      </w:r>
      <w:r>
        <w:rPr>
          <w:rFonts w:hint="eastAsia" w:ascii="方正仿宋_GBK" w:eastAsia="方正仿宋_GBK"/>
          <w:b/>
          <w:sz w:val="28"/>
          <w:lang w:eastAsia="zh-CN"/>
        </w:rPr>
        <w:t>资金</w:t>
      </w:r>
      <w:r>
        <w:rPr>
          <w:rFonts w:hint="eastAsia" w:ascii="方正仿宋_GBK" w:eastAsia="方正仿宋_GBK"/>
          <w:b/>
          <w:sz w:val="28"/>
        </w:rPr>
        <w:t>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7" w:name="_Toc29484631"/>
      <w:r>
        <w:rPr>
          <w:rFonts w:ascii="方正仿宋_GBK" w:eastAsia="方正仿宋_GBK"/>
          <w:b/>
          <w:sz w:val="28"/>
        </w:rPr>
        <w:instrText xml:space="preserve">1</w:instrText>
      </w:r>
      <w:r>
        <w:rPr>
          <w:rFonts w:hint="eastAsia" w:ascii="方正仿宋_GBK" w:eastAsia="方正仿宋_GBK"/>
          <w:b/>
          <w:sz w:val="28"/>
        </w:rPr>
        <w:instrText xml:space="preserve">、河北省人民代表大会会议费绩效目标表</w:instrText>
      </w:r>
      <w:bookmarkEnd w:id="7"/>
      <w:r>
        <w:rPr>
          <w:rFonts w:ascii="方正仿宋_GBK" w:eastAsia="方正仿宋_GBK"/>
          <w:b/>
          <w:sz w:val="28"/>
        </w:rPr>
        <w:instrText xml:space="preserve">" \f B \l 0001</w:instrText>
      </w:r>
      <w:r>
        <w:rPr>
          <w:rFonts w:ascii="方正仿宋_GBK" w:eastAsia="方正仿宋_GBK"/>
          <w:b/>
          <w:sz w:val="28"/>
        </w:rPr>
        <w:fldChar w:fldCharType="end"/>
      </w:r>
    </w:p>
    <w:tbl>
      <w:tblPr>
        <w:tblStyle w:val="7"/>
        <w:tblW w:w="94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9"/>
        <w:gridCol w:w="106"/>
        <w:gridCol w:w="1200"/>
        <w:gridCol w:w="930"/>
        <w:gridCol w:w="2955"/>
        <w:gridCol w:w="454"/>
        <w:gridCol w:w="505"/>
        <w:gridCol w:w="1181"/>
        <w:gridCol w:w="380"/>
        <w:gridCol w:w="13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gridAfter w:val="1"/>
          <w:wBefore w:w="329" w:type="dxa"/>
          <w:wAfter w:w="1380" w:type="dxa"/>
          <w:trHeight w:val="397" w:hRule="atLeast"/>
          <w:jc w:val="center"/>
        </w:trPr>
        <w:tc>
          <w:tcPr>
            <w:tcW w:w="7711" w:type="dxa"/>
            <w:gridSpan w:val="8"/>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jc w:val="center"/>
        </w:trPr>
        <w:tc>
          <w:tcPr>
            <w:tcW w:w="43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78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补充新安镇区域地下水，向木刀沟补水，改善木刀沟沿线环境。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jc w:val="center"/>
        </w:trPr>
        <w:tc>
          <w:tcPr>
            <w:tcW w:w="43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78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项目实施后，可通过地表水置换地下水灌溉农田面积10894亩，封存机井229眼，年实现压采量205.76万m3。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43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14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7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43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4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7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43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补充新安镇区域地下水，向木刀沟补水，改善木刀沟沿线环境。</w:t>
            </w:r>
          </w:p>
        </w:tc>
        <w:tc>
          <w:tcPr>
            <w:tcW w:w="4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按预计时间</w:t>
            </w:r>
          </w:p>
        </w:tc>
        <w:tc>
          <w:tcPr>
            <w:tcW w:w="17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43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5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05"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7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43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5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05"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7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43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项目实施后，可通过地表水置换地下水灌溉农田面积10894亩，封存机井229眼，年实现压采量205.76万m3。</w:t>
            </w:r>
          </w:p>
        </w:tc>
        <w:tc>
          <w:tcPr>
            <w:tcW w:w="4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完成程度</w:t>
            </w:r>
          </w:p>
        </w:tc>
        <w:tc>
          <w:tcPr>
            <w:tcW w:w="17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历年经验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43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5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05"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7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43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5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05"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7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75" w:hRule="atLeast"/>
          <w:jc w:val="center"/>
        </w:trPr>
        <w:tc>
          <w:tcPr>
            <w:tcW w:w="43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5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05"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7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jc w:val="center"/>
        </w:trPr>
        <w:tc>
          <w:tcPr>
            <w:tcW w:w="43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5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05"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7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jc w:val="center"/>
        </w:trPr>
        <w:tc>
          <w:tcPr>
            <w:tcW w:w="43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930"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45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505" w:type="dxa"/>
            <w:tcBorders>
              <w:top w:val="single" w:color="auto" w:sz="4" w:space="0"/>
              <w:left w:val="single" w:color="auto" w:sz="4" w:space="0"/>
              <w:bottom w:val="single" w:color="auto" w:sz="4" w:space="0"/>
              <w:right w:val="single" w:color="auto" w:sz="4" w:space="0"/>
            </w:tcBorders>
            <w:shd w:val="clear" w:color="auto" w:fill="auto"/>
            <w:vAlign w:val="center"/>
          </w:tcPr>
          <w:p>
            <w:pPr>
              <w:jc w:val="right"/>
              <w:rPr>
                <w:rFonts w:hint="eastAsia" w:ascii="宋体" w:hAnsi="宋体" w:eastAsia="宋体" w:cs="宋体"/>
                <w:i w:val="0"/>
                <w:color w:val="000000"/>
                <w:sz w:val="18"/>
                <w:szCs w:val="18"/>
                <w:u w:val="none"/>
              </w:rPr>
            </w:pPr>
          </w:p>
        </w:tc>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c>
          <w:tcPr>
            <w:tcW w:w="17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rPr>
                <w:rFonts w:hint="eastAsia" w:ascii="宋体" w:hAnsi="宋体" w:eastAsia="宋体" w:cs="宋体"/>
                <w:i w:val="0"/>
                <w:color w:val="000000"/>
                <w:sz w:val="18"/>
                <w:szCs w:val="18"/>
                <w:u w:val="none"/>
              </w:rPr>
            </w:pPr>
          </w:p>
        </w:tc>
      </w:tr>
      <w:bookmarkEnd w:id="0"/>
    </w:tbl>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jc w:val="left"/>
        <w:rPr>
          <w:rFonts w:ascii="Times New Roman" w:hAnsi="Times New Roman" w:eastAsia="仿宋" w:cs="Times New Roman"/>
          <w:sz w:val="32"/>
          <w:szCs w:val="24"/>
        </w:rPr>
      </w:pPr>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w:t>
      </w:r>
      <w:r>
        <w:rPr>
          <w:rFonts w:hint="eastAsia" w:ascii="Times New Roman" w:hAnsi="Times New Roman" w:eastAsia="仿宋" w:cs="Times New Roman"/>
          <w:sz w:val="32"/>
          <w:szCs w:val="24"/>
          <w:lang w:val="en-US" w:eastAsia="zh-CN"/>
        </w:rPr>
        <w:t>,以空表列示。</w:t>
      </w:r>
    </w:p>
    <w:p>
      <w:pPr>
        <w:jc w:val="center"/>
        <w:outlineLvl w:val="0"/>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rPr>
        <w:t>部门政府采购预算</w:t>
      </w:r>
      <w:r>
        <w:rPr>
          <w:rFonts w:hint="eastAsia" w:asciiTheme="minorEastAsia" w:hAnsiTheme="minorEastAsia" w:eastAsiaTheme="minorEastAsia" w:cstheme="minorEastAsia"/>
          <w:b w:val="0"/>
          <w:bCs w:val="0"/>
          <w:sz w:val="32"/>
          <w:szCs w:val="32"/>
        </w:rPr>
        <w:fldChar w:fldCharType="begin"/>
      </w:r>
      <w:r>
        <w:rPr>
          <w:rFonts w:hint="eastAsia" w:asciiTheme="minorEastAsia" w:hAnsiTheme="minorEastAsia" w:eastAsiaTheme="minorEastAsia" w:cstheme="minorEastAsia"/>
          <w:b w:val="0"/>
          <w:bCs w:val="0"/>
          <w:sz w:val="32"/>
          <w:szCs w:val="32"/>
        </w:rPr>
        <w:instrText xml:space="preserve"> TC </w:instrText>
      </w:r>
      <w:bookmarkStart w:id="8" w:name="_Toc28848395"/>
      <w:r>
        <w:rPr>
          <w:rFonts w:hint="eastAsia" w:asciiTheme="minorEastAsia" w:hAnsiTheme="minorEastAsia" w:eastAsiaTheme="minorEastAsia" w:cstheme="minorEastAsia"/>
          <w:b w:val="0"/>
          <w:bCs w:val="0"/>
          <w:sz w:val="32"/>
          <w:szCs w:val="32"/>
        </w:rPr>
        <w:instrText xml:space="preserve">部门政府采购预算</w:instrText>
      </w:r>
      <w:bookmarkEnd w:id="8"/>
      <w:r>
        <w:rPr>
          <w:rFonts w:hint="eastAsia" w:asciiTheme="minorEastAsia" w:hAnsiTheme="minorEastAsia" w:eastAsiaTheme="minorEastAsia" w:cstheme="minorEastAsia"/>
          <w:b w:val="0"/>
          <w:bCs w:val="0"/>
          <w:sz w:val="32"/>
          <w:szCs w:val="32"/>
        </w:rPr>
        <w:instrText xml:space="preserve"> \f A \l 1 </w:instrText>
      </w:r>
      <w:r>
        <w:rPr>
          <w:rFonts w:hint="eastAsia" w:asciiTheme="minorEastAsia" w:hAnsiTheme="minorEastAsia" w:eastAsiaTheme="minorEastAsia" w:cstheme="minorEastAsia"/>
          <w:b w:val="0"/>
          <w:bCs w:val="0"/>
          <w:sz w:val="32"/>
          <w:szCs w:val="32"/>
        </w:rPr>
        <w:fldChar w:fldCharType="end"/>
      </w:r>
    </w:p>
    <w:tbl>
      <w:tblPr>
        <w:tblStyle w:val="7"/>
        <w:tblW w:w="104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690"/>
        <w:gridCol w:w="750"/>
        <w:gridCol w:w="780"/>
        <w:gridCol w:w="600"/>
        <w:gridCol w:w="555"/>
        <w:gridCol w:w="555"/>
        <w:gridCol w:w="540"/>
        <w:gridCol w:w="1215"/>
        <w:gridCol w:w="990"/>
        <w:gridCol w:w="1200"/>
        <w:gridCol w:w="870"/>
        <w:gridCol w:w="10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610"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正定县</w:t>
            </w:r>
            <w:r>
              <w:rPr>
                <w:rFonts w:hint="eastAsia" w:asciiTheme="minorEastAsia" w:hAnsiTheme="minorEastAsia" w:eastAsiaTheme="minorEastAsia" w:cstheme="minorEastAsia"/>
                <w:b w:val="0"/>
                <w:bCs w:val="0"/>
                <w:sz w:val="18"/>
                <w:szCs w:val="18"/>
                <w:lang w:val="en-US" w:eastAsia="zh-CN"/>
              </w:rPr>
              <w:t>水利</w:t>
            </w:r>
            <w:r>
              <w:rPr>
                <w:rFonts w:hint="eastAsia" w:asciiTheme="minorEastAsia" w:hAnsiTheme="minorEastAsia" w:eastAsiaTheme="minorEastAsia" w:cstheme="minorEastAsia"/>
                <w:b w:val="0"/>
                <w:bCs w:val="0"/>
                <w:sz w:val="18"/>
                <w:szCs w:val="18"/>
              </w:rPr>
              <w:t>局</w:t>
            </w:r>
          </w:p>
        </w:tc>
        <w:tc>
          <w:tcPr>
            <w:tcW w:w="5832" w:type="dxa"/>
            <w:gridSpan w:val="6"/>
            <w:tcBorders>
              <w:top w:val="single" w:color="FFFFFF" w:sz="6" w:space="0"/>
              <w:left w:val="single" w:color="FFFFFF" w:sz="6" w:space="0"/>
              <w:right w:val="single" w:color="FFFFFF" w:sz="6" w:space="0"/>
            </w:tcBorders>
            <w:vAlign w:val="center"/>
          </w:tcPr>
          <w:p>
            <w:pPr>
              <w:spacing w:line="300" w:lineRule="exact"/>
              <w:jc w:val="right"/>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70" w:type="dxa"/>
            <w:gridSpan w:val="2"/>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政府采购项目来源</w:t>
            </w:r>
          </w:p>
        </w:tc>
        <w:tc>
          <w:tcPr>
            <w:tcW w:w="750" w:type="dxa"/>
            <w:vMerge w:val="restart"/>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采购物品名称</w:t>
            </w:r>
          </w:p>
        </w:tc>
        <w:tc>
          <w:tcPr>
            <w:tcW w:w="780" w:type="dxa"/>
            <w:vMerge w:val="restart"/>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政府采购目录序号</w:t>
            </w:r>
          </w:p>
        </w:tc>
        <w:tc>
          <w:tcPr>
            <w:tcW w:w="600" w:type="dxa"/>
            <w:vMerge w:val="restart"/>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计量  单位</w:t>
            </w:r>
          </w:p>
        </w:tc>
        <w:tc>
          <w:tcPr>
            <w:tcW w:w="555" w:type="dxa"/>
            <w:vMerge w:val="restart"/>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数量</w:t>
            </w:r>
          </w:p>
        </w:tc>
        <w:tc>
          <w:tcPr>
            <w:tcW w:w="555" w:type="dxa"/>
            <w:vMerge w:val="restart"/>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单价</w:t>
            </w:r>
          </w:p>
        </w:tc>
        <w:tc>
          <w:tcPr>
            <w:tcW w:w="5832" w:type="dxa"/>
            <w:gridSpan w:val="6"/>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80" w:type="dxa"/>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项目名称</w:t>
            </w:r>
          </w:p>
        </w:tc>
        <w:tc>
          <w:tcPr>
            <w:tcW w:w="690" w:type="dxa"/>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预算资金</w:t>
            </w:r>
          </w:p>
        </w:tc>
        <w:tc>
          <w:tcPr>
            <w:tcW w:w="750" w:type="dxa"/>
            <w:vMerge w:val="continue"/>
            <w:vAlign w:val="center"/>
          </w:tcPr>
          <w:p>
            <w:pPr>
              <w:spacing w:line="300" w:lineRule="exact"/>
              <w:jc w:val="left"/>
              <w:outlineLvl w:val="0"/>
              <w:rPr>
                <w:rFonts w:hint="eastAsia" w:asciiTheme="minorEastAsia" w:hAnsiTheme="minorEastAsia" w:eastAsiaTheme="minorEastAsia" w:cstheme="minorEastAsia"/>
                <w:b w:val="0"/>
                <w:bCs w:val="0"/>
                <w:sz w:val="18"/>
                <w:szCs w:val="18"/>
              </w:rPr>
            </w:pPr>
          </w:p>
        </w:tc>
        <w:tc>
          <w:tcPr>
            <w:tcW w:w="780" w:type="dxa"/>
            <w:vMerge w:val="continue"/>
            <w:vAlign w:val="center"/>
          </w:tcPr>
          <w:p>
            <w:pPr>
              <w:spacing w:line="300" w:lineRule="exact"/>
              <w:jc w:val="left"/>
              <w:outlineLvl w:val="0"/>
              <w:rPr>
                <w:rFonts w:hint="eastAsia" w:asciiTheme="minorEastAsia" w:hAnsiTheme="minorEastAsia" w:eastAsiaTheme="minorEastAsia" w:cstheme="minorEastAsia"/>
                <w:b w:val="0"/>
                <w:bCs w:val="0"/>
                <w:sz w:val="18"/>
                <w:szCs w:val="18"/>
              </w:rPr>
            </w:pPr>
          </w:p>
        </w:tc>
        <w:tc>
          <w:tcPr>
            <w:tcW w:w="600" w:type="dxa"/>
            <w:vMerge w:val="continue"/>
            <w:vAlign w:val="center"/>
          </w:tcPr>
          <w:p>
            <w:pPr>
              <w:spacing w:line="300" w:lineRule="exact"/>
              <w:jc w:val="left"/>
              <w:outlineLvl w:val="0"/>
              <w:rPr>
                <w:rFonts w:hint="eastAsia" w:asciiTheme="minorEastAsia" w:hAnsiTheme="minorEastAsia" w:eastAsiaTheme="minorEastAsia" w:cstheme="minorEastAsia"/>
                <w:b w:val="0"/>
                <w:bCs w:val="0"/>
                <w:sz w:val="18"/>
                <w:szCs w:val="18"/>
              </w:rPr>
            </w:pPr>
          </w:p>
        </w:tc>
        <w:tc>
          <w:tcPr>
            <w:tcW w:w="555" w:type="dxa"/>
            <w:vMerge w:val="continue"/>
            <w:vAlign w:val="center"/>
          </w:tcPr>
          <w:p>
            <w:pPr>
              <w:spacing w:line="300" w:lineRule="exact"/>
              <w:jc w:val="left"/>
              <w:outlineLvl w:val="0"/>
              <w:rPr>
                <w:rFonts w:hint="eastAsia" w:asciiTheme="minorEastAsia" w:hAnsiTheme="minorEastAsia" w:eastAsiaTheme="minorEastAsia" w:cstheme="minorEastAsia"/>
                <w:b w:val="0"/>
                <w:bCs w:val="0"/>
                <w:sz w:val="18"/>
                <w:szCs w:val="18"/>
              </w:rPr>
            </w:pPr>
          </w:p>
        </w:tc>
        <w:tc>
          <w:tcPr>
            <w:tcW w:w="555" w:type="dxa"/>
            <w:vMerge w:val="continue"/>
            <w:vAlign w:val="center"/>
          </w:tcPr>
          <w:p>
            <w:pPr>
              <w:spacing w:line="300" w:lineRule="exact"/>
              <w:jc w:val="left"/>
              <w:outlineLvl w:val="0"/>
              <w:rPr>
                <w:rFonts w:hint="eastAsia" w:asciiTheme="minorEastAsia" w:hAnsiTheme="minorEastAsia" w:eastAsiaTheme="minorEastAsia" w:cstheme="minorEastAsia"/>
                <w:b w:val="0"/>
                <w:bCs w:val="0"/>
                <w:sz w:val="18"/>
                <w:szCs w:val="18"/>
              </w:rPr>
            </w:pPr>
          </w:p>
        </w:tc>
        <w:tc>
          <w:tcPr>
            <w:tcW w:w="540" w:type="dxa"/>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合计</w:t>
            </w:r>
          </w:p>
        </w:tc>
        <w:tc>
          <w:tcPr>
            <w:tcW w:w="1215" w:type="dxa"/>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一般公共预算拨款</w:t>
            </w:r>
          </w:p>
        </w:tc>
        <w:tc>
          <w:tcPr>
            <w:tcW w:w="990" w:type="dxa"/>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基金预算拨款</w:t>
            </w:r>
          </w:p>
        </w:tc>
        <w:tc>
          <w:tcPr>
            <w:tcW w:w="1200" w:type="dxa"/>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国有资本经营预算拨款</w:t>
            </w:r>
          </w:p>
        </w:tc>
        <w:tc>
          <w:tcPr>
            <w:tcW w:w="870" w:type="dxa"/>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财政专户核拨</w:t>
            </w:r>
          </w:p>
        </w:tc>
        <w:tc>
          <w:tcPr>
            <w:tcW w:w="1017" w:type="dxa"/>
            <w:vAlign w:val="center"/>
          </w:tcPr>
          <w:p>
            <w:pPr>
              <w:spacing w:line="300" w:lineRule="exact"/>
              <w:jc w:val="center"/>
              <w:rPr>
                <w:rFonts w:hint="eastAsia" w:asciiTheme="minorEastAsia" w:hAnsiTheme="minorEastAsia" w:eastAsiaTheme="minorEastAsia" w:cstheme="minorEastAsia"/>
                <w:b w:val="0"/>
                <w:bCs w:val="0"/>
                <w:sz w:val="18"/>
                <w:szCs w:val="18"/>
              </w:rPr>
            </w:pPr>
            <w:r>
              <w:rPr>
                <w:rFonts w:hint="eastAsia" w:asciiTheme="minorEastAsia" w:hAnsiTheme="minorEastAsia" w:eastAsiaTheme="minorEastAsia" w:cstheme="minorEastAsia"/>
                <w:b w:val="0"/>
                <w:bCs w:val="0"/>
                <w:sz w:val="18"/>
                <w:szCs w:val="18"/>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80" w:type="dxa"/>
            <w:vAlign w:val="center"/>
          </w:tcPr>
          <w:p>
            <w:pPr>
              <w:spacing w:line="300" w:lineRule="exact"/>
              <w:jc w:val="center"/>
              <w:rPr>
                <w:rFonts w:ascii="方正书宋_GBK" w:eastAsia="方正书宋_GBK"/>
                <w:b/>
              </w:rPr>
            </w:pPr>
          </w:p>
        </w:tc>
        <w:tc>
          <w:tcPr>
            <w:tcW w:w="690" w:type="dxa"/>
            <w:vAlign w:val="center"/>
          </w:tcPr>
          <w:p>
            <w:pPr>
              <w:spacing w:line="300" w:lineRule="exact"/>
              <w:jc w:val="right"/>
              <w:rPr>
                <w:rFonts w:ascii="方正书宋_GBK" w:eastAsia="方正书宋_GBK"/>
                <w:b/>
              </w:rPr>
            </w:pPr>
          </w:p>
        </w:tc>
        <w:tc>
          <w:tcPr>
            <w:tcW w:w="750" w:type="dxa"/>
            <w:vAlign w:val="center"/>
          </w:tcPr>
          <w:p>
            <w:pPr>
              <w:spacing w:line="300" w:lineRule="exact"/>
              <w:jc w:val="left"/>
              <w:rPr>
                <w:rFonts w:ascii="方正书宋_GBK" w:eastAsia="方正书宋_GBK"/>
                <w:b/>
              </w:rPr>
            </w:pPr>
          </w:p>
        </w:tc>
        <w:tc>
          <w:tcPr>
            <w:tcW w:w="780" w:type="dxa"/>
            <w:vAlign w:val="center"/>
          </w:tcPr>
          <w:p>
            <w:pPr>
              <w:spacing w:line="300" w:lineRule="exact"/>
              <w:jc w:val="left"/>
              <w:rPr>
                <w:rFonts w:ascii="方正书宋_GBK" w:eastAsia="方正书宋_GBK"/>
                <w:b/>
              </w:rPr>
            </w:pPr>
          </w:p>
        </w:tc>
        <w:tc>
          <w:tcPr>
            <w:tcW w:w="600" w:type="dxa"/>
            <w:vAlign w:val="center"/>
          </w:tcPr>
          <w:p>
            <w:pPr>
              <w:spacing w:line="300" w:lineRule="exact"/>
              <w:jc w:val="center"/>
              <w:rPr>
                <w:rFonts w:ascii="方正书宋_GBK" w:eastAsia="方正书宋_GBK"/>
                <w:b/>
              </w:rPr>
            </w:pPr>
          </w:p>
        </w:tc>
        <w:tc>
          <w:tcPr>
            <w:tcW w:w="555" w:type="dxa"/>
            <w:vAlign w:val="center"/>
          </w:tcPr>
          <w:p>
            <w:pPr>
              <w:spacing w:line="300" w:lineRule="exact"/>
              <w:jc w:val="right"/>
              <w:rPr>
                <w:rFonts w:ascii="方正书宋_GBK" w:eastAsia="方正书宋_GBK"/>
                <w:b/>
              </w:rPr>
            </w:pPr>
          </w:p>
        </w:tc>
        <w:tc>
          <w:tcPr>
            <w:tcW w:w="555" w:type="dxa"/>
            <w:vAlign w:val="center"/>
          </w:tcPr>
          <w:p>
            <w:pPr>
              <w:spacing w:line="300" w:lineRule="exact"/>
              <w:jc w:val="right"/>
              <w:rPr>
                <w:rFonts w:ascii="方正书宋_GBK" w:eastAsia="方正书宋_GBK"/>
                <w:b/>
              </w:rPr>
            </w:pPr>
          </w:p>
        </w:tc>
        <w:tc>
          <w:tcPr>
            <w:tcW w:w="540" w:type="dxa"/>
            <w:vAlign w:val="center"/>
          </w:tcPr>
          <w:p>
            <w:pPr>
              <w:spacing w:line="300" w:lineRule="exact"/>
              <w:jc w:val="right"/>
              <w:rPr>
                <w:rFonts w:ascii="方正书宋_GBK" w:eastAsia="方正书宋_GBK"/>
                <w:b/>
              </w:rPr>
            </w:pPr>
          </w:p>
        </w:tc>
        <w:tc>
          <w:tcPr>
            <w:tcW w:w="1215" w:type="dxa"/>
            <w:vAlign w:val="center"/>
          </w:tcPr>
          <w:p>
            <w:pPr>
              <w:spacing w:line="300" w:lineRule="exact"/>
              <w:jc w:val="right"/>
              <w:rPr>
                <w:rFonts w:ascii="方正书宋_GBK" w:eastAsia="方正书宋_GBK"/>
                <w:b/>
              </w:rPr>
            </w:pPr>
          </w:p>
        </w:tc>
        <w:tc>
          <w:tcPr>
            <w:tcW w:w="990" w:type="dxa"/>
            <w:vAlign w:val="center"/>
          </w:tcPr>
          <w:p>
            <w:pPr>
              <w:spacing w:line="300" w:lineRule="exact"/>
              <w:jc w:val="right"/>
              <w:rPr>
                <w:rFonts w:ascii="方正书宋_GBK" w:eastAsia="方正书宋_GBK"/>
                <w:b/>
              </w:rPr>
            </w:pPr>
          </w:p>
        </w:tc>
        <w:tc>
          <w:tcPr>
            <w:tcW w:w="1200" w:type="dxa"/>
            <w:vAlign w:val="center"/>
          </w:tcPr>
          <w:p>
            <w:pPr>
              <w:spacing w:line="300" w:lineRule="exact"/>
              <w:jc w:val="right"/>
              <w:rPr>
                <w:rFonts w:ascii="方正书宋_GBK" w:eastAsia="方正书宋_GBK"/>
                <w:b/>
              </w:rPr>
            </w:pPr>
          </w:p>
        </w:tc>
        <w:tc>
          <w:tcPr>
            <w:tcW w:w="870" w:type="dxa"/>
            <w:vAlign w:val="center"/>
          </w:tcPr>
          <w:p>
            <w:pPr>
              <w:spacing w:line="300" w:lineRule="exact"/>
              <w:jc w:val="right"/>
              <w:rPr>
                <w:rFonts w:ascii="方正书宋_GBK" w:eastAsia="方正书宋_GBK"/>
                <w:b/>
              </w:rPr>
            </w:pPr>
          </w:p>
        </w:tc>
        <w:tc>
          <w:tcPr>
            <w:tcW w:w="1017"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80" w:type="dxa"/>
            <w:vAlign w:val="center"/>
          </w:tcPr>
          <w:p>
            <w:pPr>
              <w:spacing w:line="300" w:lineRule="exact"/>
              <w:jc w:val="left"/>
              <w:rPr>
                <w:rFonts w:ascii="方正书宋_GBK" w:eastAsia="方正书宋_GBK"/>
              </w:rPr>
            </w:pPr>
          </w:p>
        </w:tc>
        <w:tc>
          <w:tcPr>
            <w:tcW w:w="690" w:type="dxa"/>
            <w:vAlign w:val="center"/>
          </w:tcPr>
          <w:p>
            <w:pPr>
              <w:spacing w:line="300" w:lineRule="exact"/>
              <w:jc w:val="right"/>
              <w:rPr>
                <w:rFonts w:ascii="方正书宋_GBK" w:eastAsia="方正书宋_GBK"/>
              </w:rPr>
            </w:pPr>
          </w:p>
        </w:tc>
        <w:tc>
          <w:tcPr>
            <w:tcW w:w="750" w:type="dxa"/>
            <w:vAlign w:val="center"/>
          </w:tcPr>
          <w:p>
            <w:pPr>
              <w:spacing w:line="300" w:lineRule="exact"/>
              <w:jc w:val="left"/>
              <w:rPr>
                <w:rFonts w:ascii="方正书宋_GBK" w:eastAsia="方正书宋_GBK"/>
              </w:rPr>
            </w:pPr>
          </w:p>
        </w:tc>
        <w:tc>
          <w:tcPr>
            <w:tcW w:w="780" w:type="dxa"/>
            <w:vAlign w:val="center"/>
          </w:tcPr>
          <w:p>
            <w:pPr>
              <w:spacing w:line="300" w:lineRule="exact"/>
              <w:jc w:val="left"/>
              <w:rPr>
                <w:rFonts w:ascii="方正书宋_GBK" w:eastAsia="方正书宋_GBK"/>
              </w:rPr>
            </w:pPr>
          </w:p>
        </w:tc>
        <w:tc>
          <w:tcPr>
            <w:tcW w:w="600" w:type="dxa"/>
            <w:vAlign w:val="center"/>
          </w:tcPr>
          <w:p>
            <w:pPr>
              <w:spacing w:line="300" w:lineRule="exact"/>
              <w:jc w:val="center"/>
              <w:rPr>
                <w:rFonts w:ascii="方正书宋_GBK" w:eastAsia="方正书宋_GBK"/>
              </w:rPr>
            </w:pPr>
          </w:p>
        </w:tc>
        <w:tc>
          <w:tcPr>
            <w:tcW w:w="555" w:type="dxa"/>
            <w:vAlign w:val="center"/>
          </w:tcPr>
          <w:p>
            <w:pPr>
              <w:spacing w:line="300" w:lineRule="exact"/>
              <w:jc w:val="right"/>
              <w:rPr>
                <w:rFonts w:ascii="方正书宋_GBK" w:eastAsia="方正书宋_GBK"/>
              </w:rPr>
            </w:pPr>
          </w:p>
        </w:tc>
        <w:tc>
          <w:tcPr>
            <w:tcW w:w="555" w:type="dxa"/>
            <w:vAlign w:val="center"/>
          </w:tcPr>
          <w:p>
            <w:pPr>
              <w:spacing w:line="300" w:lineRule="exact"/>
              <w:jc w:val="right"/>
              <w:rPr>
                <w:rFonts w:ascii="方正书宋_GBK" w:eastAsia="方正书宋_GBK"/>
              </w:rPr>
            </w:pPr>
          </w:p>
        </w:tc>
        <w:tc>
          <w:tcPr>
            <w:tcW w:w="540" w:type="dxa"/>
            <w:vAlign w:val="center"/>
          </w:tcPr>
          <w:p>
            <w:pPr>
              <w:spacing w:line="300" w:lineRule="exact"/>
              <w:jc w:val="right"/>
              <w:rPr>
                <w:rFonts w:ascii="方正书宋_GBK" w:eastAsia="方正书宋_GBK"/>
              </w:rPr>
            </w:pPr>
          </w:p>
        </w:tc>
        <w:tc>
          <w:tcPr>
            <w:tcW w:w="1215" w:type="dxa"/>
            <w:vAlign w:val="center"/>
          </w:tcPr>
          <w:p>
            <w:pPr>
              <w:spacing w:line="300" w:lineRule="exact"/>
              <w:jc w:val="right"/>
              <w:rPr>
                <w:rFonts w:ascii="方正书宋_GBK" w:eastAsia="方正书宋_GBK"/>
              </w:rPr>
            </w:pPr>
          </w:p>
        </w:tc>
        <w:tc>
          <w:tcPr>
            <w:tcW w:w="990" w:type="dxa"/>
            <w:vAlign w:val="center"/>
          </w:tcPr>
          <w:p>
            <w:pPr>
              <w:spacing w:line="300" w:lineRule="exact"/>
              <w:jc w:val="right"/>
              <w:rPr>
                <w:rFonts w:ascii="方正书宋_GBK" w:eastAsia="方正书宋_GBK"/>
              </w:rPr>
            </w:pPr>
          </w:p>
        </w:tc>
        <w:tc>
          <w:tcPr>
            <w:tcW w:w="1200" w:type="dxa"/>
            <w:vAlign w:val="center"/>
          </w:tcPr>
          <w:p>
            <w:pPr>
              <w:spacing w:line="300" w:lineRule="exact"/>
              <w:jc w:val="right"/>
              <w:rPr>
                <w:rFonts w:ascii="方正书宋_GBK" w:eastAsia="方正书宋_GBK"/>
              </w:rPr>
            </w:pPr>
          </w:p>
        </w:tc>
        <w:tc>
          <w:tcPr>
            <w:tcW w:w="870" w:type="dxa"/>
            <w:vAlign w:val="center"/>
          </w:tcPr>
          <w:p>
            <w:pPr>
              <w:spacing w:line="300" w:lineRule="exact"/>
              <w:jc w:val="right"/>
              <w:rPr>
                <w:rFonts w:ascii="方正书宋_GBK" w:eastAsia="方正书宋_GBK"/>
              </w:rPr>
            </w:pPr>
          </w:p>
        </w:tc>
        <w:tc>
          <w:tcPr>
            <w:tcW w:w="1017" w:type="dxa"/>
            <w:vAlign w:val="center"/>
          </w:tcPr>
          <w:p>
            <w:pPr>
              <w:spacing w:line="300" w:lineRule="exact"/>
              <w:jc w:val="right"/>
              <w:rPr>
                <w:rFonts w:ascii="方正书宋_GBK" w:eastAsia="方正书宋_GBK"/>
              </w:rPr>
            </w:pPr>
          </w:p>
        </w:tc>
      </w:tr>
    </w:tbl>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lang w:val="en-US" w:eastAsia="zh-CN"/>
        </w:rPr>
        <w:t>七</w:t>
      </w:r>
      <w:r>
        <w:rPr>
          <w:rFonts w:hint="eastAsia" w:ascii="黑体" w:hAnsi="黑体" w:eastAsia="黑体" w:cs="Times New Roman"/>
          <w:sz w:val="32"/>
          <w:szCs w:val="32"/>
        </w:rPr>
        <w:t>、国有资产信息</w:t>
      </w:r>
    </w:p>
    <w:tbl>
      <w:tblPr>
        <w:tblStyle w:val="7"/>
        <w:tblpPr w:leftFromText="180" w:rightFromText="180" w:vertAnchor="text" w:horzAnchor="page" w:tblpX="1883" w:tblpY="1712"/>
        <w:tblOverlap w:val="never"/>
        <w:tblW w:w="9920" w:type="dxa"/>
        <w:tblInd w:w="0" w:type="dxa"/>
        <w:tblLayout w:type="fixed"/>
        <w:tblCellMar>
          <w:top w:w="0" w:type="dxa"/>
          <w:left w:w="108" w:type="dxa"/>
          <w:bottom w:w="0" w:type="dxa"/>
          <w:right w:w="108" w:type="dxa"/>
        </w:tblCellMar>
      </w:tblPr>
      <w:tblGrid>
        <w:gridCol w:w="2135"/>
        <w:gridCol w:w="1084"/>
        <w:gridCol w:w="6701"/>
      </w:tblGrid>
      <w:tr>
        <w:tblPrEx>
          <w:tblCellMar>
            <w:top w:w="0" w:type="dxa"/>
            <w:left w:w="108" w:type="dxa"/>
            <w:bottom w:w="0" w:type="dxa"/>
            <w:right w:w="108" w:type="dxa"/>
          </w:tblCellMar>
        </w:tblPrEx>
        <w:trPr>
          <w:trHeight w:val="704" w:hRule="atLeast"/>
        </w:trPr>
        <w:tc>
          <w:tcPr>
            <w:tcW w:w="9920"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lang w:eastAsia="zh-CN"/>
              </w:rPr>
              <w:t>正定县水利局</w:t>
            </w: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09" w:hRule="atLeast"/>
        </w:trPr>
        <w:tc>
          <w:tcPr>
            <w:tcW w:w="321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正定县水利局</w:t>
            </w:r>
          </w:p>
        </w:tc>
        <w:tc>
          <w:tcPr>
            <w:tcW w:w="6701" w:type="dxa"/>
            <w:tcBorders>
              <w:top w:val="nil"/>
              <w:left w:val="nil"/>
              <w:bottom w:val="nil"/>
              <w:right w:val="nil"/>
            </w:tcBorders>
            <w:vAlign w:val="center"/>
          </w:tcPr>
          <w:p>
            <w:pPr>
              <w:widowControl/>
              <w:ind w:firstLine="1320" w:firstLineChars="600"/>
              <w:jc w:val="righ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hint="eastAsia" w:ascii="Times New Roman" w:hAnsi="Times New Roman" w:eastAsia="仿宋" w:cs="Times New Roman"/>
                <w:kern w:val="0"/>
                <w:sz w:val="22"/>
                <w:lang w:val="en-US" w:eastAsia="zh-CN"/>
              </w:rPr>
              <w:t xml:space="preserve">  </w:t>
            </w:r>
            <w:r>
              <w:rPr>
                <w:rFonts w:ascii="Times New Roman" w:hAnsi="Times New Roman" w:eastAsia="仿宋" w:cs="Times New Roman"/>
                <w:kern w:val="0"/>
                <w:sz w:val="22"/>
              </w:rPr>
              <w:t>2019</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54" w:hRule="atLeast"/>
        </w:trPr>
        <w:tc>
          <w:tcPr>
            <w:tcW w:w="213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1084"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6701"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54" w:hRule="atLeast"/>
        </w:trPr>
        <w:tc>
          <w:tcPr>
            <w:tcW w:w="2135"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108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6701"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auto"/>
                <w:kern w:val="0"/>
                <w:sz w:val="22"/>
                <w:lang w:val="en-US" w:eastAsia="zh-CN"/>
              </w:rPr>
              <w:t>636.27</w:t>
            </w:r>
          </w:p>
        </w:tc>
      </w:tr>
      <w:tr>
        <w:tblPrEx>
          <w:tblCellMar>
            <w:top w:w="0" w:type="dxa"/>
            <w:left w:w="108" w:type="dxa"/>
            <w:bottom w:w="0" w:type="dxa"/>
            <w:right w:w="108" w:type="dxa"/>
          </w:tblCellMar>
        </w:tblPrEx>
        <w:trPr>
          <w:trHeight w:val="654" w:hRule="atLeast"/>
        </w:trPr>
        <w:tc>
          <w:tcPr>
            <w:tcW w:w="213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1084"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1395</w:t>
            </w:r>
          </w:p>
        </w:tc>
        <w:tc>
          <w:tcPr>
            <w:tcW w:w="6701"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lang w:eastAsia="zh-CN"/>
              </w:rPr>
            </w:pPr>
            <w:r>
              <w:rPr>
                <w:rFonts w:hint="eastAsia" w:ascii="Times New Roman" w:hAnsi="Times New Roman" w:eastAsia="仿宋" w:cs="Times New Roman"/>
                <w:kern w:val="0"/>
                <w:sz w:val="22"/>
                <w:lang w:val="en-US" w:eastAsia="zh-CN"/>
              </w:rPr>
              <w:t>149.16</w:t>
            </w:r>
          </w:p>
        </w:tc>
      </w:tr>
      <w:tr>
        <w:tblPrEx>
          <w:tblCellMar>
            <w:top w:w="0" w:type="dxa"/>
            <w:left w:w="108" w:type="dxa"/>
            <w:bottom w:w="0" w:type="dxa"/>
            <w:right w:w="108" w:type="dxa"/>
          </w:tblCellMar>
        </w:tblPrEx>
        <w:trPr>
          <w:trHeight w:val="654" w:hRule="atLeast"/>
        </w:trPr>
        <w:tc>
          <w:tcPr>
            <w:tcW w:w="213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1084"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951</w:t>
            </w:r>
          </w:p>
        </w:tc>
        <w:tc>
          <w:tcPr>
            <w:tcW w:w="6701"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124.38</w:t>
            </w:r>
          </w:p>
        </w:tc>
      </w:tr>
      <w:tr>
        <w:tblPrEx>
          <w:tblCellMar>
            <w:top w:w="0" w:type="dxa"/>
            <w:left w:w="108" w:type="dxa"/>
            <w:bottom w:w="0" w:type="dxa"/>
            <w:right w:w="108" w:type="dxa"/>
          </w:tblCellMar>
        </w:tblPrEx>
        <w:trPr>
          <w:trHeight w:val="654" w:hRule="atLeast"/>
        </w:trPr>
        <w:tc>
          <w:tcPr>
            <w:tcW w:w="213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1084"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10</w:t>
            </w:r>
          </w:p>
        </w:tc>
        <w:tc>
          <w:tcPr>
            <w:tcW w:w="6701"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142.05</w:t>
            </w:r>
          </w:p>
        </w:tc>
      </w:tr>
      <w:tr>
        <w:tblPrEx>
          <w:tblCellMar>
            <w:top w:w="0" w:type="dxa"/>
            <w:left w:w="108" w:type="dxa"/>
            <w:bottom w:w="0" w:type="dxa"/>
            <w:right w:w="108" w:type="dxa"/>
          </w:tblCellMar>
        </w:tblPrEx>
        <w:trPr>
          <w:trHeight w:val="654" w:hRule="atLeast"/>
        </w:trPr>
        <w:tc>
          <w:tcPr>
            <w:tcW w:w="213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108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6701"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64" w:hRule="atLeast"/>
        </w:trPr>
        <w:tc>
          <w:tcPr>
            <w:tcW w:w="213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108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6701"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345.06</w:t>
            </w:r>
          </w:p>
        </w:tc>
      </w:tr>
    </w:tbl>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正定县水利局</w:t>
      </w:r>
      <w:r>
        <w:rPr>
          <w:rFonts w:ascii="Times New Roman" w:hAnsi="Times New Roman" w:eastAsia="仿宋" w:cs="Times New Roman"/>
          <w:color w:val="000000"/>
          <w:sz w:val="32"/>
          <w:szCs w:val="32"/>
        </w:rPr>
        <w:t>2019</w:t>
      </w:r>
      <w:r>
        <w:rPr>
          <w:rFonts w:hint="eastAsia"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636.27</w:t>
      </w:r>
      <w:r>
        <w:rPr>
          <w:rFonts w:hint="eastAsia" w:ascii="Times New Roman" w:hAnsi="Times New Roman" w:eastAsia="仿宋" w:cs="Times New Roman"/>
          <w:color w:val="000000"/>
          <w:sz w:val="32"/>
          <w:szCs w:val="32"/>
        </w:rPr>
        <w:t>万元（详见下表），</w:t>
      </w:r>
      <w:r>
        <w:rPr>
          <w:rFonts w:hint="eastAsia" w:ascii="仿宋" w:hAnsi="仿宋" w:eastAsia="仿宋" w:cs="仿宋"/>
          <w:sz w:val="32"/>
          <w:szCs w:val="32"/>
          <w:highlight w:val="none"/>
          <w:lang w:val="en-US" w:eastAsia="zh-CN"/>
        </w:rPr>
        <w:t>2020</w:t>
      </w:r>
      <w:r>
        <w:rPr>
          <w:rFonts w:hint="eastAsia" w:ascii="仿宋" w:hAnsi="仿宋" w:eastAsia="仿宋" w:cs="仿宋"/>
          <w:sz w:val="32"/>
          <w:szCs w:val="32"/>
          <w:highlight w:val="none"/>
        </w:rPr>
        <w:t>年我部门未安排固定资产购置</w:t>
      </w:r>
      <w:r>
        <w:rPr>
          <w:rFonts w:hint="eastAsia" w:ascii="仿宋" w:hAnsi="仿宋" w:eastAsia="仿宋" w:cs="仿宋"/>
          <w:color w:val="000000"/>
          <w:sz w:val="32"/>
          <w:szCs w:val="32"/>
          <w:highlight w:val="none"/>
        </w:rPr>
        <w:t>预算。</w:t>
      </w: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lang w:val="en-US" w:eastAsia="zh-CN"/>
        </w:rPr>
        <w:t xml:space="preserve">    八</w:t>
      </w:r>
      <w:r>
        <w:rPr>
          <w:rFonts w:hint="eastAsia" w:ascii="黑体" w:hAnsi="黑体" w:eastAsia="黑体" w:cs="Times New Roman"/>
          <w:sz w:val="32"/>
          <w:szCs w:val="32"/>
        </w:rPr>
        <w:t>、名词解释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lang w:val="en-US" w:eastAsia="zh-CN"/>
        </w:rPr>
        <w:t>九</w:t>
      </w:r>
      <w:r>
        <w:rPr>
          <w:rFonts w:hint="eastAsia" w:ascii="宋体-方正超大字符集" w:hAnsi="宋体-方正超大字符集" w:eastAsia="宋体-方正超大字符集" w:cs="宋体-方正超大字符集"/>
          <w:b/>
          <w:bCs/>
          <w:sz w:val="32"/>
          <w:szCs w:val="32"/>
        </w:rPr>
        <w:t>、其他需要说明的事项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1906" w:h="16838"/>
      <w:pgMar w:top="1440" w:right="1803" w:bottom="1440" w:left="1803"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roman"/>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方正仿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9</w:t>
    </w:r>
    <w:r>
      <w:rPr>
        <w:rStyle w:val="14"/>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14</w:t>
    </w:r>
    <w:r>
      <w:rPr>
        <w:rStyle w:val="14"/>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cumentProtection w:enforcement="0"/>
  <w:defaultTabStop w:val="420"/>
  <w:drawingGridHorizontalSpacing w:val="105"/>
  <w:drawingGridVerticalSpacing w:val="160"/>
  <w:displayHorizontalDrawingGridEvery w:val="1"/>
  <w:displayVerticalDrawingGridEvery w:val="2"/>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diZjhjOGRlMWU3ZWEzM2QzMDU3N2RjYTBjMTgzN2EifQ=="/>
  </w:docVars>
  <w:rsids>
    <w:rsidRoot w:val="00EE71BA"/>
    <w:rsid w:val="00045F57"/>
    <w:rsid w:val="000C7140"/>
    <w:rsid w:val="000E5EBF"/>
    <w:rsid w:val="002135B9"/>
    <w:rsid w:val="002B1BB3"/>
    <w:rsid w:val="00323B29"/>
    <w:rsid w:val="003857D2"/>
    <w:rsid w:val="0039059E"/>
    <w:rsid w:val="003D334E"/>
    <w:rsid w:val="004D752C"/>
    <w:rsid w:val="00505ADB"/>
    <w:rsid w:val="00623D5F"/>
    <w:rsid w:val="007A3509"/>
    <w:rsid w:val="007A7F79"/>
    <w:rsid w:val="007F0341"/>
    <w:rsid w:val="008256D7"/>
    <w:rsid w:val="00924930"/>
    <w:rsid w:val="009A521C"/>
    <w:rsid w:val="00A37DB2"/>
    <w:rsid w:val="00B76751"/>
    <w:rsid w:val="00BC6B3B"/>
    <w:rsid w:val="00BD4DF0"/>
    <w:rsid w:val="00D607DA"/>
    <w:rsid w:val="00DC6EE5"/>
    <w:rsid w:val="00EE71BA"/>
    <w:rsid w:val="00F23EBA"/>
    <w:rsid w:val="00F52C66"/>
    <w:rsid w:val="00F867E4"/>
    <w:rsid w:val="00FF2C2B"/>
    <w:rsid w:val="056D17C0"/>
    <w:rsid w:val="07F63813"/>
    <w:rsid w:val="08AF578A"/>
    <w:rsid w:val="09E34DBE"/>
    <w:rsid w:val="0A0B1BD9"/>
    <w:rsid w:val="0DF750B8"/>
    <w:rsid w:val="0DFA6D90"/>
    <w:rsid w:val="0F51084B"/>
    <w:rsid w:val="0F830259"/>
    <w:rsid w:val="110C292D"/>
    <w:rsid w:val="12702FA1"/>
    <w:rsid w:val="13355D17"/>
    <w:rsid w:val="1349738E"/>
    <w:rsid w:val="13815AFD"/>
    <w:rsid w:val="16CC65E3"/>
    <w:rsid w:val="17517D48"/>
    <w:rsid w:val="17FC4CD6"/>
    <w:rsid w:val="1ADB5925"/>
    <w:rsid w:val="22F15E82"/>
    <w:rsid w:val="24221077"/>
    <w:rsid w:val="2689136A"/>
    <w:rsid w:val="28005A3D"/>
    <w:rsid w:val="29E8033B"/>
    <w:rsid w:val="2A131E4F"/>
    <w:rsid w:val="2B262D5E"/>
    <w:rsid w:val="2EEA1C0B"/>
    <w:rsid w:val="35B16E45"/>
    <w:rsid w:val="35CC339F"/>
    <w:rsid w:val="37F14A8A"/>
    <w:rsid w:val="380D6CB2"/>
    <w:rsid w:val="386B0199"/>
    <w:rsid w:val="40106E5F"/>
    <w:rsid w:val="40631456"/>
    <w:rsid w:val="49680A30"/>
    <w:rsid w:val="4A2552C1"/>
    <w:rsid w:val="4DE9076F"/>
    <w:rsid w:val="4E145EE4"/>
    <w:rsid w:val="5126676B"/>
    <w:rsid w:val="52A97B33"/>
    <w:rsid w:val="5637071F"/>
    <w:rsid w:val="5A843FD0"/>
    <w:rsid w:val="5AC10D93"/>
    <w:rsid w:val="5CCF57BA"/>
    <w:rsid w:val="5F617B9F"/>
    <w:rsid w:val="60E971CD"/>
    <w:rsid w:val="6D2A278E"/>
    <w:rsid w:val="6DEA791F"/>
    <w:rsid w:val="6EA25FAE"/>
    <w:rsid w:val="7E5C0DA3"/>
    <w:rsid w:val="7F4C25E3"/>
  </w:rsids>
  <m:mathPr>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iPriority w:val="99"/>
  </w:style>
  <w:style w:type="table" w:default="1" w:styleId="7">
    <w:name w:val="Normal Table"/>
    <w:autoRedefine/>
    <w:unhideWhenUsed/>
    <w:qFormat/>
    <w:uiPriority w:val="99"/>
    <w:tblPr>
      <w:tblCellMar>
        <w:top w:w="0" w:type="dxa"/>
        <w:left w:w="108" w:type="dxa"/>
        <w:bottom w:w="0" w:type="dxa"/>
        <w:right w:w="108" w:type="dxa"/>
      </w:tblCellMar>
    </w:tblPr>
  </w:style>
  <w:style w:type="paragraph" w:styleId="2">
    <w:name w:val="footer"/>
    <w:basedOn w:val="1"/>
    <w:link w:val="10"/>
    <w:autoRedefine/>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2"/>
    <w:qFormat/>
    <w:uiPriority w:val="99"/>
    <w:pPr>
      <w:snapToGrid w:val="0"/>
      <w:jc w:val="left"/>
    </w:pPr>
    <w:rPr>
      <w:sz w:val="18"/>
      <w:szCs w:val="18"/>
    </w:rPr>
  </w:style>
  <w:style w:type="paragraph" w:styleId="6">
    <w:name w:val="toc 2"/>
    <w:basedOn w:val="1"/>
    <w:next w:val="1"/>
    <w:autoRedefine/>
    <w:qFormat/>
    <w:uiPriority w:val="99"/>
    <w:pPr>
      <w:ind w:left="420" w:leftChars="200"/>
    </w:pPr>
    <w:rPr>
      <w:rFonts w:ascii="Times New Roman" w:hAnsi="Times New Roman" w:cs="Times New Roman"/>
      <w:szCs w:val="24"/>
    </w:rPr>
  </w:style>
  <w:style w:type="character" w:styleId="9">
    <w:name w:val="footnote reference"/>
    <w:basedOn w:val="8"/>
    <w:autoRedefine/>
    <w:qFormat/>
    <w:uiPriority w:val="99"/>
    <w:rPr>
      <w:rFonts w:cs="Times New Roman"/>
      <w:vertAlign w:val="superscript"/>
    </w:rPr>
  </w:style>
  <w:style w:type="character" w:customStyle="1" w:styleId="10">
    <w:name w:val="Footer Char"/>
    <w:basedOn w:val="8"/>
    <w:link w:val="2"/>
    <w:semiHidden/>
    <w:qFormat/>
    <w:locked/>
    <w:uiPriority w:val="99"/>
    <w:rPr>
      <w:rFonts w:ascii="Times New Roman" w:hAnsi="Times New Roman" w:eastAsia="宋体" w:cs="Times New Roman"/>
      <w:sz w:val="18"/>
    </w:rPr>
  </w:style>
  <w:style w:type="character" w:customStyle="1" w:styleId="11">
    <w:name w:val="Header Char"/>
    <w:basedOn w:val="8"/>
    <w:link w:val="3"/>
    <w:autoRedefine/>
    <w:semiHidden/>
    <w:qFormat/>
    <w:locked/>
    <w:uiPriority w:val="99"/>
    <w:rPr>
      <w:rFonts w:ascii="Times New Roman" w:hAnsi="Times New Roman" w:eastAsia="宋体" w:cs="Times New Roman"/>
      <w:sz w:val="18"/>
    </w:rPr>
  </w:style>
  <w:style w:type="character" w:customStyle="1" w:styleId="12">
    <w:name w:val="Footnote Text Char"/>
    <w:basedOn w:val="8"/>
    <w:link w:val="5"/>
    <w:autoRedefine/>
    <w:semiHidden/>
    <w:qFormat/>
    <w:locked/>
    <w:uiPriority w:val="99"/>
    <w:rPr>
      <w:rFonts w:ascii="Calibri" w:hAnsi="Calibri" w:cs="黑体"/>
      <w:sz w:val="18"/>
      <w:szCs w:val="18"/>
    </w:rPr>
  </w:style>
  <w:style w:type="paragraph" w:customStyle="1" w:styleId="13">
    <w:name w:val="Char"/>
    <w:basedOn w:val="1"/>
    <w:qFormat/>
    <w:uiPriority w:val="99"/>
    <w:rPr>
      <w:rFonts w:ascii="Times New Roman" w:hAnsi="Times New Roman" w:cs="Times New Roman"/>
      <w:szCs w:val="24"/>
    </w:rPr>
  </w:style>
  <w:style w:type="character" w:customStyle="1" w:styleId="14">
    <w:name w:val="页码1"/>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12</Pages>
  <Words>4750</Words>
  <Characters>5072</Characters>
  <Lines>0</Lines>
  <Paragraphs>0</Paragraphs>
  <TotalTime>1</TotalTime>
  <ScaleCrop>false</ScaleCrop>
  <LinksUpToDate>false</LinksUpToDate>
  <CharactersWithSpaces>5131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sky</cp:lastModifiedBy>
  <cp:lastPrinted>2020-01-10T15:53:00Z</cp:lastPrinted>
  <dcterms:modified xsi:type="dcterms:W3CDTF">2024-01-12T06:16:33Z</dcterms:modified>
  <dc:title>o</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8D3BE4FA2C1F44078B3E5EDB06FC287B_12</vt:lpwstr>
  </property>
</Properties>
</file>