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p>
    <w:p>
      <w:pPr>
        <w:rPr>
          <w:rFonts w:ascii="黑体" w:hAnsi="黑体" w:eastAsia="黑体" w:cs="黑体"/>
          <w:b/>
          <w:color w:val="000000"/>
          <w:sz w:val="30"/>
          <w:lang w:eastAsia="zh-CN"/>
        </w:rP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25</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711正定县总工会</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66.62</w:t>
            </w:r>
          </w:p>
        </w:tc>
        <w:tc>
          <w:tcPr>
            <w:tcW w:w="4535" w:type="dxa"/>
            <w:vAlign w:val="center"/>
          </w:tcPr>
          <w:p>
            <w:pPr>
              <w:pStyle w:val="12"/>
            </w:pPr>
            <w:r>
              <w:t>一、一般公共服务支出</w:t>
            </w:r>
          </w:p>
        </w:tc>
        <w:tc>
          <w:tcPr>
            <w:tcW w:w="2126" w:type="dxa"/>
            <w:vAlign w:val="center"/>
          </w:tcPr>
          <w:p>
            <w:pPr>
              <w:pStyle w:val="11"/>
            </w:pPr>
            <w:r>
              <w:t>66.62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66.62</w:t>
            </w:r>
          </w:p>
        </w:tc>
        <w:tc>
          <w:tcPr>
            <w:tcW w:w="4535" w:type="dxa"/>
            <w:vAlign w:val="center"/>
          </w:tcPr>
          <w:p>
            <w:pPr>
              <w:pStyle w:val="14"/>
            </w:pPr>
            <w:r>
              <w:t>本年支出合计</w:t>
            </w:r>
          </w:p>
        </w:tc>
        <w:tc>
          <w:tcPr>
            <w:tcW w:w="2126" w:type="dxa"/>
            <w:vAlign w:val="center"/>
          </w:tcPr>
          <w:p>
            <w:pPr>
              <w:pStyle w:val="15"/>
            </w:pPr>
            <w:r>
              <w:t>66.62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66.62</w:t>
            </w:r>
          </w:p>
        </w:tc>
        <w:tc>
          <w:tcPr>
            <w:tcW w:w="4535" w:type="dxa"/>
            <w:vAlign w:val="center"/>
          </w:tcPr>
          <w:p>
            <w:pPr>
              <w:pStyle w:val="14"/>
            </w:pPr>
            <w:r>
              <w:t>支出总计</w:t>
            </w:r>
          </w:p>
        </w:tc>
        <w:tc>
          <w:tcPr>
            <w:tcW w:w="2126" w:type="dxa"/>
            <w:vAlign w:val="center"/>
          </w:tcPr>
          <w:p>
            <w:pPr>
              <w:pStyle w:val="15"/>
            </w:pPr>
            <w:r>
              <w:t>66.62</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711正定县总工会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66.62</w:t>
            </w:r>
          </w:p>
        </w:tc>
        <w:tc>
          <w:tcPr>
            <w:tcW w:w="1134" w:type="dxa"/>
            <w:vAlign w:val="center"/>
          </w:tcPr>
          <w:p>
            <w:pPr>
              <w:pStyle w:val="15"/>
            </w:pPr>
            <w:r>
              <w:t>66.62</w:t>
            </w:r>
          </w:p>
        </w:tc>
        <w:tc>
          <w:tcPr>
            <w:tcW w:w="1134" w:type="dxa"/>
            <w:vAlign w:val="center"/>
          </w:tcPr>
          <w:p>
            <w:pPr>
              <w:pStyle w:val="15"/>
            </w:pPr>
            <w:r>
              <w:t>66.62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66.62</w:t>
            </w:r>
          </w:p>
        </w:tc>
        <w:tc>
          <w:tcPr>
            <w:tcW w:w="1134" w:type="dxa"/>
            <w:vAlign w:val="center"/>
          </w:tcPr>
          <w:p>
            <w:pPr>
              <w:pStyle w:val="11"/>
            </w:pPr>
            <w:r>
              <w:t>66.62</w:t>
            </w:r>
          </w:p>
        </w:tc>
        <w:tc>
          <w:tcPr>
            <w:tcW w:w="1134" w:type="dxa"/>
            <w:vAlign w:val="center"/>
          </w:tcPr>
          <w:p>
            <w:pPr>
              <w:pStyle w:val="11"/>
            </w:pPr>
            <w:r>
              <w:t>66.62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66.62</w:t>
            </w:r>
          </w:p>
        </w:tc>
        <w:tc>
          <w:tcPr>
            <w:tcW w:w="1134" w:type="dxa"/>
            <w:vAlign w:val="center"/>
          </w:tcPr>
          <w:p>
            <w:pPr>
              <w:pStyle w:val="11"/>
            </w:pPr>
            <w:r>
              <w:t>66.62</w:t>
            </w:r>
          </w:p>
        </w:tc>
        <w:tc>
          <w:tcPr>
            <w:tcW w:w="1134" w:type="dxa"/>
            <w:vAlign w:val="center"/>
          </w:tcPr>
          <w:p>
            <w:pPr>
              <w:pStyle w:val="11"/>
            </w:pPr>
            <w:r>
              <w:t>66.62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2012906</w:t>
            </w:r>
          </w:p>
        </w:tc>
        <w:tc>
          <w:tcPr>
            <w:tcW w:w="1559" w:type="dxa"/>
            <w:vAlign w:val="center"/>
          </w:tcPr>
          <w:p>
            <w:pPr>
              <w:pStyle w:val="12"/>
            </w:pPr>
            <w:r>
              <w:t>工会事务</w:t>
            </w:r>
          </w:p>
        </w:tc>
        <w:tc>
          <w:tcPr>
            <w:tcW w:w="1134" w:type="dxa"/>
            <w:vAlign w:val="center"/>
          </w:tcPr>
          <w:p>
            <w:pPr>
              <w:pStyle w:val="11"/>
            </w:pPr>
            <w:r>
              <w:t>22.62</w:t>
            </w:r>
          </w:p>
        </w:tc>
        <w:tc>
          <w:tcPr>
            <w:tcW w:w="1134" w:type="dxa"/>
            <w:vAlign w:val="center"/>
          </w:tcPr>
          <w:p>
            <w:pPr>
              <w:pStyle w:val="11"/>
            </w:pPr>
            <w:r>
              <w:t>22.62</w:t>
            </w:r>
          </w:p>
        </w:tc>
        <w:tc>
          <w:tcPr>
            <w:tcW w:w="1134" w:type="dxa"/>
            <w:vAlign w:val="center"/>
          </w:tcPr>
          <w:p>
            <w:pPr>
              <w:pStyle w:val="11"/>
            </w:pPr>
            <w:r>
              <w:t>22.62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711正定县总工会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66.62</w:t>
            </w:r>
          </w:p>
        </w:tc>
        <w:tc>
          <w:tcPr>
            <w:tcW w:w="1361" w:type="dxa"/>
            <w:vAlign w:val="center"/>
          </w:tcPr>
          <w:p>
            <w:pPr>
              <w:pStyle w:val="15"/>
            </w:pPr>
            <w:r>
              <w:t>2.40</w:t>
            </w:r>
          </w:p>
        </w:tc>
        <w:tc>
          <w:tcPr>
            <w:tcW w:w="1361" w:type="dxa"/>
            <w:vAlign w:val="center"/>
          </w:tcPr>
          <w:p>
            <w:pPr>
              <w:pStyle w:val="15"/>
            </w:pPr>
            <w:r>
              <w:t>64.22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66.62</w:t>
            </w:r>
          </w:p>
        </w:tc>
        <w:tc>
          <w:tcPr>
            <w:tcW w:w="1361" w:type="dxa"/>
            <w:vAlign w:val="center"/>
          </w:tcPr>
          <w:p>
            <w:pPr>
              <w:pStyle w:val="11"/>
            </w:pPr>
            <w:r>
              <w:t>2.40</w:t>
            </w:r>
          </w:p>
        </w:tc>
        <w:tc>
          <w:tcPr>
            <w:tcW w:w="1361" w:type="dxa"/>
            <w:vAlign w:val="center"/>
          </w:tcPr>
          <w:p>
            <w:pPr>
              <w:pStyle w:val="11"/>
            </w:pPr>
            <w:r>
              <w:t>64.22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66.62</w:t>
            </w:r>
          </w:p>
        </w:tc>
        <w:tc>
          <w:tcPr>
            <w:tcW w:w="1361" w:type="dxa"/>
            <w:vAlign w:val="center"/>
          </w:tcPr>
          <w:p>
            <w:pPr>
              <w:pStyle w:val="11"/>
            </w:pPr>
            <w:r>
              <w:t>2.40</w:t>
            </w:r>
          </w:p>
        </w:tc>
        <w:tc>
          <w:tcPr>
            <w:tcW w:w="1361" w:type="dxa"/>
            <w:vAlign w:val="center"/>
          </w:tcPr>
          <w:p>
            <w:pPr>
              <w:pStyle w:val="11"/>
            </w:pPr>
            <w:r>
              <w:t>64.22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2012906</w:t>
            </w:r>
          </w:p>
        </w:tc>
        <w:tc>
          <w:tcPr>
            <w:tcW w:w="4535" w:type="dxa"/>
            <w:vAlign w:val="center"/>
          </w:tcPr>
          <w:p>
            <w:pPr>
              <w:pStyle w:val="12"/>
            </w:pPr>
            <w:r>
              <w:t>工会事务</w:t>
            </w:r>
          </w:p>
        </w:tc>
        <w:tc>
          <w:tcPr>
            <w:tcW w:w="1361" w:type="dxa"/>
            <w:vAlign w:val="center"/>
          </w:tcPr>
          <w:p>
            <w:pPr>
              <w:pStyle w:val="11"/>
            </w:pPr>
            <w:r>
              <w:t>22.62</w:t>
            </w:r>
          </w:p>
        </w:tc>
        <w:tc>
          <w:tcPr>
            <w:tcW w:w="1361" w:type="dxa"/>
            <w:vAlign w:val="center"/>
          </w:tcPr>
          <w:p>
            <w:pPr>
              <w:pStyle w:val="11"/>
            </w:pPr>
            <w:r>
              <w:t>2.40</w:t>
            </w:r>
          </w:p>
        </w:tc>
        <w:tc>
          <w:tcPr>
            <w:tcW w:w="1361" w:type="dxa"/>
            <w:vAlign w:val="center"/>
          </w:tcPr>
          <w:p>
            <w:pPr>
              <w:pStyle w:val="11"/>
            </w:pPr>
            <w:r>
              <w:t>20.22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711正定县总工会</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66.62</w:t>
            </w:r>
          </w:p>
        </w:tc>
        <w:tc>
          <w:tcPr>
            <w:tcW w:w="3402" w:type="dxa"/>
            <w:vAlign w:val="center"/>
          </w:tcPr>
          <w:p>
            <w:pPr>
              <w:pStyle w:val="12"/>
            </w:pPr>
            <w:r>
              <w:t>一、一般公共服务支出</w:t>
            </w:r>
          </w:p>
        </w:tc>
        <w:tc>
          <w:tcPr>
            <w:tcW w:w="1474" w:type="dxa"/>
            <w:vAlign w:val="center"/>
          </w:tcPr>
          <w:p>
            <w:pPr>
              <w:pStyle w:val="11"/>
            </w:pPr>
            <w:r>
              <w:t>66.62</w:t>
            </w:r>
          </w:p>
        </w:tc>
        <w:tc>
          <w:tcPr>
            <w:tcW w:w="1474" w:type="dxa"/>
            <w:vAlign w:val="center"/>
          </w:tcPr>
          <w:p>
            <w:pPr>
              <w:pStyle w:val="11"/>
            </w:pPr>
            <w:r>
              <w:t>66.62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66.62</w:t>
            </w:r>
          </w:p>
        </w:tc>
        <w:tc>
          <w:tcPr>
            <w:tcW w:w="3402" w:type="dxa"/>
            <w:vAlign w:val="center"/>
          </w:tcPr>
          <w:p>
            <w:pPr>
              <w:pStyle w:val="14"/>
            </w:pPr>
            <w:r>
              <w:t>本年支出合计</w:t>
            </w:r>
          </w:p>
        </w:tc>
        <w:tc>
          <w:tcPr>
            <w:tcW w:w="1474" w:type="dxa"/>
            <w:vAlign w:val="center"/>
          </w:tcPr>
          <w:p>
            <w:pPr>
              <w:pStyle w:val="15"/>
            </w:pPr>
            <w:r>
              <w:t>66.62</w:t>
            </w:r>
          </w:p>
        </w:tc>
        <w:tc>
          <w:tcPr>
            <w:tcW w:w="1474" w:type="dxa"/>
            <w:vAlign w:val="center"/>
          </w:tcPr>
          <w:p>
            <w:pPr>
              <w:pStyle w:val="15"/>
            </w:pPr>
            <w:r>
              <w:t>66.62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66.62</w:t>
            </w:r>
          </w:p>
        </w:tc>
        <w:tc>
          <w:tcPr>
            <w:tcW w:w="3402" w:type="dxa"/>
            <w:vAlign w:val="center"/>
          </w:tcPr>
          <w:p>
            <w:pPr>
              <w:pStyle w:val="14"/>
            </w:pPr>
            <w:r>
              <w:t>支出总计</w:t>
            </w:r>
          </w:p>
        </w:tc>
        <w:tc>
          <w:tcPr>
            <w:tcW w:w="1474" w:type="dxa"/>
            <w:vAlign w:val="center"/>
          </w:tcPr>
          <w:p>
            <w:pPr>
              <w:pStyle w:val="15"/>
            </w:pPr>
            <w:r>
              <w:t>66.62</w:t>
            </w:r>
          </w:p>
        </w:tc>
        <w:tc>
          <w:tcPr>
            <w:tcW w:w="1474" w:type="dxa"/>
            <w:vAlign w:val="center"/>
          </w:tcPr>
          <w:p>
            <w:pPr>
              <w:pStyle w:val="15"/>
            </w:pPr>
            <w:r>
              <w:t>66.62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711正定县总工会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66.62</w:t>
            </w:r>
          </w:p>
        </w:tc>
        <w:tc>
          <w:tcPr>
            <w:tcW w:w="2551" w:type="dxa"/>
            <w:vAlign w:val="center"/>
          </w:tcPr>
          <w:p>
            <w:pPr>
              <w:pStyle w:val="15"/>
            </w:pPr>
            <w:r>
              <w:t>2.40</w:t>
            </w:r>
          </w:p>
        </w:tc>
        <w:tc>
          <w:tcPr>
            <w:tcW w:w="2551" w:type="dxa"/>
            <w:vAlign w:val="center"/>
          </w:tcPr>
          <w:p>
            <w:pPr>
              <w:pStyle w:val="15"/>
            </w:pPr>
            <w:r>
              <w:t>64.22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66.62</w:t>
            </w:r>
          </w:p>
        </w:tc>
        <w:tc>
          <w:tcPr>
            <w:tcW w:w="2551" w:type="dxa"/>
            <w:vAlign w:val="center"/>
          </w:tcPr>
          <w:p>
            <w:pPr>
              <w:pStyle w:val="11"/>
            </w:pPr>
            <w:r>
              <w:t>2.40</w:t>
            </w:r>
          </w:p>
        </w:tc>
        <w:tc>
          <w:tcPr>
            <w:tcW w:w="2551" w:type="dxa"/>
            <w:vAlign w:val="center"/>
          </w:tcPr>
          <w:p>
            <w:pPr>
              <w:pStyle w:val="11"/>
            </w:pPr>
            <w:r>
              <w:t>64.22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66.62</w:t>
            </w:r>
          </w:p>
        </w:tc>
        <w:tc>
          <w:tcPr>
            <w:tcW w:w="2551" w:type="dxa"/>
            <w:vAlign w:val="center"/>
          </w:tcPr>
          <w:p>
            <w:pPr>
              <w:pStyle w:val="11"/>
            </w:pPr>
            <w:r>
              <w:t>2.40</w:t>
            </w:r>
          </w:p>
        </w:tc>
        <w:tc>
          <w:tcPr>
            <w:tcW w:w="2551" w:type="dxa"/>
            <w:vAlign w:val="center"/>
          </w:tcPr>
          <w:p>
            <w:pPr>
              <w:pStyle w:val="11"/>
            </w:pPr>
            <w:r>
              <w:t>64.22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44.00</w:t>
            </w:r>
          </w:p>
        </w:tc>
        <w:tc>
          <w:tcPr>
            <w:tcW w:w="2551" w:type="dxa"/>
            <w:vAlign w:val="center"/>
          </w:tcPr>
          <w:p>
            <w:pPr>
              <w:pStyle w:val="11"/>
            </w:pPr>
          </w:p>
        </w:tc>
        <w:tc>
          <w:tcPr>
            <w:tcW w:w="2551" w:type="dxa"/>
            <w:vAlign w:val="center"/>
          </w:tcPr>
          <w:p>
            <w:pPr>
              <w:pStyle w:val="11"/>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2012906</w:t>
            </w:r>
          </w:p>
        </w:tc>
        <w:tc>
          <w:tcPr>
            <w:tcW w:w="4535" w:type="dxa"/>
            <w:vAlign w:val="center"/>
          </w:tcPr>
          <w:p>
            <w:pPr>
              <w:pStyle w:val="12"/>
            </w:pPr>
            <w:r>
              <w:t>工会事务</w:t>
            </w:r>
          </w:p>
        </w:tc>
        <w:tc>
          <w:tcPr>
            <w:tcW w:w="2551" w:type="dxa"/>
            <w:vAlign w:val="center"/>
          </w:tcPr>
          <w:p>
            <w:pPr>
              <w:pStyle w:val="11"/>
            </w:pPr>
            <w:r>
              <w:t>22.62</w:t>
            </w:r>
          </w:p>
        </w:tc>
        <w:tc>
          <w:tcPr>
            <w:tcW w:w="2551" w:type="dxa"/>
            <w:vAlign w:val="center"/>
          </w:tcPr>
          <w:p>
            <w:pPr>
              <w:pStyle w:val="11"/>
            </w:pPr>
            <w:r>
              <w:t>2.40</w:t>
            </w:r>
          </w:p>
        </w:tc>
        <w:tc>
          <w:tcPr>
            <w:tcW w:w="2551" w:type="dxa"/>
            <w:vAlign w:val="center"/>
          </w:tcPr>
          <w:p>
            <w:pPr>
              <w:pStyle w:val="11"/>
            </w:pPr>
            <w:r>
              <w:t>20.22</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711正定县总工会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2.40</w:t>
            </w:r>
          </w:p>
        </w:tc>
        <w:tc>
          <w:tcPr>
            <w:tcW w:w="2551" w:type="dxa"/>
            <w:vAlign w:val="center"/>
          </w:tcPr>
          <w:p>
            <w:pPr>
              <w:pStyle w:val="15"/>
            </w:pPr>
            <w:r>
              <w:t>0.92</w:t>
            </w:r>
          </w:p>
        </w:tc>
        <w:tc>
          <w:tcPr>
            <w:tcW w:w="2551" w:type="dxa"/>
            <w:vAlign w:val="center"/>
          </w:tcPr>
          <w:p>
            <w:pPr>
              <w:pStyle w:val="15"/>
            </w:pPr>
            <w:r>
              <w:t>1.48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1.48</w:t>
            </w:r>
          </w:p>
        </w:tc>
        <w:tc>
          <w:tcPr>
            <w:tcW w:w="2551" w:type="dxa"/>
            <w:vAlign w:val="center"/>
          </w:tcPr>
          <w:p>
            <w:pPr>
              <w:pStyle w:val="11"/>
            </w:pPr>
          </w:p>
        </w:tc>
        <w:tc>
          <w:tcPr>
            <w:tcW w:w="2551" w:type="dxa"/>
            <w:vAlign w:val="center"/>
          </w:tcPr>
          <w:p>
            <w:pPr>
              <w:pStyle w:val="11"/>
            </w:pPr>
            <w:r>
              <w:t>1.48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1.48</w:t>
            </w:r>
          </w:p>
        </w:tc>
        <w:tc>
          <w:tcPr>
            <w:tcW w:w="2551" w:type="dxa"/>
            <w:vAlign w:val="center"/>
          </w:tcPr>
          <w:p>
            <w:pPr>
              <w:pStyle w:val="11"/>
            </w:pPr>
          </w:p>
        </w:tc>
        <w:tc>
          <w:tcPr>
            <w:tcW w:w="2551" w:type="dxa"/>
            <w:vAlign w:val="center"/>
          </w:tcPr>
          <w:p>
            <w:pPr>
              <w:pStyle w:val="11"/>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0.92</w:t>
            </w:r>
          </w:p>
        </w:tc>
        <w:tc>
          <w:tcPr>
            <w:tcW w:w="2551" w:type="dxa"/>
            <w:vAlign w:val="center"/>
          </w:tcPr>
          <w:p>
            <w:pPr>
              <w:pStyle w:val="11"/>
            </w:pPr>
            <w:r>
              <w:t>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0.92</w:t>
            </w:r>
          </w:p>
        </w:tc>
        <w:tc>
          <w:tcPr>
            <w:tcW w:w="2551" w:type="dxa"/>
            <w:vAlign w:val="center"/>
          </w:tcPr>
          <w:p>
            <w:pPr>
              <w:pStyle w:val="11"/>
            </w:pPr>
            <w:r>
              <w:t>0.92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711正定县总工会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711正定县总工会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711正定县总工会</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正定县总工会2023年部门预算信息公开情况说明</w:t>
      </w:r>
    </w:p>
    <w:p>
      <w:pPr>
        <w:jc w:val="center"/>
      </w:pPr>
      <w:r>
        <w:rPr>
          <w:rFonts w:ascii="方正小标宋_GBK" w:hAnsi="方正小标宋_GBK" w:eastAsia="方正小标宋_GBK" w:cs="方正小标宋_GBK"/>
          <w:color w:val="000000"/>
          <w:sz w:val="44"/>
        </w:rPr>
        <w:t>正定县总工会2023年部门预算信息公开情况说明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bookmarkStart w:id="18" w:name="_GoBack"/>
      <w:bookmarkEnd w:id="18"/>
      <w:r>
        <w:rPr>
          <w:rFonts w:eastAsia="方正仿宋_GBK"/>
          <w:color w:val="000000"/>
          <w:sz w:val="28"/>
        </w:rPr>
        <w:t>预算法》、《地方预决算公开操作规程》和《关于进一步推进预算公开工作的实施意见》规定，现将正定县总工会2023年部门预算公开如下：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（一）、负责贯彻执行县委工作部署和各级工会代表大会确定的方针任务及做出的决议。</w:t>
      </w:r>
    </w:p>
    <w:p>
      <w:pPr>
        <w:pStyle w:val="17"/>
      </w:pPr>
      <w:r>
        <w:t>（二）、负责组织和指导全县各级工会落实党的全心全意依靠工人阶级的根本指导方针；指导基层工会组织开展以职工代表大会为基本制度的民主决策、民主管理和民主监督工作，推行厂务公开和职工董事、职工监事制度。</w:t>
      </w:r>
    </w:p>
    <w:p>
      <w:pPr>
        <w:pStyle w:val="17"/>
      </w:pPr>
      <w:r>
        <w:t>（三）、负责职工合法权益重大问题的调查研究，及时反映职工群众的愿望和要求，并提出意见和建议；参与涉及职工切身利益和有关政策、措施、制度的制度；救助特困职工；指导劳动争议调解工作，为职工提供法律服务和法律援助，参与职工重大伤亡事故的调查处理。</w:t>
      </w:r>
    </w:p>
    <w:p>
      <w:pPr>
        <w:pStyle w:val="17"/>
      </w:pPr>
      <w:r>
        <w:t>（四）、负责指导基层工会建立集体合同制度，工资集体协商制度和监督保证机制；参与指导劳动合同签订工作。</w:t>
      </w:r>
    </w:p>
    <w:p>
      <w:pPr>
        <w:pStyle w:val="17"/>
      </w:pPr>
      <w:r>
        <w:t>（五）、负责指导全县各级工会的自身建设和各级工会干部的业务培训。</w:t>
      </w:r>
    </w:p>
    <w:p>
      <w:pPr>
        <w:pStyle w:val="17"/>
      </w:pPr>
      <w:r>
        <w:t>（六）、负责指导基层工会开展群众性的合理化建议，技术革新、劳动竞赛等经济技术创新活动。做好县及县以上劳动模范及“五一”奖章、奖状获得者的推荐、评选、表彰、培养和管理工作。</w:t>
      </w:r>
    </w:p>
    <w:p>
      <w:pPr>
        <w:pStyle w:val="17"/>
      </w:pPr>
      <w:r>
        <w:t>（七）、负责全县各级工会财务工作的政策指导和监督，工会经费和工会资产的管理、审查、审计工作；负责职工劳动福利待遇的指导和协调工作。</w:t>
      </w:r>
    </w:p>
    <w:p>
      <w:pPr>
        <w:pStyle w:val="17"/>
      </w:pPr>
      <w:r>
        <w:t>（八）、承担上级交办的其他事项。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正定县总工会本级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w:t>
      </w:r>
      <w:r>
        <w:rPr>
          <w:rFonts w:hint="eastAsia" w:eastAsiaTheme="minorEastAsia"/>
          <w:color w:val="000000"/>
          <w:sz w:val="28"/>
          <w:lang w:eastAsia="zh-CN"/>
        </w:rPr>
        <w:t>财政</w:t>
      </w:r>
      <w:r>
        <w:rPr>
          <w:rFonts w:eastAsia="方正仿宋_GBK"/>
          <w:color w:val="000000"/>
          <w:sz w:val="28"/>
        </w:rPr>
        <w:t>收入和支出都反映在预算中。正定县总工会机关及所属事业单位的收支包含在部门预算中。</w:t>
      </w:r>
    </w:p>
    <w:p>
      <w:pPr>
        <w:pStyle w:val="18"/>
      </w:pPr>
      <w:r>
        <w:t>1、收入说明</w:t>
      </w:r>
    </w:p>
    <w:p>
      <w:pPr>
        <w:pStyle w:val="18"/>
      </w:pPr>
      <w:r>
        <w:t>反应本部门当年全部财政收入。2023年部门预算财政收入66.62万元，其中：一般公共预算收入66.62万元，政府性基金预算收入0万元，财政专户核拨收入0万元，其他来源收入0万元。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应正定县总工会年度部门预算中财政支出预算的总体情况。2023年部门支出预算为66.62万元，其中基本支出2.4万元，包括人员经费0.92万元和日常公用经费1.48万元；项目支出64.22万元，项目支出主要包括：工会在职人员社保缴费32.51万元；退役军人人员经费10.14万元；工会礼堂维护费10万元；困难职工帮扶资金5万元；市级以上劳模体检资金5.22万元；省级困难职工及劳模帮扶救助资金1.35万元。</w:t>
      </w:r>
    </w:p>
    <w:p>
      <w:pPr>
        <w:pStyle w:val="18"/>
      </w:pPr>
      <w:r>
        <w:t>3、比上年增减情况</w:t>
      </w:r>
    </w:p>
    <w:p>
      <w:pPr>
        <w:pStyle w:val="18"/>
      </w:pPr>
      <w:r>
        <w:t>2023年部门预算收支安排66.62万元，较2022年预算增加13.55万元，其中：基本支出减少0.09万元，主要是退休人员减少1人；项目支出增加13.64万元，主要是工会在职人员和退役军人社保缴费基数增加。</w:t>
      </w:r>
    </w:p>
    <w:p>
      <w:pPr>
        <w:pStyle w:val="18"/>
      </w:pPr>
    </w:p>
    <w:p>
      <w:pPr>
        <w:pStyle w:val="18"/>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2023年，我部门机关运行经费共计安排1.48万元，主要用于退休人员福利费。</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rFonts w:hint="eastAsia" w:eastAsiaTheme="minorEastAsia"/>
          <w:lang w:eastAsia="zh-CN"/>
        </w:rPr>
      </w:pPr>
      <w:r>
        <w:t>2023年，我部门财政拨款“三公”经费预算安排0万元，其中：因公出国（境）费0万元；公务用车购置及运维费0万元（其中：公务用车购置费0万元，公务用车运行维护费0万元）；公务接待费0万元。</w:t>
      </w:r>
      <w:r>
        <w:rPr>
          <w:rFonts w:hint="eastAsia"/>
          <w:lang w:eastAsia="zh-CN"/>
        </w:rPr>
        <w:t>与2022年相比持平，</w:t>
      </w:r>
      <w:r>
        <w:t>无增减变化</w:t>
      </w:r>
      <w:r>
        <w:rPr>
          <w:rFonts w:hint="eastAsia" w:eastAsiaTheme="minorEastAsia"/>
          <w:lang w:eastAsia="zh-CN"/>
        </w:rPr>
        <w:t>，原因：无出国境计划，无公车采购计划，公车运维所需预算资金相同，公务接待量无增减变化。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rPr>
          <w:rFonts w:hint="eastAsia"/>
          <w:lang w:eastAsia="zh-CN"/>
        </w:rPr>
        <w:t>1</w:t>
      </w:r>
      <w:r>
        <w:t>、提高职工代表大会制度和联席会议制度的规范化和有效性。</w:t>
      </w:r>
    </w:p>
    <w:p>
      <w:pPr>
        <w:pStyle w:val="21"/>
      </w:pPr>
      <w:r>
        <w:rPr>
          <w:rFonts w:hint="eastAsia"/>
          <w:lang w:eastAsia="zh-CN"/>
        </w:rPr>
        <w:t>2</w:t>
      </w:r>
      <w:r>
        <w:t>、维护好以工资为核心的各项劳动经济权益，让广大职工共享经济发展成果，全力维护职工队伍和谐稳定。</w:t>
      </w:r>
    </w:p>
    <w:p>
      <w:pPr>
        <w:pStyle w:val="21"/>
      </w:pPr>
      <w:r>
        <w:rPr>
          <w:rFonts w:hint="eastAsia"/>
          <w:lang w:eastAsia="zh-CN"/>
        </w:rPr>
        <w:t>3</w:t>
      </w:r>
      <w:r>
        <w:t>、加强和改进劳动模范和管理服务工作，有效解决或缓解困难省劳模的生活状况。</w:t>
      </w:r>
    </w:p>
    <w:p>
      <w:pPr>
        <w:pStyle w:val="21"/>
      </w:pPr>
      <w:r>
        <w:rPr>
          <w:rFonts w:hint="eastAsia"/>
          <w:lang w:eastAsia="zh-CN"/>
        </w:rPr>
        <w:t>4</w:t>
      </w:r>
      <w:r>
        <w:t>、广大职工为全县科学发展绿色崛起大局所作的贡献进一步凸显；广大职工在创新型企业建设中的作用进一步增强；广大职工技术技能素质进一步提升；保障教学和师资培养的资金投入；提高广大职工文化生活。</w:t>
      </w:r>
    </w:p>
    <w:p>
      <w:pPr>
        <w:pStyle w:val="21"/>
      </w:pPr>
      <w:r>
        <w:rPr>
          <w:rFonts w:hint="eastAsia"/>
          <w:lang w:eastAsia="zh-CN"/>
        </w:rPr>
        <w:t>5</w:t>
      </w:r>
      <w:r>
        <w:t>、切实提高规划综合事务管理水平，保障单位的正常运行。</w:t>
      </w:r>
    </w:p>
    <w:p>
      <w:pPr>
        <w:spacing w:line="500" w:lineRule="exact"/>
        <w:ind w:firstLine="560"/>
      </w:pPr>
      <w:r>
        <w:rPr>
          <w:rFonts w:eastAsia="方正仿宋_GBK"/>
          <w:color w:val="000000"/>
          <w:sz w:val="28"/>
        </w:rPr>
        <w:t>（二）分项绩效目标</w:t>
      </w:r>
    </w:p>
    <w:p>
      <w:pPr>
        <w:pStyle w:val="22"/>
      </w:pPr>
      <w:r>
        <w:rPr>
          <w:rFonts w:hint="eastAsia"/>
          <w:lang w:eastAsia="zh-CN"/>
        </w:rPr>
        <w:t>1、</w:t>
      </w:r>
      <w:r>
        <w:t>维护职工合法权益</w:t>
      </w:r>
    </w:p>
    <w:p>
      <w:pPr>
        <w:pStyle w:val="22"/>
      </w:pPr>
      <w:r>
        <w:t>绩效目标：维护好以工资为核心的各项劳动经济权益，让广大职工共享经济发展成果，全力维护职工队伍和谐稳定；加强和改进劳动模范和管理服务工作，有效解决或缓解困难省劳模的生活状况。</w:t>
      </w:r>
    </w:p>
    <w:p>
      <w:pPr>
        <w:pStyle w:val="22"/>
      </w:pPr>
      <w:r>
        <w:t>绩效指标：为参加职工互助活动符合救助条件的职工救助率≧90%，省级困难劳模救助率≧90%。</w:t>
      </w:r>
    </w:p>
    <w:p>
      <w:pPr>
        <w:pStyle w:val="22"/>
      </w:pPr>
      <w:r>
        <w:rPr>
          <w:rFonts w:hint="eastAsia"/>
          <w:lang w:eastAsia="zh-CN"/>
        </w:rPr>
        <w:t>2、</w:t>
      </w:r>
      <w:r>
        <w:t>工会事务管理</w:t>
      </w:r>
    </w:p>
    <w:p>
      <w:pPr>
        <w:pStyle w:val="22"/>
      </w:pPr>
      <w:r>
        <w:t>绩效目标：切实提高工会综合事务管理水平，保障单位正常运行</w:t>
      </w:r>
    </w:p>
    <w:p>
      <w:pPr>
        <w:pStyle w:val="22"/>
      </w:pPr>
      <w:r>
        <w:t>绩效指标：综合事务保障率≧95%</w:t>
      </w:r>
    </w:p>
    <w:p>
      <w:pPr>
        <w:spacing w:line="500" w:lineRule="exact"/>
        <w:ind w:firstLine="560"/>
      </w:pPr>
      <w:r>
        <w:rPr>
          <w:rFonts w:eastAsia="方正仿宋_GBK"/>
          <w:color w:val="000000"/>
          <w:sz w:val="28"/>
        </w:rPr>
        <w:t>（三）工作保障措施</w:t>
      </w:r>
    </w:p>
    <w:p>
      <w:pPr>
        <w:pStyle w:val="23"/>
      </w:pPr>
      <w:r>
        <w:rPr>
          <w:rFonts w:hint="eastAsia"/>
          <w:lang w:eastAsia="zh-CN"/>
        </w:rPr>
        <w:t>1、</w:t>
      </w:r>
      <w:r>
        <w:t>完善制度建设。制定完善预算绩效管理制度，保障绩效管理的有效落实，制定资金使用和管理办法，确保资金支出有序进行，为全年预算绩效目标的实现奠定制度基础。</w:t>
      </w:r>
    </w:p>
    <w:p>
      <w:pPr>
        <w:pStyle w:val="23"/>
      </w:pPr>
      <w:r>
        <w:rPr>
          <w:rFonts w:hint="eastAsia"/>
          <w:lang w:eastAsia="zh-CN"/>
        </w:rPr>
        <w:t>2、</w:t>
      </w:r>
      <w:r>
        <w:t>加强支出管理。以项目预算绩效为依据，优化支出结构，预算编制做细做实，支出执行有章可循。资金支出安排科学合理，为项目组织实施保驾护航。</w:t>
      </w:r>
    </w:p>
    <w:p>
      <w:pPr>
        <w:pStyle w:val="23"/>
      </w:pPr>
      <w:r>
        <w:rPr>
          <w:rFonts w:hint="eastAsia"/>
          <w:lang w:eastAsia="zh-CN"/>
        </w:rPr>
        <w:t>3、</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rPr>
          <w:rFonts w:hint="eastAsia"/>
          <w:lang w:eastAsia="zh-CN"/>
        </w:rPr>
        <w:t>4、</w:t>
      </w:r>
      <w:r>
        <w:t xml:space="preserve">加强宣传培训调研等。加强人员培训，提高本部门职工业务素质；加强调研，提出优化财政资金配置、提高资金使用效益的意见；加大宣传力度，强化预算绩效管理意识，促进预算绩效管理水平进一步提升。 </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1、2023年省级困难职工及劳模帮扶救助专项资金(石财行【2022】33号）绩效目标表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lang w:eastAsia="zh-CN"/>
              </w:rPr>
            </w:pPr>
            <w:r>
              <w:t>1.对困难职工及劳模实施帮扶救助，包括生活救助、医疗救助、子女助学等三个方面</w:t>
            </w:r>
            <w:r>
              <w:rPr>
                <w:rFonts w:hint="eastAsia"/>
                <w:lang w:eastAsia="zh-CN"/>
              </w:rP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项目帮扶救助人数</w:t>
            </w:r>
          </w:p>
        </w:tc>
        <w:tc>
          <w:tcPr>
            <w:tcW w:w="2835" w:type="dxa"/>
            <w:vAlign w:val="center"/>
          </w:tcPr>
          <w:p>
            <w:pPr>
              <w:pStyle w:val="12"/>
            </w:pPr>
            <w:r>
              <w:t>救助困难职工人数</w:t>
            </w:r>
          </w:p>
        </w:tc>
        <w:tc>
          <w:tcPr>
            <w:tcW w:w="2551" w:type="dxa"/>
            <w:vAlign w:val="center"/>
          </w:tcPr>
          <w:p>
            <w:pPr>
              <w:pStyle w:val="12"/>
            </w:pPr>
            <w:r>
              <w:t>&lt;10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项目帮扶救助精准率</w:t>
            </w:r>
          </w:p>
        </w:tc>
        <w:tc>
          <w:tcPr>
            <w:tcW w:w="2835" w:type="dxa"/>
            <w:vAlign w:val="center"/>
          </w:tcPr>
          <w:p>
            <w:pPr>
              <w:pStyle w:val="12"/>
            </w:pPr>
            <w:r>
              <w:t>精准建档按项目实施救助，帮扶救助的职工占建档困职工的比率</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2835" w:type="dxa"/>
            <w:vAlign w:val="center"/>
          </w:tcPr>
          <w:p>
            <w:pPr>
              <w:pStyle w:val="12"/>
            </w:pPr>
            <w:r>
              <w:t>对困难职工救助的及时性</w:t>
            </w:r>
          </w:p>
        </w:tc>
        <w:tc>
          <w:tcPr>
            <w:tcW w:w="2551" w:type="dxa"/>
            <w:vAlign w:val="center"/>
          </w:tcPr>
          <w:p>
            <w:pPr>
              <w:pStyle w:val="12"/>
            </w:pPr>
            <w:r>
              <w:t>6月底完成50%，年底完成100%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人均救助标准</w:t>
            </w:r>
          </w:p>
        </w:tc>
        <w:tc>
          <w:tcPr>
            <w:tcW w:w="2835" w:type="dxa"/>
            <w:vAlign w:val="center"/>
          </w:tcPr>
          <w:p>
            <w:pPr>
              <w:pStyle w:val="12"/>
            </w:pPr>
            <w:r>
              <w:t>按项目标准实施救助，生活救助的资金占本地资金总额的比例</w:t>
            </w:r>
          </w:p>
        </w:tc>
        <w:tc>
          <w:tcPr>
            <w:tcW w:w="2551" w:type="dxa"/>
            <w:vAlign w:val="center"/>
          </w:tcPr>
          <w:p>
            <w:pPr>
              <w:pStyle w:val="12"/>
            </w:pPr>
            <w:r>
              <w:t>≤4500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职工生活质量有所提高</w:t>
            </w:r>
          </w:p>
        </w:tc>
        <w:tc>
          <w:tcPr>
            <w:tcW w:w="2835" w:type="dxa"/>
            <w:vAlign w:val="center"/>
          </w:tcPr>
          <w:p>
            <w:pPr>
              <w:pStyle w:val="12"/>
            </w:pPr>
            <w:r>
              <w:t>收集救助职工反馈意见</w:t>
            </w:r>
          </w:p>
        </w:tc>
        <w:tc>
          <w:tcPr>
            <w:tcW w:w="2551" w:type="dxa"/>
            <w:vAlign w:val="center"/>
          </w:tcPr>
          <w:p>
            <w:pPr>
              <w:pStyle w:val="12"/>
            </w:pPr>
            <w:r>
              <w:t>是或否</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受助职工的满意度</w:t>
            </w:r>
          </w:p>
        </w:tc>
        <w:tc>
          <w:tcPr>
            <w:tcW w:w="2835" w:type="dxa"/>
            <w:vAlign w:val="center"/>
          </w:tcPr>
          <w:p>
            <w:pPr>
              <w:pStyle w:val="12"/>
            </w:pPr>
            <w:r>
              <w:t>收集对帮扶救助工作的反馈意见</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2、工会礼堂维护费绩效目标表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lang w:eastAsia="zh-CN"/>
              </w:rPr>
            </w:pPr>
            <w:r>
              <w:t>1.做好礼堂硬件设施维护，每半年维护一次，</w:t>
            </w:r>
            <w:r>
              <w:rPr>
                <w:rFonts w:hint="eastAsia"/>
                <w:lang w:eastAsia="zh-CN"/>
              </w:rPr>
              <w:t>保障</w:t>
            </w:r>
            <w:r>
              <w:t>县委、县政府会议在工会礼堂正常召开</w:t>
            </w:r>
            <w:r>
              <w:rPr>
                <w:rFonts w:hint="eastAsia"/>
                <w:lang w:eastAsia="zh-CN"/>
              </w:rP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完工率</w:t>
            </w:r>
          </w:p>
        </w:tc>
        <w:tc>
          <w:tcPr>
            <w:tcW w:w="2835" w:type="dxa"/>
            <w:vAlign w:val="center"/>
          </w:tcPr>
          <w:p>
            <w:pPr>
              <w:pStyle w:val="12"/>
            </w:pPr>
            <w:r>
              <w:t>完工率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2835" w:type="dxa"/>
            <w:vAlign w:val="center"/>
          </w:tcPr>
          <w:p>
            <w:pPr>
              <w:pStyle w:val="12"/>
            </w:pPr>
            <w:r>
              <w:t>验收通过率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改造费</w:t>
            </w:r>
          </w:p>
        </w:tc>
        <w:tc>
          <w:tcPr>
            <w:tcW w:w="2835" w:type="dxa"/>
            <w:vAlign w:val="center"/>
          </w:tcPr>
          <w:p>
            <w:pPr>
              <w:pStyle w:val="12"/>
            </w:pPr>
            <w:r>
              <w:t>改造费</w:t>
            </w:r>
          </w:p>
        </w:tc>
        <w:tc>
          <w:tcPr>
            <w:tcW w:w="2551" w:type="dxa"/>
            <w:vAlign w:val="center"/>
          </w:tcPr>
          <w:p>
            <w:pPr>
              <w:pStyle w:val="12"/>
            </w:pPr>
            <w:r>
              <w:t>定额</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改造项目完成率</w:t>
            </w:r>
          </w:p>
        </w:tc>
        <w:tc>
          <w:tcPr>
            <w:tcW w:w="2835" w:type="dxa"/>
            <w:vAlign w:val="center"/>
          </w:tcPr>
          <w:p>
            <w:pPr>
              <w:pStyle w:val="12"/>
            </w:pPr>
            <w:r>
              <w:t>项目完成率</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3、工会在职人员社保缴费绩效目标表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 .确保在职人员养老、医疗保险按月及时缴纳。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社保缴费覆盖率</w:t>
            </w:r>
          </w:p>
        </w:tc>
        <w:tc>
          <w:tcPr>
            <w:tcW w:w="2835" w:type="dxa"/>
            <w:vAlign w:val="center"/>
          </w:tcPr>
          <w:p>
            <w:pPr>
              <w:pStyle w:val="12"/>
            </w:pPr>
            <w:r>
              <w:t>在职人员社保缴费是否全覆盖</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综合事务管理工作完成率</w:t>
            </w:r>
          </w:p>
        </w:tc>
        <w:tc>
          <w:tcPr>
            <w:tcW w:w="2835" w:type="dxa"/>
            <w:vAlign w:val="center"/>
          </w:tcPr>
          <w:p>
            <w:pPr>
              <w:pStyle w:val="12"/>
            </w:pPr>
            <w:r>
              <w:t>综合事务管理工作完成率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2835" w:type="dxa"/>
            <w:vAlign w:val="center"/>
          </w:tcPr>
          <w:p>
            <w:pPr>
              <w:pStyle w:val="12"/>
            </w:pPr>
            <w:r>
              <w:t>预算执行率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社保缴费是否按时缴纳</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社保缴费完成率</w:t>
            </w:r>
          </w:p>
        </w:tc>
        <w:tc>
          <w:tcPr>
            <w:tcW w:w="2835" w:type="dxa"/>
            <w:vAlign w:val="center"/>
          </w:tcPr>
          <w:p>
            <w:pPr>
              <w:pStyle w:val="12"/>
            </w:pPr>
            <w:r>
              <w:t>应享受社保缴费人员的受益率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职工对社保缴费的满意度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4、困难职工帮扶资金绩效目标表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 对困难职工进行生活救助和节日慰问，使困难职工感受到党的关怀。</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资助困难家庭或个人完成率</w:t>
            </w:r>
          </w:p>
        </w:tc>
        <w:tc>
          <w:tcPr>
            <w:tcW w:w="2835" w:type="dxa"/>
            <w:vAlign w:val="center"/>
          </w:tcPr>
          <w:p>
            <w:pPr>
              <w:pStyle w:val="12"/>
            </w:pPr>
            <w:r>
              <w:t>资助困难家庭或个人完成率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2835" w:type="dxa"/>
            <w:vAlign w:val="center"/>
          </w:tcPr>
          <w:p>
            <w:pPr>
              <w:pStyle w:val="12"/>
            </w:pPr>
            <w:r>
              <w:t>救助标准</w:t>
            </w:r>
          </w:p>
        </w:tc>
        <w:tc>
          <w:tcPr>
            <w:tcW w:w="2551" w:type="dxa"/>
            <w:vAlign w:val="center"/>
          </w:tcPr>
          <w:p>
            <w:pPr>
              <w:pStyle w:val="12"/>
            </w:pPr>
            <w:r>
              <w:t>按文件规定</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困难职工救助率</w:t>
            </w:r>
          </w:p>
        </w:tc>
        <w:tc>
          <w:tcPr>
            <w:tcW w:w="2835" w:type="dxa"/>
            <w:vAlign w:val="center"/>
          </w:tcPr>
          <w:p>
            <w:pPr>
              <w:pStyle w:val="12"/>
            </w:pPr>
            <w:r>
              <w:t>困难职工救助率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困难群众生活水平提升情况</w:t>
            </w:r>
          </w:p>
        </w:tc>
        <w:tc>
          <w:tcPr>
            <w:tcW w:w="2835" w:type="dxa"/>
            <w:vAlign w:val="center"/>
          </w:tcPr>
          <w:p>
            <w:pPr>
              <w:pStyle w:val="12"/>
            </w:pPr>
            <w:r>
              <w:t>困难群众生活水平提升情况</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被帮扶人员满意度</w:t>
            </w:r>
          </w:p>
        </w:tc>
        <w:tc>
          <w:tcPr>
            <w:tcW w:w="2835" w:type="dxa"/>
            <w:vAlign w:val="center"/>
          </w:tcPr>
          <w:p>
            <w:pPr>
              <w:pStyle w:val="12"/>
            </w:pPr>
            <w:r>
              <w:t>被帮扶人员满意度</w:t>
            </w:r>
          </w:p>
        </w:tc>
        <w:tc>
          <w:tcPr>
            <w:tcW w:w="2551" w:type="dxa"/>
            <w:vAlign w:val="center"/>
          </w:tcPr>
          <w:p>
            <w:pPr>
              <w:pStyle w:val="12"/>
            </w:pPr>
            <w:r>
              <w:t>≥95</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5、市级以上劳模体检资金绩效目标表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lang w:eastAsia="zh-CN"/>
              </w:rPr>
            </w:pPr>
            <w:r>
              <w:t>1. 按计划时间安排体检</w:t>
            </w:r>
            <w:r>
              <w:rPr>
                <w:rFonts w:hint="eastAsia"/>
                <w:lang w:eastAsia="zh-CN"/>
              </w:rP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建档率</w:t>
            </w:r>
          </w:p>
        </w:tc>
        <w:tc>
          <w:tcPr>
            <w:tcW w:w="2835" w:type="dxa"/>
            <w:vAlign w:val="center"/>
          </w:tcPr>
          <w:p>
            <w:pPr>
              <w:pStyle w:val="12"/>
            </w:pPr>
            <w:r>
              <w:t>劳模档案建档人率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人均体检费</w:t>
            </w:r>
          </w:p>
        </w:tc>
        <w:tc>
          <w:tcPr>
            <w:tcW w:w="2835" w:type="dxa"/>
            <w:vAlign w:val="center"/>
          </w:tcPr>
          <w:p>
            <w:pPr>
              <w:pStyle w:val="12"/>
            </w:pPr>
            <w:r>
              <w:t>人均体检费</w:t>
            </w:r>
          </w:p>
        </w:tc>
        <w:tc>
          <w:tcPr>
            <w:tcW w:w="2551" w:type="dxa"/>
            <w:vAlign w:val="center"/>
          </w:tcPr>
          <w:p>
            <w:pPr>
              <w:pStyle w:val="12"/>
            </w:pPr>
            <w:r>
              <w:t>人均体检费约350元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工作完成率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劳模体检安排的及时性</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受益率</w:t>
            </w:r>
          </w:p>
        </w:tc>
        <w:tc>
          <w:tcPr>
            <w:tcW w:w="2835" w:type="dxa"/>
            <w:vAlign w:val="center"/>
          </w:tcPr>
          <w:p>
            <w:pPr>
              <w:pStyle w:val="12"/>
            </w:pPr>
            <w:r>
              <w:t>市级以上劳模应享受待遇是否得到落实</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2835" w:type="dxa"/>
            <w:vAlign w:val="center"/>
          </w:tcPr>
          <w:p>
            <w:pPr>
              <w:pStyle w:val="12"/>
            </w:pPr>
            <w:r>
              <w:t>受益劳模对体检项目的满意度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6、退役军人人员经费绩效目标表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lang w:eastAsia="zh-CN"/>
              </w:rPr>
            </w:pPr>
            <w:r>
              <w:t xml:space="preserve">1. </w:t>
            </w:r>
            <w:r>
              <w:rPr>
                <w:rFonts w:hint="eastAsia"/>
                <w:lang w:eastAsia="zh-CN"/>
              </w:rPr>
              <w:t>保障退役军人</w:t>
            </w:r>
            <w:r>
              <w:t>工资按时发放，养老金及医保按规定缴纳</w:t>
            </w:r>
            <w:r>
              <w:rPr>
                <w:rFonts w:hint="eastAsia"/>
                <w:lang w:eastAsia="zh-CN"/>
              </w:rPr>
              <w:t>。</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支付退役人员经费</w:t>
            </w:r>
          </w:p>
        </w:tc>
        <w:tc>
          <w:tcPr>
            <w:tcW w:w="2835" w:type="dxa"/>
            <w:vAlign w:val="center"/>
          </w:tcPr>
          <w:p>
            <w:pPr>
              <w:pStyle w:val="12"/>
            </w:pPr>
            <w:r>
              <w:t>支付退役人员经费</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综合事务管理工作完成率</w:t>
            </w:r>
          </w:p>
        </w:tc>
        <w:tc>
          <w:tcPr>
            <w:tcW w:w="2835" w:type="dxa"/>
            <w:vAlign w:val="center"/>
          </w:tcPr>
          <w:p>
            <w:pPr>
              <w:pStyle w:val="12"/>
            </w:pPr>
            <w:r>
              <w:t>综合事务管理工作完成率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支付退役军人工资额</w:t>
            </w:r>
          </w:p>
        </w:tc>
        <w:tc>
          <w:tcPr>
            <w:tcW w:w="2835" w:type="dxa"/>
            <w:vAlign w:val="center"/>
          </w:tcPr>
          <w:p>
            <w:pPr>
              <w:pStyle w:val="12"/>
            </w:pPr>
            <w:r>
              <w:t>支付退役军人工资额</w:t>
            </w:r>
          </w:p>
        </w:tc>
        <w:tc>
          <w:tcPr>
            <w:tcW w:w="2551" w:type="dxa"/>
            <w:vAlign w:val="center"/>
          </w:tcPr>
          <w:p>
            <w:pPr>
              <w:pStyle w:val="12"/>
            </w:pPr>
            <w:r>
              <w:t>执行退役人员工资标准</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工资发放、社保缴费及时率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保障退役军人权益</w:t>
            </w:r>
          </w:p>
        </w:tc>
        <w:tc>
          <w:tcPr>
            <w:tcW w:w="2835" w:type="dxa"/>
            <w:vAlign w:val="center"/>
          </w:tcPr>
          <w:p>
            <w:pPr>
              <w:pStyle w:val="12"/>
            </w:pPr>
            <w:r>
              <w:t>保障退役军人权益</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2023年，正定县总工会安排政府采购预算0.00万元。具体内容见下表。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711正定县总工会</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正定县总工会（含所属单位）上年末固定资产金额为0.00万元（详见下表）。本年度拟购置固定资产总额为0.00万元。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711正定县总工会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Theme="minorEastAsia"/>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Theme="minorEastAsia"/>
          <w:color w:val="000000"/>
          <w:sz w:val="28"/>
          <w:lang w:eastAsia="zh-CN"/>
        </w:rPr>
        <w:t>。</w:t>
      </w:r>
    </w:p>
    <w:p>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diZjhjOGRlMWU3ZWEzM2QzMDU3N2RjYTBjMTgzN2EifQ=="/>
  </w:docVars>
  <w:rsids>
    <w:rsidRoot w:val="003825BE"/>
    <w:rsid w:val="00034683"/>
    <w:rsid w:val="00156C0C"/>
    <w:rsid w:val="00266F6B"/>
    <w:rsid w:val="00295EA0"/>
    <w:rsid w:val="00324F69"/>
    <w:rsid w:val="003825BE"/>
    <w:rsid w:val="0045079E"/>
    <w:rsid w:val="0048655A"/>
    <w:rsid w:val="0053485E"/>
    <w:rsid w:val="005608BD"/>
    <w:rsid w:val="005D1E2F"/>
    <w:rsid w:val="00784059"/>
    <w:rsid w:val="00BE1360"/>
    <w:rsid w:val="00CF3852"/>
    <w:rsid w:val="00E77DCF"/>
    <w:rsid w:val="00F70F76"/>
    <w:rsid w:val="03422E71"/>
    <w:rsid w:val="5DE57EA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2023-02-10T12:57:51Z</dcterms:created>
  <dcterms:modified xsi:type="dcterms:W3CDTF">2023-02-10T04:57:51Z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2023-02-10T12:57:52Z</dcterms:created>
  <dcterms:modified xsi:type="dcterms:W3CDTF">2023-02-10T04:57:52Z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2023-02-10T12:58:04Z</dcterms:created>
  <dcterms:modified xsi:type="dcterms:W3CDTF">2023-02-10T04:58:04Z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2023-02-10T12:57:54Z</dcterms:created>
  <dcterms:modified xsi:type="dcterms:W3CDTF">2023-02-10T04:57:54Z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2023-02-10T12:58:03Z</dcterms:created>
  <dcterms:modified xsi:type="dcterms:W3CDTF">2023-02-10T04:58:03Z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2023-02-10T12:57:53Z</dcterms:created>
  <dcterms:modified xsi:type="dcterms:W3CDTF">2023-02-10T04:57:53Z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2023-02-10T12:57:53Z</dcterms:created>
  <dcterms:modified xsi:type="dcterms:W3CDTF">2023-02-10T04:57:53Z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2023-02-10T12:57:55Z</dcterms:created>
  <dcterms:modified xsi:type="dcterms:W3CDTF">2023-02-10T04:57:55Z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2023-02-10T12:58:05Z</dcterms:created>
  <dcterms:modified xsi:type="dcterms:W3CDTF">2023-02-10T04:58:05Z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2023-02-10T12:58:03Z</dcterms:created>
  <dcterms:modified xsi:type="dcterms:W3CDTF">2023-02-10T04:58:03Z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2023-02-10T12:57:53Z</dcterms:created>
  <dcterms:modified xsi:type="dcterms:W3CDTF">2023-02-10T04:57:53Z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2023-02-10T12:58:03Z</dcterms:created>
  <dcterms:modified xsi:type="dcterms:W3CDTF">2023-02-10T04:58:03Z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2023-02-10T12:57:53Z</dcterms:created>
  <dcterms:modified xsi:type="dcterms:W3CDTF">2023-02-10T04:57:53Z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2023-02-10T12:58:04Z</dcterms:created>
  <dcterms:modified xsi:type="dcterms:W3CDTF">2023-02-10T04:58:04Z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2023-02-10T12:58:01Z</dcterms:created>
  <dcterms:modified xsi:type="dcterms:W3CDTF">2023-02-10T04:58:01Z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2023-02-10T12:57:54Z</dcterms:created>
  <dcterms:modified xsi:type="dcterms:W3CDTF">2023-02-10T04:57:54Z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2023-02-10T12:58:04Z</dcterms:created>
  <dcterms:modified xsi:type="dcterms:W3CDTF">2023-02-10T04:58:04Z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3FCFE66-19F6-41F2-A9C7-3CF390A21F56}">
  <ds:schemaRefs/>
</ds:datastoreItem>
</file>

<file path=customXml/itemProps10.xml><?xml version="1.0" encoding="utf-8"?>
<ds:datastoreItem xmlns:ds="http://schemas.openxmlformats.org/officeDocument/2006/customXml" ds:itemID="{AC093750-5FB1-4166-AA61-BEED052A451B}">
  <ds:schemaRefs/>
</ds:datastoreItem>
</file>

<file path=customXml/itemProps11.xml><?xml version="1.0" encoding="utf-8"?>
<ds:datastoreItem xmlns:ds="http://schemas.openxmlformats.org/officeDocument/2006/customXml" ds:itemID="{999ADD32-D48C-4661-BB85-BC1B100E29E4}">
  <ds:schemaRefs/>
</ds:datastoreItem>
</file>

<file path=customXml/itemProps12.xml><?xml version="1.0" encoding="utf-8"?>
<ds:datastoreItem xmlns:ds="http://schemas.openxmlformats.org/officeDocument/2006/customXml" ds:itemID="{8DE1A26B-C10E-4819-940F-CC86C9485D7F}">
  <ds:schemaRefs/>
</ds:datastoreItem>
</file>

<file path=customXml/itemProps13.xml><?xml version="1.0" encoding="utf-8"?>
<ds:datastoreItem xmlns:ds="http://schemas.openxmlformats.org/officeDocument/2006/customXml" ds:itemID="{D9C7B439-F668-470F-8836-F0A1E1F75821}">
  <ds:schemaRefs/>
</ds:datastoreItem>
</file>

<file path=customXml/itemProps14.xml><?xml version="1.0" encoding="utf-8"?>
<ds:datastoreItem xmlns:ds="http://schemas.openxmlformats.org/officeDocument/2006/customXml" ds:itemID="{C22B834B-C93F-42D8-A8E9-581D49A0E156}">
  <ds:schemaRefs/>
</ds:datastoreItem>
</file>

<file path=customXml/itemProps15.xml><?xml version="1.0" encoding="utf-8"?>
<ds:datastoreItem xmlns:ds="http://schemas.openxmlformats.org/officeDocument/2006/customXml" ds:itemID="{FCB85485-11B4-4253-976B-F9B81A02EB25}">
  <ds:schemaRefs/>
</ds:datastoreItem>
</file>

<file path=customXml/itemProps16.xml><?xml version="1.0" encoding="utf-8"?>
<ds:datastoreItem xmlns:ds="http://schemas.openxmlformats.org/officeDocument/2006/customXml" ds:itemID="{93EBD842-DACD-4FFF-9A02-C779A02CFB68}">
  <ds:schemaRefs/>
</ds:datastoreItem>
</file>

<file path=customXml/itemProps17.xml><?xml version="1.0" encoding="utf-8"?>
<ds:datastoreItem xmlns:ds="http://schemas.openxmlformats.org/officeDocument/2006/customXml" ds:itemID="{E0F6E13D-7522-4A32-9E48-30839487AE91}">
  <ds:schemaRefs/>
</ds:datastoreItem>
</file>

<file path=customXml/itemProps18.xml><?xml version="1.0" encoding="utf-8"?>
<ds:datastoreItem xmlns:ds="http://schemas.openxmlformats.org/officeDocument/2006/customXml" ds:itemID="{309BDA33-7490-4D55-B879-31622D74E9A0}">
  <ds:schemaRefs/>
</ds:datastoreItem>
</file>

<file path=customXml/itemProps19.xml><?xml version="1.0" encoding="utf-8"?>
<ds:datastoreItem xmlns:ds="http://schemas.openxmlformats.org/officeDocument/2006/customXml" ds:itemID="{6F354A6A-4A49-433D-B954-074AE087114F}">
  <ds:schemaRefs/>
</ds:datastoreItem>
</file>

<file path=customXml/itemProps2.xml><?xml version="1.0" encoding="utf-8"?>
<ds:datastoreItem xmlns:ds="http://schemas.openxmlformats.org/officeDocument/2006/customXml" ds:itemID="{94C20772-7320-4217-B141-1CDC09106177}">
  <ds:schemaRefs/>
</ds:datastoreItem>
</file>

<file path=customXml/itemProps20.xml><?xml version="1.0" encoding="utf-8"?>
<ds:datastoreItem xmlns:ds="http://schemas.openxmlformats.org/officeDocument/2006/customXml" ds:itemID="{05BA1F0F-AC1E-41E9-BB6D-AF59B8B95486}">
  <ds:schemaRefs/>
</ds:datastoreItem>
</file>

<file path=customXml/itemProps21.xml><?xml version="1.0" encoding="utf-8"?>
<ds:datastoreItem xmlns:ds="http://schemas.openxmlformats.org/officeDocument/2006/customXml" ds:itemID="{97ED5C0B-3E56-449F-8E94-E2575880D312}">
  <ds:schemaRefs/>
</ds:datastoreItem>
</file>

<file path=customXml/itemProps22.xml><?xml version="1.0" encoding="utf-8"?>
<ds:datastoreItem xmlns:ds="http://schemas.openxmlformats.org/officeDocument/2006/customXml" ds:itemID="{81BE9CC3-93A8-4F55-8446-58C47B880F96}">
  <ds:schemaRefs/>
</ds:datastoreItem>
</file>

<file path=customXml/itemProps23.xml><?xml version="1.0" encoding="utf-8"?>
<ds:datastoreItem xmlns:ds="http://schemas.openxmlformats.org/officeDocument/2006/customXml" ds:itemID="{8B276AEA-7EF8-450B-A09D-EDED1BF925BC}">
  <ds:schemaRefs/>
</ds:datastoreItem>
</file>

<file path=customXml/itemProps24.xml><?xml version="1.0" encoding="utf-8"?>
<ds:datastoreItem xmlns:ds="http://schemas.openxmlformats.org/officeDocument/2006/customXml" ds:itemID="{6441C2AF-FBD1-4695-BB36-3B6E1A7095C4}">
  <ds:schemaRefs/>
</ds:datastoreItem>
</file>

<file path=customXml/itemProps25.xml><?xml version="1.0" encoding="utf-8"?>
<ds:datastoreItem xmlns:ds="http://schemas.openxmlformats.org/officeDocument/2006/customXml" ds:itemID="{FE7A79C7-0104-4806-8BA1-B36A890442D8}">
  <ds:schemaRefs/>
</ds:datastoreItem>
</file>

<file path=customXml/itemProps26.xml><?xml version="1.0" encoding="utf-8"?>
<ds:datastoreItem xmlns:ds="http://schemas.openxmlformats.org/officeDocument/2006/customXml" ds:itemID="{A6DE073E-C269-48D4-92DD-7AB0A5EDE0DC}">
  <ds:schemaRefs/>
</ds:datastoreItem>
</file>

<file path=customXml/itemProps27.xml><?xml version="1.0" encoding="utf-8"?>
<ds:datastoreItem xmlns:ds="http://schemas.openxmlformats.org/officeDocument/2006/customXml" ds:itemID="{4250D90A-5411-4231-B8CB-D26FA5A93EE6}">
  <ds:schemaRefs/>
</ds:datastoreItem>
</file>

<file path=customXml/itemProps28.xml><?xml version="1.0" encoding="utf-8"?>
<ds:datastoreItem xmlns:ds="http://schemas.openxmlformats.org/officeDocument/2006/customXml" ds:itemID="{B526440B-6CCE-41DE-95F0-6FD06DCFC128}">
  <ds:schemaRefs/>
</ds:datastoreItem>
</file>

<file path=customXml/itemProps29.xml><?xml version="1.0" encoding="utf-8"?>
<ds:datastoreItem xmlns:ds="http://schemas.openxmlformats.org/officeDocument/2006/customXml" ds:itemID="{589C5160-6C1D-4DC7-BE72-5F2F23107326}">
  <ds:schemaRefs/>
</ds:datastoreItem>
</file>

<file path=customXml/itemProps3.xml><?xml version="1.0" encoding="utf-8"?>
<ds:datastoreItem xmlns:ds="http://schemas.openxmlformats.org/officeDocument/2006/customXml" ds:itemID="{C37F22A7-B973-4A8C-9B84-0FB8434FD359}">
  <ds:schemaRefs/>
</ds:datastoreItem>
</file>

<file path=customXml/itemProps30.xml><?xml version="1.0" encoding="utf-8"?>
<ds:datastoreItem xmlns:ds="http://schemas.openxmlformats.org/officeDocument/2006/customXml" ds:itemID="{986BF496-D3E8-4786-BF6D-F12D8867CBF6}">
  <ds:schemaRefs/>
</ds:datastoreItem>
</file>

<file path=customXml/itemProps31.xml><?xml version="1.0" encoding="utf-8"?>
<ds:datastoreItem xmlns:ds="http://schemas.openxmlformats.org/officeDocument/2006/customXml" ds:itemID="{2F078A32-DAAD-4E1F-9CED-BFC27FF2DC80}">
  <ds:schemaRefs/>
</ds:datastoreItem>
</file>

<file path=customXml/itemProps32.xml><?xml version="1.0" encoding="utf-8"?>
<ds:datastoreItem xmlns:ds="http://schemas.openxmlformats.org/officeDocument/2006/customXml" ds:itemID="{B01BAA9C-B910-4A9F-B193-EF9695F24E14}">
  <ds:schemaRefs/>
</ds:datastoreItem>
</file>

<file path=customXml/itemProps33.xml><?xml version="1.0" encoding="utf-8"?>
<ds:datastoreItem xmlns:ds="http://schemas.openxmlformats.org/officeDocument/2006/customXml" ds:itemID="{135C2FC1-59E1-442D-8A61-87DD3A0A193D}">
  <ds:schemaRefs/>
</ds:datastoreItem>
</file>

<file path=customXml/itemProps34.xml><?xml version="1.0" encoding="utf-8"?>
<ds:datastoreItem xmlns:ds="http://schemas.openxmlformats.org/officeDocument/2006/customXml" ds:itemID="{8931678C-DCD9-4547-9D12-A954938632E7}">
  <ds:schemaRefs/>
</ds:datastoreItem>
</file>

<file path=customXml/itemProps4.xml><?xml version="1.0" encoding="utf-8"?>
<ds:datastoreItem xmlns:ds="http://schemas.openxmlformats.org/officeDocument/2006/customXml" ds:itemID="{61F9D5A9-A758-4C0E-9559-DB7BDD5A0BFD}">
  <ds:schemaRefs/>
</ds:datastoreItem>
</file>

<file path=customXml/itemProps5.xml><?xml version="1.0" encoding="utf-8"?>
<ds:datastoreItem xmlns:ds="http://schemas.openxmlformats.org/officeDocument/2006/customXml" ds:itemID="{F6F9D6B4-EA92-45C0-95D5-80D36D0EF660}">
  <ds:schemaRefs/>
</ds:datastoreItem>
</file>

<file path=customXml/itemProps6.xml><?xml version="1.0" encoding="utf-8"?>
<ds:datastoreItem xmlns:ds="http://schemas.openxmlformats.org/officeDocument/2006/customXml" ds:itemID="{423DB3F7-AA62-4031-95A9-C5D554A15D70}">
  <ds:schemaRefs/>
</ds:datastoreItem>
</file>

<file path=customXml/itemProps7.xml><?xml version="1.0" encoding="utf-8"?>
<ds:datastoreItem xmlns:ds="http://schemas.openxmlformats.org/officeDocument/2006/customXml" ds:itemID="{19CAA7B1-BA30-42E4-89F4-87BE1A0DC424}">
  <ds:schemaRefs/>
</ds:datastoreItem>
</file>

<file path=customXml/itemProps8.xml><?xml version="1.0" encoding="utf-8"?>
<ds:datastoreItem xmlns:ds="http://schemas.openxmlformats.org/officeDocument/2006/customXml" ds:itemID="{450C3A48-4603-44FA-A3A8-3088BFFF37FC}">
  <ds:schemaRefs/>
</ds:datastoreItem>
</file>

<file path=customXml/itemProps9.xml><?xml version="1.0" encoding="utf-8"?>
<ds:datastoreItem xmlns:ds="http://schemas.openxmlformats.org/officeDocument/2006/customXml" ds:itemID="{8748F0C8-5008-4CBA-B528-CCC4AAA590A2}">
  <ds:schemaRefs/>
</ds:datastoreItem>
</file>

<file path=docProps/app.xml><?xml version="1.0" encoding="utf-8"?>
<Properties xmlns="http://schemas.openxmlformats.org/officeDocument/2006/extended-properties" xmlns:vt="http://schemas.openxmlformats.org/officeDocument/2006/docPropsVTypes">
  <Template>Normal.dotm</Template>
  <Pages>29</Pages>
  <Words>1584</Words>
  <Characters>9031</Characters>
  <Lines>75</Lines>
  <Paragraphs>21</Paragraphs>
  <TotalTime>17</TotalTime>
  <ScaleCrop>false</ScaleCrop>
  <LinksUpToDate>false</LinksUpToDate>
  <CharactersWithSpaces>10594</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2023-02-10T12:58:00Z</dcterms:created>
  <dc:creator>hp</dc:creator>
  <cp:lastModifiedBy>sky</cp:lastModifiedBy>
  <dcterms:modified xsi:type="dcterms:W3CDTF">2024-01-12T06:39:43Z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3EB5DFC703F94FAAB8AC3780106560E9</vt:lpwstr>
  </property>
</Properties>
</file>