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8</w:t>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9</w:t>
      </w:r>
      <w:r>
        <w:fldChar w:fldCharType="end"/>
      </w:r>
    </w:p>
    <w:p>
      <w:pPr>
        <w:pStyle w:val="27"/>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1</w:t>
      </w:r>
    </w:p>
    <w:p>
      <w:pPr>
        <w:pStyle w:val="27"/>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27"/>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6</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8</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w:t>
      </w:r>
      <w:r>
        <w:rPr>
          <w:rFonts w:hint="eastAsia"/>
          <w:lang w:val="en-US" w:eastAsia="zh-CN"/>
        </w:rPr>
        <w:t>9</w:t>
      </w:r>
      <w:r>
        <w:fldChar w:fldCharType="end"/>
      </w:r>
      <w:r>
        <w:fldChar w:fldCharType="end"/>
      </w:r>
    </w:p>
    <w:p>
      <w:pPr>
        <w:pStyle w:val="27"/>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8</w:t>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27"/>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0</w:t>
      </w:r>
      <w:bookmarkStart w:id="20" w:name="_GoBack"/>
      <w:bookmarkEnd w:id="20"/>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451正定县公安局交通管理大队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4803.77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4468.95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4803.77</w:t>
            </w:r>
          </w:p>
        </w:tc>
        <w:tc>
          <w:tcPr>
            <w:tcW w:w="4535" w:type="dxa"/>
            <w:vAlign w:val="center"/>
          </w:tcPr>
          <w:p>
            <w:pPr>
              <w:pStyle w:val="14"/>
            </w:pPr>
            <w:r>
              <w:t>本年支出合计</w:t>
            </w:r>
          </w:p>
        </w:tc>
        <w:tc>
          <w:tcPr>
            <w:tcW w:w="2126" w:type="dxa"/>
            <w:vAlign w:val="center"/>
          </w:tcPr>
          <w:p>
            <w:pPr>
              <w:pStyle w:val="15"/>
            </w:pPr>
            <w:r>
              <w:t>4803.77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4803.77</w:t>
            </w:r>
          </w:p>
        </w:tc>
        <w:tc>
          <w:tcPr>
            <w:tcW w:w="4535" w:type="dxa"/>
            <w:vAlign w:val="center"/>
          </w:tcPr>
          <w:p>
            <w:pPr>
              <w:pStyle w:val="14"/>
            </w:pPr>
            <w:r>
              <w:t>支出总计</w:t>
            </w:r>
          </w:p>
        </w:tc>
        <w:tc>
          <w:tcPr>
            <w:tcW w:w="2126" w:type="dxa"/>
            <w:vAlign w:val="center"/>
          </w:tcPr>
          <w:p>
            <w:pPr>
              <w:pStyle w:val="15"/>
            </w:pPr>
            <w:r>
              <w:t>4803.77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451正定县公安局交通管理大队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4803.77</w:t>
            </w:r>
          </w:p>
        </w:tc>
        <w:tc>
          <w:tcPr>
            <w:tcW w:w="1134" w:type="dxa"/>
            <w:vAlign w:val="center"/>
          </w:tcPr>
          <w:p>
            <w:pPr>
              <w:pStyle w:val="15"/>
            </w:pPr>
            <w:r>
              <w:t>4803.77</w:t>
            </w:r>
          </w:p>
        </w:tc>
        <w:tc>
          <w:tcPr>
            <w:tcW w:w="1134" w:type="dxa"/>
            <w:vAlign w:val="center"/>
          </w:tcPr>
          <w:p>
            <w:pPr>
              <w:pStyle w:val="15"/>
            </w:pPr>
            <w:r>
              <w:t>4803.77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4468.95</w:t>
            </w:r>
          </w:p>
        </w:tc>
        <w:tc>
          <w:tcPr>
            <w:tcW w:w="1134" w:type="dxa"/>
            <w:vAlign w:val="center"/>
          </w:tcPr>
          <w:p>
            <w:pPr>
              <w:pStyle w:val="11"/>
            </w:pPr>
            <w:r>
              <w:t>4468.95</w:t>
            </w:r>
          </w:p>
        </w:tc>
        <w:tc>
          <w:tcPr>
            <w:tcW w:w="1134" w:type="dxa"/>
            <w:vAlign w:val="center"/>
          </w:tcPr>
          <w:p>
            <w:pPr>
              <w:pStyle w:val="11"/>
            </w:pPr>
            <w:r>
              <w:t>4468.95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4468.95</w:t>
            </w:r>
          </w:p>
        </w:tc>
        <w:tc>
          <w:tcPr>
            <w:tcW w:w="1134" w:type="dxa"/>
            <w:vAlign w:val="center"/>
          </w:tcPr>
          <w:p>
            <w:pPr>
              <w:pStyle w:val="11"/>
            </w:pPr>
            <w:r>
              <w:t>4468.95</w:t>
            </w:r>
          </w:p>
        </w:tc>
        <w:tc>
          <w:tcPr>
            <w:tcW w:w="1134" w:type="dxa"/>
            <w:vAlign w:val="center"/>
          </w:tcPr>
          <w:p>
            <w:pPr>
              <w:pStyle w:val="11"/>
            </w:pPr>
            <w:r>
              <w:t>4468.95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1940.53</w:t>
            </w:r>
          </w:p>
        </w:tc>
        <w:tc>
          <w:tcPr>
            <w:tcW w:w="1134" w:type="dxa"/>
            <w:vAlign w:val="center"/>
          </w:tcPr>
          <w:p>
            <w:pPr>
              <w:pStyle w:val="11"/>
            </w:pPr>
            <w:r>
              <w:t>1940.53</w:t>
            </w:r>
          </w:p>
        </w:tc>
        <w:tc>
          <w:tcPr>
            <w:tcW w:w="1134" w:type="dxa"/>
            <w:vAlign w:val="center"/>
          </w:tcPr>
          <w:p>
            <w:pPr>
              <w:pStyle w:val="11"/>
            </w:pPr>
            <w:r>
              <w:t>1940.53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2528.42</w:t>
            </w:r>
          </w:p>
        </w:tc>
        <w:tc>
          <w:tcPr>
            <w:tcW w:w="1134" w:type="dxa"/>
            <w:vAlign w:val="center"/>
          </w:tcPr>
          <w:p>
            <w:pPr>
              <w:pStyle w:val="11"/>
            </w:pPr>
            <w:r>
              <w:t>2528.42</w:t>
            </w:r>
          </w:p>
        </w:tc>
        <w:tc>
          <w:tcPr>
            <w:tcW w:w="1134" w:type="dxa"/>
            <w:vAlign w:val="center"/>
          </w:tcPr>
          <w:p>
            <w:pPr>
              <w:pStyle w:val="11"/>
            </w:pPr>
            <w:r>
              <w:t>2528.42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258.87</w:t>
            </w:r>
          </w:p>
        </w:tc>
        <w:tc>
          <w:tcPr>
            <w:tcW w:w="1134" w:type="dxa"/>
            <w:vAlign w:val="center"/>
          </w:tcPr>
          <w:p>
            <w:pPr>
              <w:pStyle w:val="11"/>
            </w:pPr>
            <w:r>
              <w:t>258.87</w:t>
            </w:r>
          </w:p>
        </w:tc>
        <w:tc>
          <w:tcPr>
            <w:tcW w:w="1134" w:type="dxa"/>
            <w:vAlign w:val="center"/>
          </w:tcPr>
          <w:p>
            <w:pPr>
              <w:pStyle w:val="11"/>
            </w:pPr>
            <w:r>
              <w:t>258.87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258.87</w:t>
            </w:r>
          </w:p>
        </w:tc>
        <w:tc>
          <w:tcPr>
            <w:tcW w:w="1134" w:type="dxa"/>
            <w:vAlign w:val="center"/>
          </w:tcPr>
          <w:p>
            <w:pPr>
              <w:pStyle w:val="11"/>
            </w:pPr>
            <w:r>
              <w:t>258.87</w:t>
            </w:r>
          </w:p>
        </w:tc>
        <w:tc>
          <w:tcPr>
            <w:tcW w:w="1134" w:type="dxa"/>
            <w:vAlign w:val="center"/>
          </w:tcPr>
          <w:p>
            <w:pPr>
              <w:pStyle w:val="11"/>
            </w:pPr>
            <w:r>
              <w:t>258.87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208.35</w:t>
            </w:r>
          </w:p>
        </w:tc>
        <w:tc>
          <w:tcPr>
            <w:tcW w:w="1134" w:type="dxa"/>
            <w:vAlign w:val="center"/>
          </w:tcPr>
          <w:p>
            <w:pPr>
              <w:pStyle w:val="11"/>
            </w:pPr>
            <w:r>
              <w:t>208.35</w:t>
            </w:r>
          </w:p>
        </w:tc>
        <w:tc>
          <w:tcPr>
            <w:tcW w:w="1134" w:type="dxa"/>
            <w:vAlign w:val="center"/>
          </w:tcPr>
          <w:p>
            <w:pPr>
              <w:pStyle w:val="11"/>
            </w:pPr>
            <w:r>
              <w:t>208.35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50.52</w:t>
            </w:r>
          </w:p>
        </w:tc>
        <w:tc>
          <w:tcPr>
            <w:tcW w:w="1134" w:type="dxa"/>
            <w:vAlign w:val="center"/>
          </w:tcPr>
          <w:p>
            <w:pPr>
              <w:pStyle w:val="11"/>
            </w:pPr>
            <w:r>
              <w:t>50.52</w:t>
            </w:r>
          </w:p>
        </w:tc>
        <w:tc>
          <w:tcPr>
            <w:tcW w:w="1134" w:type="dxa"/>
            <w:vAlign w:val="center"/>
          </w:tcPr>
          <w:p>
            <w:pPr>
              <w:pStyle w:val="11"/>
            </w:pPr>
            <w:r>
              <w:t>50.52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20.68</w:t>
            </w:r>
          </w:p>
        </w:tc>
        <w:tc>
          <w:tcPr>
            <w:tcW w:w="1134" w:type="dxa"/>
            <w:vAlign w:val="center"/>
          </w:tcPr>
          <w:p>
            <w:pPr>
              <w:pStyle w:val="11"/>
            </w:pPr>
            <w:r>
              <w:t>20.68</w:t>
            </w:r>
          </w:p>
        </w:tc>
        <w:tc>
          <w:tcPr>
            <w:tcW w:w="1134" w:type="dxa"/>
            <w:vAlign w:val="center"/>
          </w:tcPr>
          <w:p>
            <w:pPr>
              <w:pStyle w:val="11"/>
            </w:pPr>
            <w:r>
              <w:t>20.68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r>
              <w:t>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4803.77</w:t>
            </w:r>
          </w:p>
        </w:tc>
        <w:tc>
          <w:tcPr>
            <w:tcW w:w="1361" w:type="dxa"/>
            <w:vAlign w:val="center"/>
          </w:tcPr>
          <w:p>
            <w:pPr>
              <w:pStyle w:val="15"/>
            </w:pPr>
            <w:r>
              <w:t>2275.35</w:t>
            </w:r>
          </w:p>
        </w:tc>
        <w:tc>
          <w:tcPr>
            <w:tcW w:w="1361" w:type="dxa"/>
            <w:vAlign w:val="center"/>
          </w:tcPr>
          <w:p>
            <w:pPr>
              <w:pStyle w:val="15"/>
            </w:pPr>
            <w:r>
              <w:t>2528.42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4468.95</w:t>
            </w:r>
          </w:p>
        </w:tc>
        <w:tc>
          <w:tcPr>
            <w:tcW w:w="1361" w:type="dxa"/>
            <w:vAlign w:val="center"/>
          </w:tcPr>
          <w:p>
            <w:pPr>
              <w:pStyle w:val="11"/>
            </w:pPr>
            <w:r>
              <w:t>1940.53</w:t>
            </w:r>
          </w:p>
        </w:tc>
        <w:tc>
          <w:tcPr>
            <w:tcW w:w="1361" w:type="dxa"/>
            <w:vAlign w:val="center"/>
          </w:tcPr>
          <w:p>
            <w:pPr>
              <w:pStyle w:val="11"/>
            </w:pPr>
            <w:r>
              <w:t>2528.42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4468.95</w:t>
            </w:r>
          </w:p>
        </w:tc>
        <w:tc>
          <w:tcPr>
            <w:tcW w:w="1361" w:type="dxa"/>
            <w:vAlign w:val="center"/>
          </w:tcPr>
          <w:p>
            <w:pPr>
              <w:pStyle w:val="11"/>
            </w:pPr>
            <w:r>
              <w:t>1940.53</w:t>
            </w:r>
          </w:p>
        </w:tc>
        <w:tc>
          <w:tcPr>
            <w:tcW w:w="1361" w:type="dxa"/>
            <w:vAlign w:val="center"/>
          </w:tcPr>
          <w:p>
            <w:pPr>
              <w:pStyle w:val="11"/>
            </w:pPr>
            <w:r>
              <w:t>2528.42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1940.53</w:t>
            </w:r>
          </w:p>
        </w:tc>
        <w:tc>
          <w:tcPr>
            <w:tcW w:w="1361" w:type="dxa"/>
            <w:vAlign w:val="center"/>
          </w:tcPr>
          <w:p>
            <w:pPr>
              <w:pStyle w:val="11"/>
            </w:pPr>
            <w:r>
              <w:t>1940.53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2528.42</w:t>
            </w:r>
          </w:p>
        </w:tc>
        <w:tc>
          <w:tcPr>
            <w:tcW w:w="1361" w:type="dxa"/>
            <w:vAlign w:val="center"/>
          </w:tcPr>
          <w:p>
            <w:pPr>
              <w:pStyle w:val="11"/>
            </w:pPr>
          </w:p>
        </w:tc>
        <w:tc>
          <w:tcPr>
            <w:tcW w:w="1361" w:type="dxa"/>
            <w:vAlign w:val="center"/>
          </w:tcPr>
          <w:p>
            <w:pPr>
              <w:pStyle w:val="11"/>
            </w:pPr>
            <w:r>
              <w:t>2528.42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258.87</w:t>
            </w:r>
          </w:p>
        </w:tc>
        <w:tc>
          <w:tcPr>
            <w:tcW w:w="1361" w:type="dxa"/>
            <w:vAlign w:val="center"/>
          </w:tcPr>
          <w:p>
            <w:pPr>
              <w:pStyle w:val="11"/>
            </w:pPr>
            <w:r>
              <w:t>258.87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258.87</w:t>
            </w:r>
          </w:p>
        </w:tc>
        <w:tc>
          <w:tcPr>
            <w:tcW w:w="1361" w:type="dxa"/>
            <w:vAlign w:val="center"/>
          </w:tcPr>
          <w:p>
            <w:pPr>
              <w:pStyle w:val="11"/>
            </w:pPr>
            <w:r>
              <w:t>258.87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208.35</w:t>
            </w:r>
          </w:p>
        </w:tc>
        <w:tc>
          <w:tcPr>
            <w:tcW w:w="1361" w:type="dxa"/>
            <w:vAlign w:val="center"/>
          </w:tcPr>
          <w:p>
            <w:pPr>
              <w:pStyle w:val="11"/>
            </w:pPr>
            <w:r>
              <w:t>208.35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50.52</w:t>
            </w:r>
          </w:p>
        </w:tc>
        <w:tc>
          <w:tcPr>
            <w:tcW w:w="1361" w:type="dxa"/>
            <w:vAlign w:val="center"/>
          </w:tcPr>
          <w:p>
            <w:pPr>
              <w:pStyle w:val="11"/>
            </w:pPr>
            <w:r>
              <w:t>50.52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36.68</w:t>
            </w:r>
          </w:p>
        </w:tc>
        <w:tc>
          <w:tcPr>
            <w:tcW w:w="1361" w:type="dxa"/>
            <w:vAlign w:val="center"/>
          </w:tcPr>
          <w:p>
            <w:pPr>
              <w:pStyle w:val="11"/>
            </w:pPr>
            <w:r>
              <w:t>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36.68</w:t>
            </w:r>
          </w:p>
        </w:tc>
        <w:tc>
          <w:tcPr>
            <w:tcW w:w="1361" w:type="dxa"/>
            <w:vAlign w:val="center"/>
          </w:tcPr>
          <w:p>
            <w:pPr>
              <w:pStyle w:val="11"/>
            </w:pPr>
            <w:r>
              <w:t>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20.68</w:t>
            </w:r>
          </w:p>
        </w:tc>
        <w:tc>
          <w:tcPr>
            <w:tcW w:w="1361" w:type="dxa"/>
            <w:vAlign w:val="center"/>
          </w:tcPr>
          <w:p>
            <w:pPr>
              <w:pStyle w:val="11"/>
            </w:pPr>
            <w:r>
              <w:t>20.68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39.27</w:t>
            </w:r>
          </w:p>
        </w:tc>
        <w:tc>
          <w:tcPr>
            <w:tcW w:w="1361" w:type="dxa"/>
            <w:vAlign w:val="center"/>
          </w:tcPr>
          <w:p>
            <w:pPr>
              <w:pStyle w:val="11"/>
            </w:pPr>
            <w:r>
              <w:t>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39.27</w:t>
            </w:r>
          </w:p>
        </w:tc>
        <w:tc>
          <w:tcPr>
            <w:tcW w:w="1361" w:type="dxa"/>
            <w:vAlign w:val="center"/>
          </w:tcPr>
          <w:p>
            <w:pPr>
              <w:pStyle w:val="11"/>
            </w:pPr>
            <w:r>
              <w:t>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39.27</w:t>
            </w:r>
          </w:p>
        </w:tc>
        <w:tc>
          <w:tcPr>
            <w:tcW w:w="1361" w:type="dxa"/>
            <w:vAlign w:val="center"/>
          </w:tcPr>
          <w:p>
            <w:pPr>
              <w:pStyle w:val="11"/>
            </w:pPr>
            <w:r>
              <w:t>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4803.77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4468.95</w:t>
            </w:r>
          </w:p>
        </w:tc>
        <w:tc>
          <w:tcPr>
            <w:tcW w:w="1474" w:type="dxa"/>
            <w:vAlign w:val="center"/>
          </w:tcPr>
          <w:p>
            <w:pPr>
              <w:pStyle w:val="11"/>
            </w:pPr>
            <w:r>
              <w:t>4468.95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258.87</w:t>
            </w:r>
          </w:p>
        </w:tc>
        <w:tc>
          <w:tcPr>
            <w:tcW w:w="1474" w:type="dxa"/>
            <w:vAlign w:val="center"/>
          </w:tcPr>
          <w:p>
            <w:pPr>
              <w:pStyle w:val="11"/>
            </w:pPr>
            <w:r>
              <w:t>258.87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36.68</w:t>
            </w:r>
          </w:p>
        </w:tc>
        <w:tc>
          <w:tcPr>
            <w:tcW w:w="1474" w:type="dxa"/>
            <w:vAlign w:val="center"/>
          </w:tcPr>
          <w:p>
            <w:pPr>
              <w:pStyle w:val="11"/>
            </w:pPr>
            <w:r>
              <w:t>36.68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39.27</w:t>
            </w:r>
          </w:p>
        </w:tc>
        <w:tc>
          <w:tcPr>
            <w:tcW w:w="1474" w:type="dxa"/>
            <w:vAlign w:val="center"/>
          </w:tcPr>
          <w:p>
            <w:pPr>
              <w:pStyle w:val="11"/>
            </w:pPr>
            <w:r>
              <w:t>39.27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4803.77</w:t>
            </w:r>
          </w:p>
        </w:tc>
        <w:tc>
          <w:tcPr>
            <w:tcW w:w="3402" w:type="dxa"/>
            <w:vAlign w:val="center"/>
          </w:tcPr>
          <w:p>
            <w:pPr>
              <w:pStyle w:val="14"/>
            </w:pPr>
            <w:r>
              <w:t>本年支出合计</w:t>
            </w:r>
          </w:p>
        </w:tc>
        <w:tc>
          <w:tcPr>
            <w:tcW w:w="1474" w:type="dxa"/>
            <w:vAlign w:val="center"/>
          </w:tcPr>
          <w:p>
            <w:pPr>
              <w:pStyle w:val="15"/>
            </w:pPr>
            <w:r>
              <w:t>4803.77</w:t>
            </w:r>
          </w:p>
        </w:tc>
        <w:tc>
          <w:tcPr>
            <w:tcW w:w="1474" w:type="dxa"/>
            <w:vAlign w:val="center"/>
          </w:tcPr>
          <w:p>
            <w:pPr>
              <w:pStyle w:val="15"/>
            </w:pPr>
            <w:r>
              <w:t>4803.77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4803.77</w:t>
            </w:r>
          </w:p>
        </w:tc>
        <w:tc>
          <w:tcPr>
            <w:tcW w:w="3402" w:type="dxa"/>
            <w:vAlign w:val="center"/>
          </w:tcPr>
          <w:p>
            <w:pPr>
              <w:pStyle w:val="14"/>
            </w:pPr>
            <w:r>
              <w:t>支出总计</w:t>
            </w:r>
          </w:p>
        </w:tc>
        <w:tc>
          <w:tcPr>
            <w:tcW w:w="1474" w:type="dxa"/>
            <w:vAlign w:val="center"/>
          </w:tcPr>
          <w:p>
            <w:pPr>
              <w:pStyle w:val="15"/>
            </w:pPr>
            <w:r>
              <w:t>4803.77</w:t>
            </w:r>
          </w:p>
        </w:tc>
        <w:tc>
          <w:tcPr>
            <w:tcW w:w="1474" w:type="dxa"/>
            <w:vAlign w:val="center"/>
          </w:tcPr>
          <w:p>
            <w:pPr>
              <w:pStyle w:val="15"/>
            </w:pPr>
            <w:r>
              <w:t>4803.77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4803.77</w:t>
            </w:r>
          </w:p>
        </w:tc>
        <w:tc>
          <w:tcPr>
            <w:tcW w:w="2551" w:type="dxa"/>
            <w:vAlign w:val="center"/>
          </w:tcPr>
          <w:p>
            <w:pPr>
              <w:pStyle w:val="15"/>
            </w:pPr>
            <w:r>
              <w:t>2275.35</w:t>
            </w:r>
          </w:p>
        </w:tc>
        <w:tc>
          <w:tcPr>
            <w:tcW w:w="2551" w:type="dxa"/>
            <w:vAlign w:val="center"/>
          </w:tcPr>
          <w:p>
            <w:pPr>
              <w:pStyle w:val="15"/>
            </w:pPr>
            <w:r>
              <w:t>2528.42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4468.95</w:t>
            </w:r>
          </w:p>
        </w:tc>
        <w:tc>
          <w:tcPr>
            <w:tcW w:w="2551" w:type="dxa"/>
            <w:vAlign w:val="center"/>
          </w:tcPr>
          <w:p>
            <w:pPr>
              <w:pStyle w:val="11"/>
            </w:pPr>
            <w:r>
              <w:t>1940.53</w:t>
            </w:r>
          </w:p>
        </w:tc>
        <w:tc>
          <w:tcPr>
            <w:tcW w:w="2551" w:type="dxa"/>
            <w:vAlign w:val="center"/>
          </w:tcPr>
          <w:p>
            <w:pPr>
              <w:pStyle w:val="11"/>
            </w:pPr>
            <w:r>
              <w:t>2528.42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4468.95</w:t>
            </w:r>
          </w:p>
        </w:tc>
        <w:tc>
          <w:tcPr>
            <w:tcW w:w="2551" w:type="dxa"/>
            <w:vAlign w:val="center"/>
          </w:tcPr>
          <w:p>
            <w:pPr>
              <w:pStyle w:val="11"/>
            </w:pPr>
            <w:r>
              <w:t>1940.53</w:t>
            </w:r>
          </w:p>
        </w:tc>
        <w:tc>
          <w:tcPr>
            <w:tcW w:w="2551" w:type="dxa"/>
            <w:vAlign w:val="center"/>
          </w:tcPr>
          <w:p>
            <w:pPr>
              <w:pStyle w:val="11"/>
            </w:pPr>
            <w:r>
              <w:t>2528.42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1940.53</w:t>
            </w:r>
          </w:p>
        </w:tc>
        <w:tc>
          <w:tcPr>
            <w:tcW w:w="2551" w:type="dxa"/>
            <w:vAlign w:val="center"/>
          </w:tcPr>
          <w:p>
            <w:pPr>
              <w:pStyle w:val="11"/>
            </w:pPr>
            <w:r>
              <w:t>1940.53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2528.42</w:t>
            </w:r>
          </w:p>
        </w:tc>
        <w:tc>
          <w:tcPr>
            <w:tcW w:w="2551" w:type="dxa"/>
            <w:vAlign w:val="center"/>
          </w:tcPr>
          <w:p>
            <w:pPr>
              <w:pStyle w:val="11"/>
            </w:pPr>
          </w:p>
        </w:tc>
        <w:tc>
          <w:tcPr>
            <w:tcW w:w="2551" w:type="dxa"/>
            <w:vAlign w:val="center"/>
          </w:tcPr>
          <w:p>
            <w:pPr>
              <w:pStyle w:val="11"/>
            </w:pPr>
            <w:r>
              <w:t>2528.42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258.87</w:t>
            </w:r>
          </w:p>
        </w:tc>
        <w:tc>
          <w:tcPr>
            <w:tcW w:w="2551" w:type="dxa"/>
            <w:vAlign w:val="center"/>
          </w:tcPr>
          <w:p>
            <w:pPr>
              <w:pStyle w:val="11"/>
            </w:pPr>
            <w:r>
              <w:t>258.87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258.87</w:t>
            </w:r>
          </w:p>
        </w:tc>
        <w:tc>
          <w:tcPr>
            <w:tcW w:w="2551" w:type="dxa"/>
            <w:vAlign w:val="center"/>
          </w:tcPr>
          <w:p>
            <w:pPr>
              <w:pStyle w:val="11"/>
            </w:pPr>
            <w:r>
              <w:t>258.87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208.35</w:t>
            </w:r>
          </w:p>
        </w:tc>
        <w:tc>
          <w:tcPr>
            <w:tcW w:w="2551" w:type="dxa"/>
            <w:vAlign w:val="center"/>
          </w:tcPr>
          <w:p>
            <w:pPr>
              <w:pStyle w:val="11"/>
            </w:pPr>
            <w:r>
              <w:t>208.35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50.52</w:t>
            </w:r>
          </w:p>
        </w:tc>
        <w:tc>
          <w:tcPr>
            <w:tcW w:w="2551" w:type="dxa"/>
            <w:vAlign w:val="center"/>
          </w:tcPr>
          <w:p>
            <w:pPr>
              <w:pStyle w:val="11"/>
            </w:pPr>
            <w:r>
              <w:t>50.52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36.68</w:t>
            </w:r>
          </w:p>
        </w:tc>
        <w:tc>
          <w:tcPr>
            <w:tcW w:w="2551" w:type="dxa"/>
            <w:vAlign w:val="center"/>
          </w:tcPr>
          <w:p>
            <w:pPr>
              <w:pStyle w:val="11"/>
            </w:pPr>
            <w:r>
              <w:t>36.68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36.68</w:t>
            </w:r>
          </w:p>
        </w:tc>
        <w:tc>
          <w:tcPr>
            <w:tcW w:w="2551" w:type="dxa"/>
            <w:vAlign w:val="center"/>
          </w:tcPr>
          <w:p>
            <w:pPr>
              <w:pStyle w:val="11"/>
            </w:pPr>
            <w:r>
              <w:t>36.68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20.68</w:t>
            </w:r>
          </w:p>
        </w:tc>
        <w:tc>
          <w:tcPr>
            <w:tcW w:w="2551" w:type="dxa"/>
            <w:vAlign w:val="center"/>
          </w:tcPr>
          <w:p>
            <w:pPr>
              <w:pStyle w:val="11"/>
            </w:pPr>
            <w:r>
              <w:t>20.68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39.27</w:t>
            </w:r>
          </w:p>
        </w:tc>
        <w:tc>
          <w:tcPr>
            <w:tcW w:w="2551" w:type="dxa"/>
            <w:vAlign w:val="center"/>
          </w:tcPr>
          <w:p>
            <w:pPr>
              <w:pStyle w:val="11"/>
            </w:pPr>
            <w:r>
              <w:t>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39.27</w:t>
            </w:r>
          </w:p>
        </w:tc>
        <w:tc>
          <w:tcPr>
            <w:tcW w:w="2551" w:type="dxa"/>
            <w:vAlign w:val="center"/>
          </w:tcPr>
          <w:p>
            <w:pPr>
              <w:pStyle w:val="11"/>
            </w:pPr>
            <w:r>
              <w:t>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39.27</w:t>
            </w:r>
          </w:p>
        </w:tc>
        <w:tc>
          <w:tcPr>
            <w:tcW w:w="2551" w:type="dxa"/>
            <w:vAlign w:val="center"/>
          </w:tcPr>
          <w:p>
            <w:pPr>
              <w:pStyle w:val="11"/>
            </w:pPr>
            <w:r>
              <w:t>39.27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2275.35</w:t>
            </w:r>
          </w:p>
        </w:tc>
        <w:tc>
          <w:tcPr>
            <w:tcW w:w="2551" w:type="dxa"/>
            <w:vAlign w:val="center"/>
          </w:tcPr>
          <w:p>
            <w:pPr>
              <w:pStyle w:val="15"/>
            </w:pPr>
            <w:r>
              <w:t>2180.92</w:t>
            </w:r>
          </w:p>
        </w:tc>
        <w:tc>
          <w:tcPr>
            <w:tcW w:w="2551" w:type="dxa"/>
            <w:vAlign w:val="center"/>
          </w:tcPr>
          <w:p>
            <w:pPr>
              <w:pStyle w:val="15"/>
            </w:pPr>
            <w:r>
              <w:t>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1966.74</w:t>
            </w:r>
          </w:p>
        </w:tc>
        <w:tc>
          <w:tcPr>
            <w:tcW w:w="2551" w:type="dxa"/>
            <w:vAlign w:val="center"/>
          </w:tcPr>
          <w:p>
            <w:pPr>
              <w:pStyle w:val="11"/>
            </w:pPr>
            <w:r>
              <w:t>1966.74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128.58</w:t>
            </w:r>
          </w:p>
        </w:tc>
        <w:tc>
          <w:tcPr>
            <w:tcW w:w="2551" w:type="dxa"/>
            <w:vAlign w:val="center"/>
          </w:tcPr>
          <w:p>
            <w:pPr>
              <w:pStyle w:val="11"/>
            </w:pPr>
            <w:r>
              <w:t>128.58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175.65</w:t>
            </w:r>
          </w:p>
        </w:tc>
        <w:tc>
          <w:tcPr>
            <w:tcW w:w="2551" w:type="dxa"/>
            <w:vAlign w:val="center"/>
          </w:tcPr>
          <w:p>
            <w:pPr>
              <w:pStyle w:val="11"/>
            </w:pPr>
            <w:r>
              <w:t>175.65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119.05</w:t>
            </w:r>
          </w:p>
        </w:tc>
        <w:tc>
          <w:tcPr>
            <w:tcW w:w="2551" w:type="dxa"/>
            <w:vAlign w:val="center"/>
          </w:tcPr>
          <w:p>
            <w:pPr>
              <w:pStyle w:val="11"/>
            </w:pPr>
            <w:r>
              <w:t>119.05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50.52</w:t>
            </w:r>
          </w:p>
        </w:tc>
        <w:tc>
          <w:tcPr>
            <w:tcW w:w="2551" w:type="dxa"/>
            <w:vAlign w:val="center"/>
          </w:tcPr>
          <w:p>
            <w:pPr>
              <w:pStyle w:val="11"/>
            </w:pPr>
            <w:r>
              <w:t>50.52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20.68</w:t>
            </w:r>
          </w:p>
        </w:tc>
        <w:tc>
          <w:tcPr>
            <w:tcW w:w="2551" w:type="dxa"/>
            <w:vAlign w:val="center"/>
          </w:tcPr>
          <w:p>
            <w:pPr>
              <w:pStyle w:val="11"/>
            </w:pPr>
            <w:r>
              <w:t>20.68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39.27</w:t>
            </w:r>
          </w:p>
        </w:tc>
        <w:tc>
          <w:tcPr>
            <w:tcW w:w="2551" w:type="dxa"/>
            <w:vAlign w:val="center"/>
          </w:tcPr>
          <w:p>
            <w:pPr>
              <w:pStyle w:val="11"/>
            </w:pPr>
            <w:r>
              <w:t>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1415.76</w:t>
            </w:r>
          </w:p>
        </w:tc>
        <w:tc>
          <w:tcPr>
            <w:tcW w:w="2551" w:type="dxa"/>
            <w:vAlign w:val="center"/>
          </w:tcPr>
          <w:p>
            <w:pPr>
              <w:pStyle w:val="11"/>
            </w:pPr>
            <w:r>
              <w:t>1415.76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94.43</w:t>
            </w:r>
          </w:p>
        </w:tc>
        <w:tc>
          <w:tcPr>
            <w:tcW w:w="2551" w:type="dxa"/>
            <w:vAlign w:val="center"/>
          </w:tcPr>
          <w:p>
            <w:pPr>
              <w:pStyle w:val="11"/>
            </w:pPr>
          </w:p>
        </w:tc>
        <w:tc>
          <w:tcPr>
            <w:tcW w:w="2551" w:type="dxa"/>
            <w:vAlign w:val="center"/>
          </w:tcPr>
          <w:p>
            <w:pPr>
              <w:pStyle w:val="11"/>
            </w:pPr>
            <w:r>
              <w:t>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8.37</w:t>
            </w:r>
          </w:p>
        </w:tc>
        <w:tc>
          <w:tcPr>
            <w:tcW w:w="2551" w:type="dxa"/>
            <w:vAlign w:val="center"/>
          </w:tcPr>
          <w:p>
            <w:pPr>
              <w:pStyle w:val="11"/>
            </w:pPr>
          </w:p>
        </w:tc>
        <w:tc>
          <w:tcPr>
            <w:tcW w:w="2551" w:type="dxa"/>
            <w:vAlign w:val="center"/>
          </w:tcPr>
          <w:p>
            <w:pPr>
              <w:pStyle w:val="11"/>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15.48</w:t>
            </w:r>
          </w:p>
        </w:tc>
        <w:tc>
          <w:tcPr>
            <w:tcW w:w="2551" w:type="dxa"/>
            <w:vAlign w:val="center"/>
          </w:tcPr>
          <w:p>
            <w:pPr>
              <w:pStyle w:val="11"/>
            </w:pPr>
          </w:p>
        </w:tc>
        <w:tc>
          <w:tcPr>
            <w:tcW w:w="2551" w:type="dxa"/>
            <w:vAlign w:val="center"/>
          </w:tcPr>
          <w:p>
            <w:pPr>
              <w:pStyle w:val="11"/>
            </w:pPr>
            <w:r>
              <w:t>15.48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4.82</w:t>
            </w:r>
          </w:p>
        </w:tc>
        <w:tc>
          <w:tcPr>
            <w:tcW w:w="2551" w:type="dxa"/>
            <w:vAlign w:val="center"/>
          </w:tcPr>
          <w:p>
            <w:pPr>
              <w:pStyle w:val="11"/>
            </w:pPr>
          </w:p>
        </w:tc>
        <w:tc>
          <w:tcPr>
            <w:tcW w:w="2551" w:type="dxa"/>
            <w:vAlign w:val="center"/>
          </w:tcPr>
          <w:p>
            <w:pPr>
              <w:pStyle w:val="11"/>
            </w:pPr>
            <w: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4.38</w:t>
            </w:r>
          </w:p>
        </w:tc>
        <w:tc>
          <w:tcPr>
            <w:tcW w:w="2551" w:type="dxa"/>
            <w:vAlign w:val="center"/>
          </w:tcPr>
          <w:p>
            <w:pPr>
              <w:pStyle w:val="11"/>
            </w:pPr>
          </w:p>
        </w:tc>
        <w:tc>
          <w:tcPr>
            <w:tcW w:w="2551" w:type="dxa"/>
            <w:vAlign w:val="center"/>
          </w:tcPr>
          <w:p>
            <w:pPr>
              <w:pStyle w:val="11"/>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19.02</w:t>
            </w:r>
          </w:p>
        </w:tc>
        <w:tc>
          <w:tcPr>
            <w:tcW w:w="2551" w:type="dxa"/>
            <w:vAlign w:val="center"/>
          </w:tcPr>
          <w:p>
            <w:pPr>
              <w:pStyle w:val="11"/>
            </w:pPr>
          </w:p>
        </w:tc>
        <w:tc>
          <w:tcPr>
            <w:tcW w:w="2551" w:type="dxa"/>
            <w:vAlign w:val="center"/>
          </w:tcPr>
          <w:p>
            <w:pPr>
              <w:pStyle w:val="11"/>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214.18</w:t>
            </w:r>
          </w:p>
        </w:tc>
        <w:tc>
          <w:tcPr>
            <w:tcW w:w="2551" w:type="dxa"/>
            <w:vAlign w:val="center"/>
          </w:tcPr>
          <w:p>
            <w:pPr>
              <w:pStyle w:val="11"/>
            </w:pPr>
            <w:r>
              <w:t>214.18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208.35</w:t>
            </w:r>
          </w:p>
        </w:tc>
        <w:tc>
          <w:tcPr>
            <w:tcW w:w="2551" w:type="dxa"/>
            <w:vAlign w:val="center"/>
          </w:tcPr>
          <w:p>
            <w:pPr>
              <w:pStyle w:val="11"/>
            </w:pPr>
            <w:r>
              <w:t>208.35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5.83</w:t>
            </w:r>
          </w:p>
        </w:tc>
        <w:tc>
          <w:tcPr>
            <w:tcW w:w="2551" w:type="dxa"/>
            <w:vAlign w:val="center"/>
          </w:tcPr>
          <w:p>
            <w:pPr>
              <w:pStyle w:val="11"/>
            </w:pPr>
            <w:r>
              <w:t>5.83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cs="方正书宋_GBK" w:eastAsiaTheme="minorEastAsia"/>
          <w:color w:val="000000"/>
          <w:sz w:val="21"/>
          <w:lang w:eastAsia="zh-CN"/>
        </w:rPr>
        <w:t>性</w:t>
      </w:r>
      <w:r>
        <w:rPr>
          <w:rFonts w:ascii="方正书宋_GBK" w:hAnsi="方正书宋_GBK" w:eastAsia="方正书宋_GBK" w:cs="方正书宋_GBK"/>
          <w:color w:val="000000"/>
          <w:sz w:val="21"/>
        </w:rPr>
        <w:t>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451正定县公安局交通管理大队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正定县公安局交通管理大队2024年部门预算信息公开情况说明</w:t>
      </w:r>
    </w:p>
    <w:p>
      <w:pPr>
        <w:jc w:val="center"/>
      </w:pPr>
      <w:r>
        <w:rPr>
          <w:rFonts w:ascii="方正小标宋_GBK" w:hAnsi="方正小标宋_GBK" w:eastAsia="方正小标宋_GBK" w:cs="方正小标宋_GBK"/>
          <w:color w:val="000000"/>
          <w:sz w:val="44"/>
        </w:rPr>
        <w:t>正定县公安局交通管理大队2024年部门预算信息公开情况说明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按照《中华人民共和国预算法》、《地方预决算公开操作规程》和《关于进一步推进预算公开工作的实施意见》规定，现将正定县公安局交通管理大队2024年部门预算公开如下：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(一)负责全县交通安全宣传教育、法制建设、维护交通秩序、查处交通事故。</w:t>
      </w:r>
    </w:p>
    <w:p>
      <w:pPr>
        <w:pStyle w:val="17"/>
      </w:pPr>
      <w:r>
        <w:t>(二)预防和制止公路违法犯罪活动、打击车匪路霸、堵截逃犯等工作。</w:t>
      </w:r>
    </w:p>
    <w:p>
      <w:pPr>
        <w:pStyle w:val="17"/>
      </w:pPr>
      <w:r>
        <w:t>(三)对机动车和驾驶人实施有效监管，确保人民安全出行和社会安定。</w:t>
      </w:r>
    </w:p>
    <w:p>
      <w:pPr>
        <w:pStyle w:val="17"/>
      </w:pPr>
      <w:r>
        <w:t>(四)依法对全县机动车辆、驾驶人的登记管理、档案管理和牌证管理工作。</w:t>
      </w:r>
    </w:p>
    <w:p>
      <w:pPr>
        <w:pStyle w:val="17"/>
      </w:pPr>
      <w:r>
        <w:t>(五)负责办理驾驶员年审和各类机动车辆年审工作，办理有关机动车辆拍照。</w:t>
      </w:r>
    </w:p>
    <w:p>
      <w:pPr>
        <w:pStyle w:val="17"/>
      </w:pPr>
      <w:r>
        <w:t>(六)组织对初学和违章记满分的驾驶人教育培训考试及驾照发放工作，完善各项便民利民措施。</w:t>
      </w:r>
    </w:p>
    <w:p>
      <w:pPr>
        <w:pStyle w:val="17"/>
      </w:pPr>
      <w:r>
        <w:t>(七)负责交管大队机关及中队执法场所运行及其他综合事务管理。</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正定县公安局交通管理大队本级</w:t>
            </w:r>
          </w:p>
        </w:tc>
        <w:tc>
          <w:tcPr>
            <w:tcW w:w="1843" w:type="dxa"/>
            <w:vAlign w:val="center"/>
          </w:tcPr>
          <w:p>
            <w:pPr>
              <w:pStyle w:val="13"/>
            </w:pPr>
            <w:r>
              <w:t>行政</w:t>
            </w:r>
          </w:p>
        </w:tc>
        <w:tc>
          <w:tcPr>
            <w:tcW w:w="2126" w:type="dxa"/>
            <w:vAlign w:val="center"/>
          </w:tcPr>
          <w:p>
            <w:pPr>
              <w:pStyle w:val="13"/>
            </w:pPr>
            <w:r>
              <w:t>副科级</w:t>
            </w:r>
          </w:p>
        </w:tc>
        <w:tc>
          <w:tcPr>
            <w:tcW w:w="3827" w:type="dxa"/>
            <w:vAlign w:val="center"/>
          </w:tcPr>
          <w:p>
            <w:pPr>
              <w:pStyle w:val="13"/>
            </w:pPr>
            <w:r>
              <w:t>财政拨款</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按照预算管理有关规定，目前部门预算的编制实行综合预算管理，即全部收入和支出都反映在预算中。正定县公安局交通管理大队机关及所属事业单位的收支包含在部门预算中。</w:t>
      </w:r>
    </w:p>
    <w:p>
      <w:pPr>
        <w:pStyle w:val="18"/>
      </w:pPr>
      <w:r>
        <w:t>1、收入说明</w:t>
      </w:r>
    </w:p>
    <w:p>
      <w:pPr>
        <w:pStyle w:val="18"/>
      </w:pPr>
      <w:r>
        <w:t>反映本部门当年全部收入。2024年预算收入4803.77万元，其中：一般公共预算收入4803.77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公安局交通管理大队年度部门预算中支出预算的总体情况。2024年支出预算4803.77万元，其中基本支出2275.35万元，包括人员经费2180.92万元和日常公用经费94.43万元；项目支出2528.42万元，主要为2024年中央政法纪检监察转移支付资金（石财行【2023】48号）49万元；2024年度省级基层公检法司转移支付资金（石财行【2023】49号）200万元；交管政务管理经费项目资金1404.42万元；交管大队指挥中心平台升级项目资金180万元；道路交通划线项目资金300万元；道路护栏项目资金170万元；违法图片智能预审系统项目资金150万元；暖气管道升级改造工程75万元。</w:t>
      </w:r>
    </w:p>
    <w:p>
      <w:pPr>
        <w:pStyle w:val="18"/>
      </w:pPr>
      <w:r>
        <w:t>3、比上年增减情况</w:t>
      </w:r>
    </w:p>
    <w:p>
      <w:pPr>
        <w:pStyle w:val="18"/>
      </w:pPr>
      <w:r>
        <w:t>2024年预算收支安排4803.77万元，较2023年预算减少124.40万元，其中：基本支出增加1507.19万元，主要为人员经费支出增加1513.22万元，日常公用经费支出减少6.03万元。项目支出减少1631.59万元，主要为2024年度项目支出减少1631.59万元。</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pStyle w:val="19"/>
        <w:rPr>
          <w:lang w:eastAsia="zh-CN"/>
        </w:rPr>
      </w:pPr>
      <w:r>
        <w:t>202</w:t>
      </w:r>
      <w:r>
        <w:rPr>
          <w:rFonts w:hint="eastAsia"/>
          <w:lang w:eastAsia="zh-CN"/>
        </w:rPr>
        <w:t>4</w:t>
      </w:r>
      <w:r>
        <w:t>年，我部门运行经费共计安排</w:t>
      </w:r>
      <w:r>
        <w:rPr>
          <w:rFonts w:hint="eastAsia"/>
          <w:lang w:eastAsia="zh-CN"/>
        </w:rPr>
        <w:t>94.43</w:t>
      </w:r>
      <w:r>
        <w:t>万元，主要用于保证机关正常运转的办公费、电费、党组织活动经费、办公取暖费、工会经费、福利费等日常运行支出。</w:t>
      </w:r>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eastAsiaTheme="minorEastAsia"/>
          <w:lang w:eastAsia="zh-CN"/>
        </w:rPr>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pStyle w:val="20"/>
        <w:rPr>
          <w:rFonts w:hint="eastAsia" w:eastAsiaTheme="minorEastAsia"/>
          <w:lang w:eastAsia="zh-CN"/>
        </w:rPr>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开展公安交管“放管服”改革措施</w:t>
      </w:r>
      <w:r>
        <w:rPr>
          <w:rFonts w:hint="eastAsia"/>
          <w:lang w:eastAsia="zh-CN"/>
        </w:rPr>
        <w:t>；</w:t>
      </w:r>
      <w:r>
        <w:t>明确目标，推动重点车辆管理工作上台阶</w:t>
      </w:r>
      <w:r>
        <w:rPr>
          <w:rFonts w:hint="eastAsia"/>
          <w:lang w:eastAsia="zh-CN"/>
        </w:rPr>
        <w:t>；</w:t>
      </w:r>
      <w:r>
        <w:t>大力推进智能交通建设</w:t>
      </w:r>
      <w:r>
        <w:rPr>
          <w:rFonts w:hint="eastAsia"/>
          <w:lang w:eastAsia="zh-CN"/>
        </w:rPr>
        <w:t>；</w:t>
      </w:r>
      <w:r>
        <w:t>提升辖区交通秩序管理水平</w:t>
      </w:r>
      <w:r>
        <w:rPr>
          <w:rFonts w:hint="eastAsia"/>
          <w:lang w:eastAsia="zh-CN"/>
        </w:rPr>
        <w:t>；</w:t>
      </w:r>
      <w:r>
        <w:t>重点交通违法行为整治</w:t>
      </w:r>
      <w:r>
        <w:rPr>
          <w:rFonts w:hint="eastAsia"/>
          <w:lang w:eastAsia="zh-CN"/>
        </w:rPr>
        <w:t>；</w:t>
      </w:r>
      <w:r>
        <w:t>推动交通安全宣传工作上台阶</w:t>
      </w:r>
      <w:r>
        <w:rPr>
          <w:rFonts w:hint="eastAsia"/>
          <w:lang w:eastAsia="zh-CN"/>
        </w:rPr>
        <w:t>；</w:t>
      </w:r>
      <w:r>
        <w:t>执法规范化、科学化明显进步。</w:t>
      </w:r>
    </w:p>
    <w:p>
      <w:pPr>
        <w:spacing w:line="500" w:lineRule="exact"/>
        <w:ind w:firstLine="560"/>
      </w:pPr>
      <w:r>
        <w:rPr>
          <w:rFonts w:eastAsia="方正仿宋_GBK"/>
          <w:color w:val="000000"/>
          <w:sz w:val="28"/>
        </w:rPr>
        <w:t>（二）分项绩效目标</w:t>
      </w:r>
    </w:p>
    <w:p>
      <w:pPr>
        <w:pStyle w:val="22"/>
      </w:pPr>
      <w:r>
        <w:rPr>
          <w:rFonts w:hint="eastAsia"/>
          <w:lang w:eastAsia="zh-CN"/>
        </w:rPr>
        <w:t>1、</w:t>
      </w:r>
      <w:r>
        <w:t>根据有关规定，依法对国省市道实行统一科学管理、保障交通安全畅通有序；依法对交通参与的主体机动车和驾驶人实施有效监管，确保人民安全出行和社会安定。</w:t>
      </w:r>
    </w:p>
    <w:p>
      <w:pPr>
        <w:pStyle w:val="22"/>
      </w:pPr>
      <w:r>
        <w:rPr>
          <w:rFonts w:hint="eastAsia"/>
          <w:lang w:eastAsia="zh-CN"/>
        </w:rPr>
        <w:t>2、</w:t>
      </w:r>
      <w:r>
        <w:t>实施新型城镇化建设畅通工程，制定城市道路中长期发展规划，加大城市道路监控系统和道路安全设施建设，推进公路巡警中队建设，执行暑期及两会安保任务。</w:t>
      </w:r>
    </w:p>
    <w:p>
      <w:pPr>
        <w:pStyle w:val="22"/>
      </w:pPr>
      <w:r>
        <w:rPr>
          <w:rFonts w:hint="eastAsia"/>
          <w:lang w:eastAsia="zh-CN"/>
        </w:rPr>
        <w:t>3、</w:t>
      </w:r>
      <w:r>
        <w:t>组织处理道路交通事故和重大交通事故肇事逃逸案件的查缉侦破；对疑难交通事故责任认定进行审核；组织开展事故分析研判和预防对策的研究及隐患排查等预防工作；妥善处理由交通事故引发的信访工作。</w:t>
      </w:r>
    </w:p>
    <w:p>
      <w:pPr>
        <w:pStyle w:val="22"/>
      </w:pPr>
      <w:r>
        <w:rPr>
          <w:rFonts w:hint="eastAsia"/>
          <w:lang w:eastAsia="zh-CN"/>
        </w:rPr>
        <w:t>4、</w:t>
      </w:r>
      <w:r>
        <w:t>对全县机动车辆的登记管理、档案管理和牌证管理工作，开展对全县机动车驾驶人的证件和档案管理，组织对初学和违章记满分的驾驶人教育培训考试及驾照发放工作，完善各项便民利民措施。   绩效目标:提高全县交通管理水平，维护全县良好的道路交通秩序，缓解城市交通拥堵，提高道路通行能力；加强公路巡警中队建设，提升道路交通秩序管理水平。提高全县交通事故处理工作规范化、科学化水平，让群众在每起案件中都感受到公平正义，努力实现“事故少、秩序好、道路畅通、群众满意”的总体工作目标。依法对机动车和驾驶人实施有效监管，确保人民安全出行和社会安定；掌握全县各类机动车辆的保有量及车辆技术参数和机动车安全技术检验，加大对二手车和报废车的管控力度，确保无故障车上路行驶。</w:t>
      </w:r>
    </w:p>
    <w:p>
      <w:pPr>
        <w:spacing w:line="500" w:lineRule="exact"/>
        <w:ind w:firstLine="560"/>
      </w:pPr>
      <w:r>
        <w:rPr>
          <w:rFonts w:eastAsia="方正仿宋_GBK"/>
          <w:color w:val="000000"/>
          <w:sz w:val="28"/>
        </w:rPr>
        <w:t>（三）工作保障措施</w:t>
      </w:r>
    </w:p>
    <w:p>
      <w:pPr>
        <w:pStyle w:val="23"/>
      </w:pPr>
      <w:r>
        <w:rPr>
          <w:rFonts w:hint="eastAsia"/>
          <w:lang w:eastAsia="zh-CN"/>
        </w:rPr>
        <w:t>1、</w:t>
      </w:r>
      <w:r>
        <w:t>深入推进“放管服”改革，开展公安交管“放管服”便民措施，为人民群众提供更好更优质的服务。</w:t>
      </w:r>
    </w:p>
    <w:p>
      <w:pPr>
        <w:pStyle w:val="23"/>
      </w:pPr>
      <w:r>
        <w:rPr>
          <w:rFonts w:hint="eastAsia"/>
          <w:lang w:eastAsia="zh-CN"/>
        </w:rPr>
        <w:t>2、</w:t>
      </w:r>
      <w:r>
        <w:t>完成“重点车辆/驾驶人安全监督全程服务平台”信息录入工作，实现源头监管机制的创新和规范，加强对重点驾驶人的监管。</w:t>
      </w:r>
    </w:p>
    <w:p>
      <w:pPr>
        <w:pStyle w:val="23"/>
      </w:pPr>
      <w:r>
        <w:rPr>
          <w:rFonts w:hint="eastAsia"/>
          <w:lang w:eastAsia="zh-CN"/>
        </w:rPr>
        <w:t>3、</w:t>
      </w:r>
      <w:r>
        <w:t>推动城区道路交通智能化改造工程，进一步规范停车管理，推动“三车”治理，实行严格岗勤制度，创造良好道路交通环境，进一步提升我县文明城市形象。</w:t>
      </w:r>
    </w:p>
    <w:p>
      <w:pPr>
        <w:pStyle w:val="23"/>
        <w:rPr>
          <w:lang w:eastAsia="zh-CN"/>
        </w:rPr>
      </w:pPr>
      <w:r>
        <w:rPr>
          <w:rFonts w:hint="eastAsia"/>
          <w:lang w:eastAsia="zh-CN"/>
        </w:rPr>
        <w:t>4、</w:t>
      </w:r>
      <w:r>
        <w:t xml:space="preserve">加强道路安全隐患排查整治，强化快处快赔机制，确保办案整体质量和道路畅通。 </w:t>
      </w:r>
    </w:p>
    <w:p>
      <w:pPr>
        <w:pStyle w:val="23"/>
      </w:pPr>
      <w:r>
        <w:rPr>
          <w:rFonts w:hint="eastAsia"/>
          <w:lang w:eastAsia="zh-CN"/>
        </w:rPr>
        <w:t>5、</w:t>
      </w:r>
      <w:r>
        <w:t>做好全县车管所等级评定争创活动，深化驾驶人培训监督和考试管理，严把车辆安全性能监管，积极开展社会管理创新活动。</w:t>
      </w:r>
    </w:p>
    <w:p>
      <w:pPr>
        <w:pStyle w:val="23"/>
        <w:rPr>
          <w:lang w:eastAsia="zh-CN"/>
        </w:rPr>
      </w:pPr>
      <w:r>
        <w:rPr>
          <w:rFonts w:hint="eastAsia"/>
          <w:lang w:eastAsia="zh-CN"/>
        </w:rPr>
        <w:t>6、</w:t>
      </w:r>
      <w:r>
        <w:t>坚持民主理财,增强财务管理的透明度。大队成立民主理财小组，严格执行财务内控制度，严肃财经纪律，实行预算、决算公开，保障预算经费科学、合理使用。</w:t>
      </w:r>
      <w:bookmarkStart w:id="14" w:name="_Toc_3_3_0000000015"/>
    </w:p>
    <w:p>
      <w:pPr>
        <w:pStyle w:val="23"/>
        <w:rPr>
          <w:rFonts w:ascii="黑体" w:hAnsi="黑体" w:eastAsia="黑体" w:cs="黑体"/>
          <w:color w:val="000000"/>
          <w:sz w:val="32"/>
          <w:lang w:eastAsia="zh-CN"/>
        </w:rPr>
      </w:pPr>
      <w:r>
        <w:rPr>
          <w:rFonts w:ascii="黑体" w:hAnsi="黑体" w:eastAsia="黑体" w:cs="黑体"/>
          <w:color w:val="000000"/>
          <w:sz w:val="32"/>
        </w:rPr>
        <w:t>六、部门主管专项资金预算安排情况及绩效目标</w:t>
      </w:r>
      <w:bookmarkEnd w:id="14"/>
    </w:p>
    <w:p>
      <w:pPr>
        <w:pStyle w:val="23"/>
        <w:rPr>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1、2024年度省级基层公检法司转移支付资金（石财行【2023】49号）绩效目标表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13012324P00264210437X</w:t>
            </w:r>
          </w:p>
        </w:tc>
        <w:tc>
          <w:tcPr>
            <w:tcW w:w="2835" w:type="dxa"/>
            <w:vAlign w:val="center"/>
          </w:tcPr>
          <w:p>
            <w:pPr>
              <w:pStyle w:val="10"/>
            </w:pPr>
            <w:r>
              <w:t>项目名称</w:t>
            </w:r>
          </w:p>
        </w:tc>
        <w:tc>
          <w:tcPr>
            <w:tcW w:w="6094" w:type="dxa"/>
            <w:gridSpan w:val="3"/>
            <w:vAlign w:val="center"/>
          </w:tcPr>
          <w:p>
            <w:pPr>
              <w:pStyle w:val="12"/>
            </w:pPr>
            <w:r>
              <w:t>2024年度省级基层公检法司转移支付资金（石财行【2023】49号）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2024年省级基层公检法司转移支付资金共计200万元，其中业务装备经费100万元、办案（业务）经费100万元。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200.00</w:t>
            </w:r>
          </w:p>
        </w:tc>
        <w:tc>
          <w:tcPr>
            <w:tcW w:w="2835" w:type="dxa"/>
            <w:vAlign w:val="center"/>
          </w:tcPr>
          <w:p>
            <w:pPr>
              <w:pStyle w:val="13"/>
            </w:pPr>
            <w:r>
              <w:t>200.00</w:t>
            </w:r>
          </w:p>
        </w:tc>
        <w:tc>
          <w:tcPr>
            <w:tcW w:w="2551" w:type="dxa"/>
            <w:vAlign w:val="center"/>
          </w:tcPr>
          <w:p>
            <w:pPr>
              <w:pStyle w:val="13"/>
            </w:pPr>
            <w:r>
              <w:t>200.00</w:t>
            </w:r>
          </w:p>
        </w:tc>
        <w:tc>
          <w:tcPr>
            <w:tcW w:w="3543"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rPr>
                <w:rFonts w:hint="eastAsia" w:eastAsiaTheme="minorEastAsia"/>
                <w:lang w:eastAsia="zh-CN"/>
              </w:rPr>
            </w:pPr>
            <w:r>
              <w:t>1.进一步提高大队警务保障能力，保证各项任务的顺利完成。</w:t>
            </w:r>
          </w:p>
          <w:p>
            <w:pPr>
              <w:pStyle w:val="12"/>
            </w:pPr>
            <w:r>
              <w:t>2.保障大队各项交通管理工作正常运转，确保人民群众安全出行。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鉴定数量</w:t>
            </w:r>
          </w:p>
        </w:tc>
        <w:tc>
          <w:tcPr>
            <w:tcW w:w="5386" w:type="dxa"/>
            <w:vAlign w:val="center"/>
          </w:tcPr>
          <w:p>
            <w:pPr>
              <w:pStyle w:val="12"/>
            </w:pPr>
            <w:r>
              <w:t>交通事故案件鉴定数量</w:t>
            </w:r>
          </w:p>
        </w:tc>
        <w:tc>
          <w:tcPr>
            <w:tcW w:w="2268" w:type="dxa"/>
            <w:vAlign w:val="center"/>
          </w:tcPr>
          <w:p>
            <w:pPr>
              <w:pStyle w:val="12"/>
            </w:pPr>
            <w:r>
              <w:t>≥100个</w:t>
            </w:r>
          </w:p>
        </w:tc>
        <w:tc>
          <w:tcPr>
            <w:tcW w:w="1276" w:type="dxa"/>
            <w:vAlign w:val="center"/>
          </w:tcPr>
          <w:p>
            <w:pPr>
              <w:pStyle w:val="12"/>
            </w:pPr>
            <w:r>
              <w:t>交通事故发生起数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鉴定合格率</w:t>
            </w:r>
          </w:p>
        </w:tc>
        <w:tc>
          <w:tcPr>
            <w:tcW w:w="5386" w:type="dxa"/>
            <w:vAlign w:val="center"/>
          </w:tcPr>
          <w:p>
            <w:pPr>
              <w:pStyle w:val="12"/>
            </w:pPr>
            <w:r>
              <w:t>交通事故案件鉴定合格率</w:t>
            </w:r>
          </w:p>
        </w:tc>
        <w:tc>
          <w:tcPr>
            <w:tcW w:w="2268" w:type="dxa"/>
            <w:vAlign w:val="center"/>
          </w:tcPr>
          <w:p>
            <w:pPr>
              <w:pStyle w:val="12"/>
            </w:pPr>
            <w:r>
              <w:t>100%</w:t>
            </w:r>
          </w:p>
        </w:tc>
        <w:tc>
          <w:tcPr>
            <w:tcW w:w="1276" w:type="dxa"/>
            <w:vAlign w:val="center"/>
          </w:tcPr>
          <w:p>
            <w:pPr>
              <w:pStyle w:val="12"/>
            </w:pPr>
            <w:r>
              <w:t>交通事故案件鉴定结果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鉴定完成时间</w:t>
            </w:r>
          </w:p>
        </w:tc>
        <w:tc>
          <w:tcPr>
            <w:tcW w:w="5386" w:type="dxa"/>
            <w:vAlign w:val="center"/>
          </w:tcPr>
          <w:p>
            <w:pPr>
              <w:pStyle w:val="12"/>
            </w:pPr>
            <w:r>
              <w:t>交通事故案件鉴定完成时间</w:t>
            </w:r>
          </w:p>
        </w:tc>
        <w:tc>
          <w:tcPr>
            <w:tcW w:w="2268" w:type="dxa"/>
            <w:vAlign w:val="center"/>
          </w:tcPr>
          <w:p>
            <w:pPr>
              <w:pStyle w:val="12"/>
            </w:pPr>
            <w:r>
              <w:t>2024年12月底前</w:t>
            </w:r>
          </w:p>
        </w:tc>
        <w:tc>
          <w:tcPr>
            <w:tcW w:w="1276" w:type="dxa"/>
            <w:vAlign w:val="center"/>
          </w:tcPr>
          <w:p>
            <w:pPr>
              <w:pStyle w:val="12"/>
            </w:pPr>
            <w:r>
              <w:t>交通事故案件结案工作需要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≤200万元</w:t>
            </w:r>
          </w:p>
        </w:tc>
        <w:tc>
          <w:tcPr>
            <w:tcW w:w="1276" w:type="dxa"/>
            <w:vAlign w:val="center"/>
          </w:tcPr>
          <w:p>
            <w:pPr>
              <w:pStyle w:val="12"/>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通过开展事故案件鉴定工作，保障大队交通管理工作正常运转</w:t>
            </w:r>
          </w:p>
        </w:tc>
        <w:tc>
          <w:tcPr>
            <w:tcW w:w="2268" w:type="dxa"/>
            <w:vAlign w:val="center"/>
          </w:tcPr>
          <w:p>
            <w:pPr>
              <w:pStyle w:val="12"/>
            </w:pPr>
            <w:r>
              <w:t>100%</w:t>
            </w:r>
          </w:p>
        </w:tc>
        <w:tc>
          <w:tcPr>
            <w:tcW w:w="1276" w:type="dxa"/>
            <w:vAlign w:val="center"/>
          </w:tcPr>
          <w:p>
            <w:pPr>
              <w:pStyle w:val="12"/>
            </w:pPr>
            <w:r>
              <w:t>交管业务工作计划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通过抽查问卷的方式，调查部分群众的满意度</w:t>
            </w:r>
          </w:p>
        </w:tc>
        <w:tc>
          <w:tcPr>
            <w:tcW w:w="2268" w:type="dxa"/>
            <w:vAlign w:val="center"/>
          </w:tcPr>
          <w:p>
            <w:pPr>
              <w:pStyle w:val="12"/>
            </w:pPr>
            <w:r>
              <w:t>≥95%</w:t>
            </w:r>
          </w:p>
        </w:tc>
        <w:tc>
          <w:tcPr>
            <w:tcW w:w="1276" w:type="dxa"/>
            <w:vAlign w:val="center"/>
          </w:tcPr>
          <w:p>
            <w:pPr>
              <w:pStyle w:val="12"/>
            </w:pPr>
            <w:r>
              <w:t>办事群众调查问卷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2、2024年中央政法纪检监察转移支付资金（石财行【2023】48号）绩效目标表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13012324P00264210436A</w:t>
            </w:r>
          </w:p>
        </w:tc>
        <w:tc>
          <w:tcPr>
            <w:tcW w:w="2835" w:type="dxa"/>
            <w:vAlign w:val="center"/>
          </w:tcPr>
          <w:p>
            <w:pPr>
              <w:pStyle w:val="10"/>
            </w:pPr>
            <w:r>
              <w:t>项目名称</w:t>
            </w:r>
          </w:p>
        </w:tc>
        <w:tc>
          <w:tcPr>
            <w:tcW w:w="6094" w:type="dxa"/>
            <w:gridSpan w:val="3"/>
            <w:vAlign w:val="center"/>
          </w:tcPr>
          <w:p>
            <w:pPr>
              <w:pStyle w:val="12"/>
            </w:pPr>
            <w:r>
              <w:t>2024年中央政法纪检监察转移支付资金（石财行【2023】48号）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2024年中央政法纪检监察转移支付资金共计49万元，其中业务装备经费 24万元、办案（业务）费 25万元。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49.00</w:t>
            </w:r>
          </w:p>
        </w:tc>
        <w:tc>
          <w:tcPr>
            <w:tcW w:w="2835" w:type="dxa"/>
            <w:vAlign w:val="center"/>
          </w:tcPr>
          <w:p>
            <w:pPr>
              <w:pStyle w:val="13"/>
            </w:pPr>
            <w:r>
              <w:t>49.00</w:t>
            </w:r>
          </w:p>
        </w:tc>
        <w:tc>
          <w:tcPr>
            <w:tcW w:w="2551" w:type="dxa"/>
            <w:vAlign w:val="center"/>
          </w:tcPr>
          <w:p>
            <w:pPr>
              <w:pStyle w:val="13"/>
            </w:pPr>
            <w:r>
              <w:t>49.00</w:t>
            </w:r>
          </w:p>
        </w:tc>
        <w:tc>
          <w:tcPr>
            <w:tcW w:w="3543" w:type="dxa"/>
            <w:gridSpan w:val="2"/>
            <w:vAlign w:val="center"/>
          </w:tcPr>
          <w:p>
            <w:pPr>
              <w:pStyle w:val="13"/>
            </w:pPr>
            <w:r>
              <w:t>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1.进一步提高大队警务保障能力，保证各项任务的顺利完成。</w:t>
            </w:r>
          </w:p>
          <w:p>
            <w:pPr>
              <w:pStyle w:val="12"/>
            </w:pPr>
            <w:r>
              <w:t>2.保障大队各项交通管理工作正常运转，确保人民群众安全出行。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鉴定数量</w:t>
            </w:r>
          </w:p>
        </w:tc>
        <w:tc>
          <w:tcPr>
            <w:tcW w:w="5386" w:type="dxa"/>
            <w:vAlign w:val="center"/>
          </w:tcPr>
          <w:p>
            <w:pPr>
              <w:pStyle w:val="12"/>
            </w:pPr>
            <w:r>
              <w:t>交通事故案件鉴定数量</w:t>
            </w:r>
          </w:p>
        </w:tc>
        <w:tc>
          <w:tcPr>
            <w:tcW w:w="2268" w:type="dxa"/>
            <w:vAlign w:val="center"/>
          </w:tcPr>
          <w:p>
            <w:pPr>
              <w:pStyle w:val="12"/>
            </w:pPr>
            <w:r>
              <w:t>≥50个</w:t>
            </w:r>
          </w:p>
        </w:tc>
        <w:tc>
          <w:tcPr>
            <w:tcW w:w="1276" w:type="dxa"/>
            <w:vAlign w:val="center"/>
          </w:tcPr>
          <w:p>
            <w:pPr>
              <w:pStyle w:val="12"/>
            </w:pPr>
            <w:r>
              <w:t>交通事故发生起数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鉴定合格率</w:t>
            </w:r>
          </w:p>
        </w:tc>
        <w:tc>
          <w:tcPr>
            <w:tcW w:w="5386" w:type="dxa"/>
            <w:vAlign w:val="center"/>
          </w:tcPr>
          <w:p>
            <w:pPr>
              <w:pStyle w:val="12"/>
            </w:pPr>
            <w:r>
              <w:t>交通事故案件鉴定合格率</w:t>
            </w:r>
          </w:p>
        </w:tc>
        <w:tc>
          <w:tcPr>
            <w:tcW w:w="2268" w:type="dxa"/>
            <w:vAlign w:val="center"/>
          </w:tcPr>
          <w:p>
            <w:pPr>
              <w:pStyle w:val="12"/>
            </w:pPr>
            <w:r>
              <w:t>100%</w:t>
            </w:r>
          </w:p>
        </w:tc>
        <w:tc>
          <w:tcPr>
            <w:tcW w:w="1276" w:type="dxa"/>
            <w:vAlign w:val="center"/>
          </w:tcPr>
          <w:p>
            <w:pPr>
              <w:pStyle w:val="12"/>
            </w:pPr>
            <w:r>
              <w:t>交通事故案件鉴定结果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鉴定完成时间</w:t>
            </w:r>
          </w:p>
        </w:tc>
        <w:tc>
          <w:tcPr>
            <w:tcW w:w="5386" w:type="dxa"/>
            <w:vAlign w:val="center"/>
          </w:tcPr>
          <w:p>
            <w:pPr>
              <w:pStyle w:val="12"/>
            </w:pPr>
            <w:r>
              <w:t>交通事故案件鉴定完成时间</w:t>
            </w:r>
          </w:p>
        </w:tc>
        <w:tc>
          <w:tcPr>
            <w:tcW w:w="2268" w:type="dxa"/>
            <w:vAlign w:val="center"/>
          </w:tcPr>
          <w:p>
            <w:pPr>
              <w:pStyle w:val="12"/>
            </w:pPr>
            <w:r>
              <w:t>2024年12月底前</w:t>
            </w:r>
          </w:p>
        </w:tc>
        <w:tc>
          <w:tcPr>
            <w:tcW w:w="1276" w:type="dxa"/>
            <w:vAlign w:val="center"/>
          </w:tcPr>
          <w:p>
            <w:pPr>
              <w:pStyle w:val="12"/>
            </w:pPr>
            <w:r>
              <w:t>交通事故案件结案工作需要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≤49万元</w:t>
            </w:r>
          </w:p>
        </w:tc>
        <w:tc>
          <w:tcPr>
            <w:tcW w:w="1276" w:type="dxa"/>
            <w:vAlign w:val="center"/>
          </w:tcPr>
          <w:p>
            <w:pPr>
              <w:pStyle w:val="12"/>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单位正常运转率</w:t>
            </w:r>
            <w:r>
              <w:tab/>
            </w:r>
          </w:p>
          <w:p>
            <w:pPr>
              <w:pStyle w:val="12"/>
            </w:pPr>
          </w:p>
        </w:tc>
        <w:tc>
          <w:tcPr>
            <w:tcW w:w="5386" w:type="dxa"/>
            <w:vAlign w:val="center"/>
          </w:tcPr>
          <w:p>
            <w:pPr>
              <w:pStyle w:val="12"/>
            </w:pPr>
            <w:r>
              <w:t>通过开展事故案件鉴定工作，保障大队交通管理工作正常运转</w:t>
            </w:r>
          </w:p>
        </w:tc>
        <w:tc>
          <w:tcPr>
            <w:tcW w:w="2268" w:type="dxa"/>
            <w:vAlign w:val="center"/>
          </w:tcPr>
          <w:p>
            <w:pPr>
              <w:pStyle w:val="12"/>
            </w:pPr>
            <w:r>
              <w:t>100%</w:t>
            </w:r>
          </w:p>
        </w:tc>
        <w:tc>
          <w:tcPr>
            <w:tcW w:w="1276" w:type="dxa"/>
            <w:vAlign w:val="center"/>
          </w:tcPr>
          <w:p>
            <w:pPr>
              <w:pStyle w:val="12"/>
            </w:pPr>
            <w:r>
              <w:t>交管业务工作计划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通过抽查问卷的方式，调查部分群众的满意度</w:t>
            </w:r>
          </w:p>
        </w:tc>
        <w:tc>
          <w:tcPr>
            <w:tcW w:w="2268" w:type="dxa"/>
            <w:vAlign w:val="center"/>
          </w:tcPr>
          <w:p>
            <w:pPr>
              <w:pStyle w:val="12"/>
            </w:pPr>
            <w:r>
              <w:t>≥95%</w:t>
            </w:r>
          </w:p>
        </w:tc>
        <w:tc>
          <w:tcPr>
            <w:tcW w:w="1276" w:type="dxa"/>
            <w:vAlign w:val="center"/>
          </w:tcPr>
          <w:p>
            <w:pPr>
              <w:pStyle w:val="12"/>
            </w:pPr>
            <w:r>
              <w:t>办事群众调查问卷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3、道路护栏项目资金绩效目标表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13012324P00000211561P</w:t>
            </w:r>
          </w:p>
        </w:tc>
        <w:tc>
          <w:tcPr>
            <w:tcW w:w="2835" w:type="dxa"/>
            <w:vAlign w:val="center"/>
          </w:tcPr>
          <w:p>
            <w:pPr>
              <w:pStyle w:val="10"/>
            </w:pPr>
            <w:r>
              <w:t>项目名称</w:t>
            </w:r>
          </w:p>
        </w:tc>
        <w:tc>
          <w:tcPr>
            <w:tcW w:w="6094" w:type="dxa"/>
            <w:gridSpan w:val="3"/>
            <w:vAlign w:val="center"/>
          </w:tcPr>
          <w:p>
            <w:pPr>
              <w:pStyle w:val="12"/>
            </w:pPr>
            <w:r>
              <w:t>道路护栏项目资金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为全面提升道路交通安全综合治理成效，为群众提供安全畅通有序的道路交通环境，为此需在辖区部分路段安装道路护栏，需资金170万元。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57.00</w:t>
            </w:r>
          </w:p>
        </w:tc>
        <w:tc>
          <w:tcPr>
            <w:tcW w:w="2835" w:type="dxa"/>
            <w:vAlign w:val="center"/>
          </w:tcPr>
          <w:p>
            <w:pPr>
              <w:pStyle w:val="13"/>
            </w:pPr>
            <w:r>
              <w:t>114.00</w:t>
            </w:r>
          </w:p>
        </w:tc>
        <w:tc>
          <w:tcPr>
            <w:tcW w:w="2551" w:type="dxa"/>
            <w:vAlign w:val="center"/>
          </w:tcPr>
          <w:p>
            <w:pPr>
              <w:pStyle w:val="13"/>
            </w:pPr>
            <w:r>
              <w:t>170.00</w:t>
            </w:r>
          </w:p>
        </w:tc>
        <w:tc>
          <w:tcPr>
            <w:tcW w:w="3543" w:type="dxa"/>
            <w:gridSpan w:val="2"/>
            <w:vAlign w:val="center"/>
          </w:tcPr>
          <w:p>
            <w:pPr>
              <w:pStyle w:val="13"/>
            </w:pPr>
            <w:r>
              <w:t>170.00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1.提高道路通行能力，依法对交通参与的主体机动车和驾驶人实施有效监管。</w:t>
            </w:r>
          </w:p>
          <w:p>
            <w:pPr>
              <w:pStyle w:val="12"/>
            </w:pPr>
            <w:r>
              <w:t>2.规范非机动车、机动车、行人，提高道路通行率，提高全县交通管理水平。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护栏安装次数</w:t>
            </w:r>
          </w:p>
        </w:tc>
        <w:tc>
          <w:tcPr>
            <w:tcW w:w="5386" w:type="dxa"/>
            <w:vAlign w:val="center"/>
          </w:tcPr>
          <w:p>
            <w:pPr>
              <w:pStyle w:val="12"/>
            </w:pPr>
            <w:r>
              <w:t>护栏安装次数</w:t>
            </w:r>
          </w:p>
        </w:tc>
        <w:tc>
          <w:tcPr>
            <w:tcW w:w="2268" w:type="dxa"/>
            <w:vAlign w:val="center"/>
          </w:tcPr>
          <w:p>
            <w:pPr>
              <w:pStyle w:val="12"/>
            </w:pPr>
            <w:r>
              <w:t>≥3次</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护栏安装合格率</w:t>
            </w:r>
          </w:p>
        </w:tc>
        <w:tc>
          <w:tcPr>
            <w:tcW w:w="5386" w:type="dxa"/>
            <w:vAlign w:val="center"/>
          </w:tcPr>
          <w:p>
            <w:pPr>
              <w:pStyle w:val="12"/>
            </w:pPr>
            <w:r>
              <w:t>护栏安装验收合格率</w:t>
            </w:r>
          </w:p>
        </w:tc>
        <w:tc>
          <w:tcPr>
            <w:tcW w:w="2268" w:type="dxa"/>
            <w:vAlign w:val="center"/>
          </w:tcPr>
          <w:p>
            <w:pPr>
              <w:pStyle w:val="12"/>
            </w:pPr>
            <w:r>
              <w:t>100%</w:t>
            </w:r>
          </w:p>
        </w:tc>
        <w:tc>
          <w:tcPr>
            <w:tcW w:w="1276" w:type="dxa"/>
            <w:vAlign w:val="center"/>
          </w:tcPr>
          <w:p>
            <w:pPr>
              <w:pStyle w:val="12"/>
            </w:pPr>
            <w:r>
              <w:t>实际护栏安装检验合格率结果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项目工作完成时间</w:t>
            </w:r>
          </w:p>
        </w:tc>
        <w:tc>
          <w:tcPr>
            <w:tcW w:w="2268" w:type="dxa"/>
            <w:vAlign w:val="center"/>
          </w:tcPr>
          <w:p>
            <w:pPr>
              <w:pStyle w:val="12"/>
            </w:pPr>
            <w:r>
              <w:t>2024年12月底前</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≤170万元</w:t>
            </w:r>
          </w:p>
        </w:tc>
        <w:tc>
          <w:tcPr>
            <w:tcW w:w="1276" w:type="dxa"/>
            <w:vAlign w:val="center"/>
          </w:tcPr>
          <w:p>
            <w:pPr>
              <w:pStyle w:val="12"/>
            </w:pPr>
            <w:r>
              <w:t>项目实际测算需求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护栏安装使用计划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道路交通安保稳定保障</w:t>
            </w:r>
          </w:p>
        </w:tc>
        <w:tc>
          <w:tcPr>
            <w:tcW w:w="5386" w:type="dxa"/>
            <w:vAlign w:val="center"/>
          </w:tcPr>
          <w:p>
            <w:pPr>
              <w:pStyle w:val="12"/>
            </w:pPr>
            <w:r>
              <w:t>保障全县道路交通安全稳定</w:t>
            </w:r>
          </w:p>
        </w:tc>
        <w:tc>
          <w:tcPr>
            <w:tcW w:w="2268" w:type="dxa"/>
            <w:vAlign w:val="center"/>
          </w:tcPr>
          <w:p>
            <w:pPr>
              <w:pStyle w:val="12"/>
            </w:pPr>
            <w:r>
              <w:t>比上年提升</w:t>
            </w:r>
          </w:p>
        </w:tc>
        <w:tc>
          <w:tcPr>
            <w:tcW w:w="1276" w:type="dxa"/>
            <w:vAlign w:val="center"/>
          </w:tcPr>
          <w:p>
            <w:pPr>
              <w:pStyle w:val="12"/>
            </w:pPr>
            <w:r>
              <w:t>大队工作计划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群众满意度数量占调查总数的比例</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4、道路交通划线项目资金绩效目标表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13012324P00000211557H</w:t>
            </w:r>
          </w:p>
        </w:tc>
        <w:tc>
          <w:tcPr>
            <w:tcW w:w="2835" w:type="dxa"/>
            <w:vAlign w:val="center"/>
          </w:tcPr>
          <w:p>
            <w:pPr>
              <w:pStyle w:val="10"/>
            </w:pPr>
            <w:r>
              <w:t>项目名称</w:t>
            </w:r>
          </w:p>
        </w:tc>
        <w:tc>
          <w:tcPr>
            <w:tcW w:w="6094" w:type="dxa"/>
            <w:gridSpan w:val="3"/>
            <w:vAlign w:val="center"/>
          </w:tcPr>
          <w:p>
            <w:pPr>
              <w:pStyle w:val="12"/>
            </w:pPr>
            <w:r>
              <w:t>道路交通划线项目资金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为进一步提升正定交通文明形象，规范道路交通秩序，道路交通划线项目需资金300万元。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3" w:type="dxa"/>
            <w:gridSpan w:val="2"/>
            <w:vAlign w:val="center"/>
          </w:tcPr>
          <w:p>
            <w:pPr>
              <w:pStyle w:val="13"/>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1.通过对道路标识更换提升，规范非机动车、机动车、行人，提高道路通行率，提高全县交通管理水平。</w:t>
            </w:r>
            <w:r>
              <w:tab/>
            </w:r>
          </w:p>
          <w:p>
            <w:pPr>
              <w:pStyle w:val="12"/>
            </w:pPr>
            <w:r>
              <w:t>2.提高全县交通管理水平，依法对交通参与的主体机动车和驾驶人实施有效监管。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冷喷标线次数</w:t>
            </w:r>
          </w:p>
        </w:tc>
        <w:tc>
          <w:tcPr>
            <w:tcW w:w="5386" w:type="dxa"/>
            <w:vAlign w:val="center"/>
          </w:tcPr>
          <w:p>
            <w:pPr>
              <w:pStyle w:val="12"/>
            </w:pPr>
            <w:r>
              <w:t>冷喷标线次数</w:t>
            </w:r>
          </w:p>
        </w:tc>
        <w:tc>
          <w:tcPr>
            <w:tcW w:w="2268" w:type="dxa"/>
            <w:vAlign w:val="center"/>
          </w:tcPr>
          <w:p>
            <w:pPr>
              <w:pStyle w:val="12"/>
            </w:pPr>
            <w:r>
              <w:t>≥2次</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冷喷合格率</w:t>
            </w:r>
          </w:p>
        </w:tc>
        <w:tc>
          <w:tcPr>
            <w:tcW w:w="5386" w:type="dxa"/>
            <w:vAlign w:val="center"/>
          </w:tcPr>
          <w:p>
            <w:pPr>
              <w:pStyle w:val="12"/>
            </w:pPr>
            <w:r>
              <w:t>冷喷标线工程验收合格率</w:t>
            </w:r>
          </w:p>
        </w:tc>
        <w:tc>
          <w:tcPr>
            <w:tcW w:w="2268" w:type="dxa"/>
            <w:vAlign w:val="center"/>
          </w:tcPr>
          <w:p>
            <w:pPr>
              <w:pStyle w:val="12"/>
            </w:pPr>
            <w:r>
              <w:t>100%</w:t>
            </w:r>
          </w:p>
        </w:tc>
        <w:tc>
          <w:tcPr>
            <w:tcW w:w="1276" w:type="dxa"/>
            <w:vAlign w:val="center"/>
          </w:tcPr>
          <w:p>
            <w:pPr>
              <w:pStyle w:val="12"/>
            </w:pPr>
            <w:r>
              <w:t>实际冷喷检验合格率结果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项目工作完成时间</w:t>
            </w:r>
          </w:p>
        </w:tc>
        <w:tc>
          <w:tcPr>
            <w:tcW w:w="2268" w:type="dxa"/>
            <w:vAlign w:val="center"/>
          </w:tcPr>
          <w:p>
            <w:pPr>
              <w:pStyle w:val="12"/>
            </w:pPr>
            <w:r>
              <w:t>2024年12月底前</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≤300万元</w:t>
            </w:r>
          </w:p>
        </w:tc>
        <w:tc>
          <w:tcPr>
            <w:tcW w:w="1276" w:type="dxa"/>
            <w:vAlign w:val="center"/>
          </w:tcPr>
          <w:p>
            <w:pPr>
              <w:pStyle w:val="12"/>
            </w:pPr>
            <w:r>
              <w:t>项目实际测算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道路交通安保稳定保障</w:t>
            </w:r>
          </w:p>
        </w:tc>
        <w:tc>
          <w:tcPr>
            <w:tcW w:w="5386" w:type="dxa"/>
            <w:vAlign w:val="center"/>
          </w:tcPr>
          <w:p>
            <w:pPr>
              <w:pStyle w:val="12"/>
            </w:pPr>
            <w:r>
              <w:t>保障全县道路交通安全稳定</w:t>
            </w:r>
          </w:p>
        </w:tc>
        <w:tc>
          <w:tcPr>
            <w:tcW w:w="2268" w:type="dxa"/>
            <w:vAlign w:val="center"/>
          </w:tcPr>
          <w:p>
            <w:pPr>
              <w:pStyle w:val="12"/>
            </w:pPr>
            <w:r>
              <w:t>比上年提升</w:t>
            </w:r>
          </w:p>
        </w:tc>
        <w:tc>
          <w:tcPr>
            <w:tcW w:w="1276" w:type="dxa"/>
            <w:vAlign w:val="center"/>
          </w:tcPr>
          <w:p>
            <w:pPr>
              <w:pStyle w:val="12"/>
            </w:pPr>
            <w:r>
              <w:t>道路交通安全稳定情况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群众满意度数量占调查总数的比例</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5、交管大队指挥中心平台升级项目资金绩效目标表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13012324P00000211556X</w:t>
            </w:r>
          </w:p>
        </w:tc>
        <w:tc>
          <w:tcPr>
            <w:tcW w:w="2835" w:type="dxa"/>
            <w:vAlign w:val="center"/>
          </w:tcPr>
          <w:p>
            <w:pPr>
              <w:pStyle w:val="10"/>
            </w:pPr>
            <w:r>
              <w:t>项目名称</w:t>
            </w:r>
          </w:p>
        </w:tc>
        <w:tc>
          <w:tcPr>
            <w:tcW w:w="6094" w:type="dxa"/>
            <w:gridSpan w:val="3"/>
            <w:vAlign w:val="center"/>
          </w:tcPr>
          <w:p>
            <w:pPr>
              <w:pStyle w:val="12"/>
            </w:pPr>
            <w:r>
              <w:t>交管大队指挥中心平台升级项目资金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交管大队指挥中心平台进行升级需资金180万元。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3"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1.提高全县交通管理水平，确保人民安全出行和社会安定。</w:t>
            </w:r>
          </w:p>
          <w:p>
            <w:pPr>
              <w:pStyle w:val="12"/>
            </w:pPr>
            <w:r>
              <w:t>2.缓解城市拥堵，县镇交通混乱，减少主要路段交通事故。</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软件系统采购数量</w:t>
            </w:r>
          </w:p>
        </w:tc>
        <w:tc>
          <w:tcPr>
            <w:tcW w:w="5386" w:type="dxa"/>
            <w:vAlign w:val="center"/>
          </w:tcPr>
          <w:p>
            <w:pPr>
              <w:pStyle w:val="12"/>
            </w:pPr>
            <w:r>
              <w:t>智慧交管建设软件系统采购数量</w:t>
            </w:r>
          </w:p>
        </w:tc>
        <w:tc>
          <w:tcPr>
            <w:tcW w:w="2268" w:type="dxa"/>
            <w:vAlign w:val="center"/>
          </w:tcPr>
          <w:p>
            <w:pPr>
              <w:pStyle w:val="12"/>
            </w:pPr>
            <w:r>
              <w:t>≥3套</w:t>
            </w:r>
          </w:p>
        </w:tc>
        <w:tc>
          <w:tcPr>
            <w:tcW w:w="1276" w:type="dxa"/>
            <w:vAlign w:val="center"/>
          </w:tcPr>
          <w:p>
            <w:pPr>
              <w:pStyle w:val="12"/>
            </w:pPr>
            <w:r>
              <w:t>指挥中心平台升级软件系统采购数量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项目验收正常开展后继工作合格率</w:t>
            </w:r>
          </w:p>
        </w:tc>
        <w:tc>
          <w:tcPr>
            <w:tcW w:w="2268" w:type="dxa"/>
            <w:vAlign w:val="center"/>
          </w:tcPr>
          <w:p>
            <w:pPr>
              <w:pStyle w:val="12"/>
            </w:pPr>
            <w:r>
              <w:t>100%</w:t>
            </w:r>
          </w:p>
        </w:tc>
        <w:tc>
          <w:tcPr>
            <w:tcW w:w="1276" w:type="dxa"/>
            <w:vAlign w:val="center"/>
          </w:tcPr>
          <w:p>
            <w:pPr>
              <w:pStyle w:val="12"/>
            </w:pPr>
            <w:r>
              <w:t>项目验收合格情况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项目工作完成时间</w:t>
            </w:r>
          </w:p>
        </w:tc>
        <w:tc>
          <w:tcPr>
            <w:tcW w:w="2268" w:type="dxa"/>
            <w:vAlign w:val="center"/>
          </w:tcPr>
          <w:p>
            <w:pPr>
              <w:pStyle w:val="12"/>
            </w:pPr>
            <w:r>
              <w:t>2024年12月底前</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≤180万元</w:t>
            </w:r>
          </w:p>
        </w:tc>
        <w:tc>
          <w:tcPr>
            <w:tcW w:w="1276" w:type="dxa"/>
            <w:vAlign w:val="center"/>
          </w:tcPr>
          <w:p>
            <w:pPr>
              <w:pStyle w:val="12"/>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提升道路安全防控能力</w:t>
            </w:r>
          </w:p>
        </w:tc>
        <w:tc>
          <w:tcPr>
            <w:tcW w:w="5386" w:type="dxa"/>
            <w:vAlign w:val="center"/>
          </w:tcPr>
          <w:p>
            <w:pPr>
              <w:pStyle w:val="12"/>
            </w:pPr>
            <w:r>
              <w:t>提升道路安全防控能力，促进道路安全智慧建设行业优化</w:t>
            </w:r>
          </w:p>
        </w:tc>
        <w:tc>
          <w:tcPr>
            <w:tcW w:w="2268" w:type="dxa"/>
            <w:vAlign w:val="center"/>
          </w:tcPr>
          <w:p>
            <w:pPr>
              <w:pStyle w:val="12"/>
            </w:pPr>
            <w:r>
              <w:t>比上年提升</w:t>
            </w:r>
          </w:p>
        </w:tc>
        <w:tc>
          <w:tcPr>
            <w:tcW w:w="1276" w:type="dxa"/>
            <w:vAlign w:val="center"/>
          </w:tcPr>
          <w:p>
            <w:pPr>
              <w:pStyle w:val="12"/>
            </w:pPr>
            <w:r>
              <w:t>大队年度工作计划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项目投入使用后使用人员满意程度比例</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6、交管政务管理经费项目资金绩效目标表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13012324P000002113711</w:t>
            </w:r>
          </w:p>
        </w:tc>
        <w:tc>
          <w:tcPr>
            <w:tcW w:w="2835" w:type="dxa"/>
            <w:vAlign w:val="center"/>
          </w:tcPr>
          <w:p>
            <w:pPr>
              <w:pStyle w:val="10"/>
            </w:pPr>
            <w:r>
              <w:t>项目名称</w:t>
            </w:r>
          </w:p>
        </w:tc>
        <w:tc>
          <w:tcPr>
            <w:tcW w:w="6094" w:type="dxa"/>
            <w:gridSpan w:val="3"/>
            <w:vAlign w:val="center"/>
          </w:tcPr>
          <w:p>
            <w:pPr>
              <w:pStyle w:val="12"/>
            </w:pPr>
            <w:r>
              <w:t>交管政务管理经费项目资金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为保障大队各项工作正常运转，根据工作需要，需资金80万元。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80.00</w:t>
            </w:r>
          </w:p>
        </w:tc>
        <w:tc>
          <w:tcPr>
            <w:tcW w:w="2835" w:type="dxa"/>
            <w:vAlign w:val="center"/>
          </w:tcPr>
          <w:p>
            <w:pPr>
              <w:pStyle w:val="13"/>
            </w:pPr>
            <w:r>
              <w:t>80.00</w:t>
            </w:r>
          </w:p>
        </w:tc>
        <w:tc>
          <w:tcPr>
            <w:tcW w:w="2551" w:type="dxa"/>
            <w:vAlign w:val="center"/>
          </w:tcPr>
          <w:p>
            <w:pPr>
              <w:pStyle w:val="13"/>
            </w:pPr>
            <w:r>
              <w:t>80.00</w:t>
            </w:r>
          </w:p>
        </w:tc>
        <w:tc>
          <w:tcPr>
            <w:tcW w:w="3543"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rPr>
                <w:rFonts w:hint="eastAsia" w:eastAsiaTheme="minorEastAsia"/>
                <w:lang w:eastAsia="zh-CN"/>
              </w:rPr>
            </w:pPr>
            <w:r>
              <w:t>1.有效缓解城区拥堵和减少城乡交通管理混乱，减少交通事故的发生。</w:t>
            </w:r>
          </w:p>
          <w:p>
            <w:pPr>
              <w:pStyle w:val="12"/>
            </w:pPr>
            <w:r>
              <w:t>2.满足人民群众需要，保障各项业务顺利完成，更好的服务群众。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鉴定数量</w:t>
            </w:r>
          </w:p>
        </w:tc>
        <w:tc>
          <w:tcPr>
            <w:tcW w:w="5386" w:type="dxa"/>
            <w:vAlign w:val="center"/>
          </w:tcPr>
          <w:p>
            <w:pPr>
              <w:pStyle w:val="12"/>
            </w:pPr>
            <w:r>
              <w:t>交通事故案件鉴定数量</w:t>
            </w:r>
          </w:p>
        </w:tc>
        <w:tc>
          <w:tcPr>
            <w:tcW w:w="2268" w:type="dxa"/>
            <w:vAlign w:val="center"/>
          </w:tcPr>
          <w:p>
            <w:pPr>
              <w:pStyle w:val="12"/>
            </w:pPr>
            <w:r>
              <w:t>≥200件</w:t>
            </w:r>
          </w:p>
        </w:tc>
        <w:tc>
          <w:tcPr>
            <w:tcW w:w="1276" w:type="dxa"/>
            <w:vAlign w:val="center"/>
          </w:tcPr>
          <w:p>
            <w:pPr>
              <w:pStyle w:val="12"/>
            </w:pPr>
            <w:r>
              <w:t>交通事故历年参考数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鉴定合格率</w:t>
            </w:r>
          </w:p>
        </w:tc>
        <w:tc>
          <w:tcPr>
            <w:tcW w:w="5386" w:type="dxa"/>
            <w:vAlign w:val="center"/>
          </w:tcPr>
          <w:p>
            <w:pPr>
              <w:pStyle w:val="12"/>
            </w:pPr>
            <w:r>
              <w:t>交通事故案件鉴定合格率</w:t>
            </w:r>
          </w:p>
          <w:p>
            <w:pPr>
              <w:pStyle w:val="12"/>
            </w:pPr>
          </w:p>
        </w:tc>
        <w:tc>
          <w:tcPr>
            <w:tcW w:w="2268" w:type="dxa"/>
            <w:vAlign w:val="center"/>
          </w:tcPr>
          <w:p>
            <w:pPr>
              <w:pStyle w:val="12"/>
            </w:pPr>
            <w:r>
              <w:t>100%</w:t>
            </w:r>
          </w:p>
        </w:tc>
        <w:tc>
          <w:tcPr>
            <w:tcW w:w="1276" w:type="dxa"/>
            <w:vAlign w:val="center"/>
          </w:tcPr>
          <w:p>
            <w:pPr>
              <w:pStyle w:val="12"/>
            </w:pPr>
            <w:r>
              <w:t>实际事故案件鉴定结果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鉴定完成时间</w:t>
            </w:r>
          </w:p>
        </w:tc>
        <w:tc>
          <w:tcPr>
            <w:tcW w:w="5386" w:type="dxa"/>
            <w:vAlign w:val="center"/>
          </w:tcPr>
          <w:p>
            <w:pPr>
              <w:pStyle w:val="12"/>
            </w:pPr>
            <w:r>
              <w:t>交通事故案件鉴定完成时间</w:t>
            </w:r>
          </w:p>
        </w:tc>
        <w:tc>
          <w:tcPr>
            <w:tcW w:w="2268" w:type="dxa"/>
            <w:vAlign w:val="center"/>
          </w:tcPr>
          <w:p>
            <w:pPr>
              <w:pStyle w:val="12"/>
            </w:pPr>
            <w:r>
              <w:t>2024年12月底前完成</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≤80万元</w:t>
            </w:r>
          </w:p>
        </w:tc>
        <w:tc>
          <w:tcPr>
            <w:tcW w:w="1276" w:type="dxa"/>
            <w:vAlign w:val="center"/>
          </w:tcPr>
          <w:p>
            <w:pPr>
              <w:pStyle w:val="12"/>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通过开展事故案件鉴定工作，保障大队交通管理工作正常运转</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办理业务群众满意度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7、交管政务管理经费项目资金绩效目标表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13012324P000002115533</w:t>
            </w:r>
          </w:p>
        </w:tc>
        <w:tc>
          <w:tcPr>
            <w:tcW w:w="2835" w:type="dxa"/>
            <w:vAlign w:val="center"/>
          </w:tcPr>
          <w:p>
            <w:pPr>
              <w:pStyle w:val="10"/>
            </w:pPr>
            <w:r>
              <w:t>项目名称</w:t>
            </w:r>
          </w:p>
        </w:tc>
        <w:tc>
          <w:tcPr>
            <w:tcW w:w="6094" w:type="dxa"/>
            <w:gridSpan w:val="3"/>
            <w:vAlign w:val="center"/>
          </w:tcPr>
          <w:p>
            <w:pPr>
              <w:pStyle w:val="12"/>
            </w:pPr>
            <w:r>
              <w:t>交管政务管理经费项目资金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1324.42</w:t>
            </w:r>
          </w:p>
        </w:tc>
        <w:tc>
          <w:tcPr>
            <w:tcW w:w="2835" w:type="dxa"/>
            <w:vAlign w:val="center"/>
          </w:tcPr>
          <w:p>
            <w:pPr>
              <w:pStyle w:val="10"/>
            </w:pPr>
            <w:r>
              <w:t>其中：财政    资金</w:t>
            </w:r>
          </w:p>
        </w:tc>
        <w:tc>
          <w:tcPr>
            <w:tcW w:w="2551" w:type="dxa"/>
            <w:vAlign w:val="center"/>
          </w:tcPr>
          <w:p>
            <w:pPr>
              <w:pStyle w:val="12"/>
            </w:pPr>
            <w:r>
              <w:t>1324.42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为确保大队各项工作顺利进行，根据工作需要，需资金1324.42万元。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360.00</w:t>
            </w:r>
          </w:p>
        </w:tc>
        <w:tc>
          <w:tcPr>
            <w:tcW w:w="2835" w:type="dxa"/>
            <w:vAlign w:val="center"/>
          </w:tcPr>
          <w:p>
            <w:pPr>
              <w:pStyle w:val="13"/>
            </w:pPr>
            <w:r>
              <w:t>720.00</w:t>
            </w:r>
          </w:p>
        </w:tc>
        <w:tc>
          <w:tcPr>
            <w:tcW w:w="2551" w:type="dxa"/>
            <w:vAlign w:val="center"/>
          </w:tcPr>
          <w:p>
            <w:pPr>
              <w:pStyle w:val="13"/>
            </w:pPr>
            <w:r>
              <w:t>1080.00</w:t>
            </w:r>
          </w:p>
        </w:tc>
        <w:tc>
          <w:tcPr>
            <w:tcW w:w="3543" w:type="dxa"/>
            <w:gridSpan w:val="2"/>
            <w:vAlign w:val="center"/>
          </w:tcPr>
          <w:p>
            <w:pPr>
              <w:pStyle w:val="13"/>
            </w:pPr>
            <w:r>
              <w:t>1324.42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1.有效缓解城区拥堵和减少城乡交通管理混乱，减少交通事故的发生。</w:t>
            </w:r>
            <w:r>
              <w:tab/>
            </w:r>
            <w:r>
              <w:tab/>
            </w:r>
            <w:r>
              <w:tab/>
            </w:r>
            <w:r>
              <w:tab/>
            </w:r>
            <w:r>
              <w:tab/>
            </w:r>
            <w:r>
              <w:tab/>
            </w:r>
          </w:p>
          <w:p>
            <w:pPr>
              <w:pStyle w:val="12"/>
            </w:pPr>
            <w:r>
              <w:t>2.满足人民群众需要，保障各项业务顺利完成，更好的服务群众。</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鉴定数量</w:t>
            </w:r>
          </w:p>
        </w:tc>
        <w:tc>
          <w:tcPr>
            <w:tcW w:w="5386" w:type="dxa"/>
            <w:vAlign w:val="center"/>
          </w:tcPr>
          <w:p>
            <w:pPr>
              <w:pStyle w:val="12"/>
            </w:pPr>
            <w:r>
              <w:t>交通事故案件鉴定数量</w:t>
            </w:r>
          </w:p>
        </w:tc>
        <w:tc>
          <w:tcPr>
            <w:tcW w:w="2268" w:type="dxa"/>
            <w:vAlign w:val="center"/>
          </w:tcPr>
          <w:p>
            <w:pPr>
              <w:pStyle w:val="12"/>
            </w:pPr>
            <w:r>
              <w:t>≥200件</w:t>
            </w:r>
          </w:p>
        </w:tc>
        <w:tc>
          <w:tcPr>
            <w:tcW w:w="1276" w:type="dxa"/>
            <w:vAlign w:val="center"/>
          </w:tcPr>
          <w:p>
            <w:pPr>
              <w:pStyle w:val="12"/>
            </w:pPr>
            <w:r>
              <w:t>交通事故历年参考数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鉴定合格率</w:t>
            </w:r>
          </w:p>
        </w:tc>
        <w:tc>
          <w:tcPr>
            <w:tcW w:w="5386" w:type="dxa"/>
            <w:vAlign w:val="center"/>
          </w:tcPr>
          <w:p>
            <w:pPr>
              <w:pStyle w:val="12"/>
            </w:pPr>
            <w:r>
              <w:t>交通事故案件鉴定合格率</w:t>
            </w:r>
          </w:p>
        </w:tc>
        <w:tc>
          <w:tcPr>
            <w:tcW w:w="2268" w:type="dxa"/>
            <w:vAlign w:val="center"/>
          </w:tcPr>
          <w:p>
            <w:pPr>
              <w:pStyle w:val="12"/>
            </w:pPr>
            <w:r>
              <w:t>100%</w:t>
            </w:r>
          </w:p>
        </w:tc>
        <w:tc>
          <w:tcPr>
            <w:tcW w:w="1276" w:type="dxa"/>
            <w:vAlign w:val="center"/>
          </w:tcPr>
          <w:p>
            <w:pPr>
              <w:pStyle w:val="12"/>
            </w:pPr>
            <w:r>
              <w:t>实际事故案件鉴定结果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鉴定完成时间</w:t>
            </w:r>
          </w:p>
        </w:tc>
        <w:tc>
          <w:tcPr>
            <w:tcW w:w="5386" w:type="dxa"/>
            <w:vAlign w:val="center"/>
          </w:tcPr>
          <w:p>
            <w:pPr>
              <w:pStyle w:val="12"/>
            </w:pPr>
            <w:r>
              <w:t>交通事故案件鉴定完成时间</w:t>
            </w:r>
          </w:p>
        </w:tc>
        <w:tc>
          <w:tcPr>
            <w:tcW w:w="2268" w:type="dxa"/>
            <w:vAlign w:val="center"/>
          </w:tcPr>
          <w:p>
            <w:pPr>
              <w:pStyle w:val="12"/>
            </w:pPr>
            <w:r>
              <w:t>2024年12月底前完成</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≤1324.42万元</w:t>
            </w:r>
          </w:p>
        </w:tc>
        <w:tc>
          <w:tcPr>
            <w:tcW w:w="1276" w:type="dxa"/>
            <w:vAlign w:val="center"/>
          </w:tcPr>
          <w:p>
            <w:pPr>
              <w:pStyle w:val="12"/>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通过开展事故案件鉴定工作，保障大队交通管理工作正常运转</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办理业务群众满意度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8、暖气管道升级改造工程绩效目标表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13012324P00000211566R</w:t>
            </w:r>
          </w:p>
        </w:tc>
        <w:tc>
          <w:tcPr>
            <w:tcW w:w="2835" w:type="dxa"/>
            <w:vAlign w:val="center"/>
          </w:tcPr>
          <w:p>
            <w:pPr>
              <w:pStyle w:val="10"/>
            </w:pPr>
            <w:r>
              <w:t>项目名称</w:t>
            </w:r>
          </w:p>
        </w:tc>
        <w:tc>
          <w:tcPr>
            <w:tcW w:w="6094" w:type="dxa"/>
            <w:gridSpan w:val="3"/>
            <w:vAlign w:val="center"/>
          </w:tcPr>
          <w:p>
            <w:pPr>
              <w:pStyle w:val="12"/>
            </w:pPr>
            <w:r>
              <w:t>暖气管道升级改造工程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暖气管道升级改造需资金75万元。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3" w:type="dxa"/>
            <w:gridSpan w:val="2"/>
            <w:vAlign w:val="center"/>
          </w:tcPr>
          <w:p>
            <w:pPr>
              <w:pStyle w:val="13"/>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1.满足人民群众需要，保障各项业务顺利完成，更好地服务群众。</w:t>
            </w:r>
          </w:p>
          <w:p>
            <w:pPr>
              <w:pStyle w:val="12"/>
            </w:pPr>
            <w:r>
              <w:t>2.提高全县交通管理水平，确保人民群众安全出行和社会安定。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升级改造次数</w:t>
            </w:r>
          </w:p>
        </w:tc>
        <w:tc>
          <w:tcPr>
            <w:tcW w:w="5386" w:type="dxa"/>
            <w:vAlign w:val="center"/>
          </w:tcPr>
          <w:p>
            <w:pPr>
              <w:pStyle w:val="12"/>
            </w:pPr>
            <w:r>
              <w:t>对暖气管道进行升级改造次数</w:t>
            </w:r>
          </w:p>
        </w:tc>
        <w:tc>
          <w:tcPr>
            <w:tcW w:w="2268" w:type="dxa"/>
            <w:vAlign w:val="center"/>
          </w:tcPr>
          <w:p>
            <w:pPr>
              <w:pStyle w:val="12"/>
            </w:pPr>
            <w:r>
              <w:t>≥1次</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升级改造完工后质量合格率</w:t>
            </w:r>
          </w:p>
        </w:tc>
        <w:tc>
          <w:tcPr>
            <w:tcW w:w="2268" w:type="dxa"/>
            <w:vAlign w:val="center"/>
          </w:tcPr>
          <w:p>
            <w:pPr>
              <w:pStyle w:val="12"/>
            </w:pPr>
            <w:r>
              <w:t>100%</w:t>
            </w:r>
          </w:p>
        </w:tc>
        <w:tc>
          <w:tcPr>
            <w:tcW w:w="1276" w:type="dxa"/>
            <w:vAlign w:val="center"/>
          </w:tcPr>
          <w:p>
            <w:pPr>
              <w:pStyle w:val="12"/>
            </w:pPr>
            <w:r>
              <w:t>实际验收合格率结果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项目工作完成时间</w:t>
            </w:r>
          </w:p>
        </w:tc>
        <w:tc>
          <w:tcPr>
            <w:tcW w:w="2268" w:type="dxa"/>
            <w:vAlign w:val="center"/>
          </w:tcPr>
          <w:p>
            <w:pPr>
              <w:pStyle w:val="12"/>
            </w:pPr>
            <w:r>
              <w:t>2024年12月底前</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≤75万元</w:t>
            </w:r>
          </w:p>
        </w:tc>
        <w:tc>
          <w:tcPr>
            <w:tcW w:w="1276" w:type="dxa"/>
            <w:vAlign w:val="center"/>
          </w:tcPr>
          <w:p>
            <w:pPr>
              <w:pStyle w:val="12"/>
            </w:pPr>
            <w:r>
              <w:t>项目实际测算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大队工作计划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保障大队工作正常运转</w:t>
            </w:r>
          </w:p>
        </w:tc>
        <w:tc>
          <w:tcPr>
            <w:tcW w:w="5386" w:type="dxa"/>
            <w:vAlign w:val="center"/>
          </w:tcPr>
          <w:p>
            <w:pPr>
              <w:pStyle w:val="12"/>
            </w:pPr>
            <w:r>
              <w:t>保障机关单位正常运转</w:t>
            </w:r>
          </w:p>
        </w:tc>
        <w:tc>
          <w:tcPr>
            <w:tcW w:w="2268" w:type="dxa"/>
            <w:vAlign w:val="center"/>
          </w:tcPr>
          <w:p>
            <w:pPr>
              <w:pStyle w:val="12"/>
            </w:pPr>
            <w:r>
              <w:t>进一步保障</w:t>
            </w:r>
          </w:p>
        </w:tc>
        <w:tc>
          <w:tcPr>
            <w:tcW w:w="1276" w:type="dxa"/>
            <w:vAlign w:val="center"/>
          </w:tcPr>
          <w:p>
            <w:pPr>
              <w:pStyle w:val="12"/>
            </w:pPr>
            <w:r>
              <w:t>实际保障情况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项目完工后使用人员满意程度比例</w:t>
            </w:r>
          </w:p>
        </w:tc>
        <w:tc>
          <w:tcPr>
            <w:tcW w:w="2268" w:type="dxa"/>
            <w:vAlign w:val="center"/>
          </w:tcPr>
          <w:p>
            <w:pPr>
              <w:pStyle w:val="12"/>
            </w:pPr>
            <w:r>
              <w:t>≥96调查问卷</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9、违法图片智能预审系统项目资金绩效目标表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13012324P000002115727</w:t>
            </w:r>
          </w:p>
        </w:tc>
        <w:tc>
          <w:tcPr>
            <w:tcW w:w="2835" w:type="dxa"/>
            <w:vAlign w:val="center"/>
          </w:tcPr>
          <w:p>
            <w:pPr>
              <w:pStyle w:val="10"/>
            </w:pPr>
            <w:r>
              <w:t>项目名称</w:t>
            </w:r>
          </w:p>
        </w:tc>
        <w:tc>
          <w:tcPr>
            <w:tcW w:w="6094" w:type="dxa"/>
            <w:gridSpan w:val="3"/>
            <w:vAlign w:val="center"/>
          </w:tcPr>
          <w:p>
            <w:pPr>
              <w:pStyle w:val="12"/>
            </w:pPr>
            <w:r>
              <w:t>违法图片智能预审系统项目资金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违法图片智能预审系统项目需资金150万元。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3" w:type="dxa"/>
            <w:gridSpan w:val="2"/>
            <w:vAlign w:val="center"/>
          </w:tcPr>
          <w:p>
            <w:pPr>
              <w:pStyle w:val="13"/>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1.满足人民群众需要，保障各项业务顺利完成，更好地服务群众。</w:t>
            </w:r>
          </w:p>
          <w:p>
            <w:pPr>
              <w:pStyle w:val="12"/>
            </w:pPr>
            <w:r>
              <w:t>2.提高全县交通管理水平，确保人民群众安全出行和社会安定。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违法图片智能预审系统购置数量</w:t>
            </w:r>
          </w:p>
        </w:tc>
        <w:tc>
          <w:tcPr>
            <w:tcW w:w="2268" w:type="dxa"/>
            <w:vAlign w:val="center"/>
          </w:tcPr>
          <w:p>
            <w:pPr>
              <w:pStyle w:val="12"/>
            </w:pPr>
            <w:r>
              <w:t>≥1套</w:t>
            </w:r>
          </w:p>
        </w:tc>
        <w:tc>
          <w:tcPr>
            <w:tcW w:w="1276" w:type="dxa"/>
            <w:vAlign w:val="center"/>
          </w:tcPr>
          <w:p>
            <w:pPr>
              <w:pStyle w:val="12"/>
            </w:pPr>
            <w:r>
              <w:t>实际采购数量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产品质量验收合格率</w:t>
            </w:r>
          </w:p>
        </w:tc>
        <w:tc>
          <w:tcPr>
            <w:tcW w:w="2268" w:type="dxa"/>
            <w:vAlign w:val="center"/>
          </w:tcPr>
          <w:p>
            <w:pPr>
              <w:pStyle w:val="12"/>
            </w:pPr>
            <w:r>
              <w:t>100%</w:t>
            </w:r>
          </w:p>
        </w:tc>
        <w:tc>
          <w:tcPr>
            <w:tcW w:w="1276" w:type="dxa"/>
            <w:vAlign w:val="center"/>
          </w:tcPr>
          <w:p>
            <w:pPr>
              <w:pStyle w:val="12"/>
            </w:pPr>
            <w:r>
              <w:t>实际安装合格情况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项目实施完成时间</w:t>
            </w:r>
          </w:p>
        </w:tc>
        <w:tc>
          <w:tcPr>
            <w:tcW w:w="2268" w:type="dxa"/>
            <w:vAlign w:val="center"/>
          </w:tcPr>
          <w:p>
            <w:pPr>
              <w:pStyle w:val="12"/>
            </w:pPr>
            <w:r>
              <w:t>2024年12月底前</w:t>
            </w:r>
          </w:p>
        </w:tc>
        <w:tc>
          <w:tcPr>
            <w:tcW w:w="1276" w:type="dxa"/>
            <w:vAlign w:val="center"/>
          </w:tcPr>
          <w:p>
            <w:pPr>
              <w:pStyle w:val="12"/>
            </w:pPr>
            <w:r>
              <w:t>单位年度工作安排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≤150万元</w:t>
            </w:r>
          </w:p>
        </w:tc>
        <w:tc>
          <w:tcPr>
            <w:tcW w:w="1276" w:type="dxa"/>
            <w:vAlign w:val="center"/>
          </w:tcPr>
          <w:p>
            <w:pPr>
              <w:pStyle w:val="12"/>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提高资金的使用效率</w:t>
            </w:r>
          </w:p>
        </w:tc>
        <w:tc>
          <w:tcPr>
            <w:tcW w:w="5386" w:type="dxa"/>
            <w:vAlign w:val="center"/>
          </w:tcPr>
          <w:p>
            <w:pPr>
              <w:pStyle w:val="12"/>
            </w:pPr>
            <w:r>
              <w:t>完成年度工作在预算控制额度内</w:t>
            </w:r>
          </w:p>
        </w:tc>
        <w:tc>
          <w:tcPr>
            <w:tcW w:w="2268" w:type="dxa"/>
            <w:vAlign w:val="center"/>
          </w:tcPr>
          <w:p>
            <w:pPr>
              <w:pStyle w:val="12"/>
            </w:pPr>
            <w:r>
              <w:t>100%</w:t>
            </w:r>
          </w:p>
        </w:tc>
        <w:tc>
          <w:tcPr>
            <w:tcW w:w="1276" w:type="dxa"/>
            <w:vAlign w:val="center"/>
          </w:tcPr>
          <w:p>
            <w:pPr>
              <w:pStyle w:val="12"/>
            </w:pPr>
            <w:r>
              <w:t>资金使用计划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道路交通安保稳定保障</w:t>
            </w:r>
          </w:p>
        </w:tc>
        <w:tc>
          <w:tcPr>
            <w:tcW w:w="5386" w:type="dxa"/>
            <w:vAlign w:val="center"/>
          </w:tcPr>
          <w:p>
            <w:pPr>
              <w:pStyle w:val="12"/>
            </w:pPr>
            <w:r>
              <w:t>保障全县道路交通安全稳定</w:t>
            </w:r>
          </w:p>
        </w:tc>
        <w:tc>
          <w:tcPr>
            <w:tcW w:w="2268" w:type="dxa"/>
            <w:vAlign w:val="center"/>
          </w:tcPr>
          <w:p>
            <w:pPr>
              <w:pStyle w:val="12"/>
            </w:pPr>
            <w:r>
              <w:t>比上年提升</w:t>
            </w:r>
          </w:p>
        </w:tc>
        <w:tc>
          <w:tcPr>
            <w:tcW w:w="1276" w:type="dxa"/>
            <w:vAlign w:val="center"/>
          </w:tcPr>
          <w:p>
            <w:pPr>
              <w:pStyle w:val="12"/>
            </w:pPr>
            <w:r>
              <w:t xml:space="preserve">交管业务工作计划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项目投入使用后使用人员满意程度比例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451正定县公安局交通管理大队</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925.00</w:t>
            </w:r>
          </w:p>
        </w:tc>
        <w:tc>
          <w:tcPr>
            <w:tcW w:w="964" w:type="dxa"/>
            <w:vAlign w:val="center"/>
          </w:tcPr>
          <w:p>
            <w:pPr>
              <w:pStyle w:val="15"/>
            </w:pPr>
            <w:r>
              <w:t>925.00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正定县公安局交通管理大队本级小计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925.00</w:t>
            </w:r>
          </w:p>
        </w:tc>
        <w:tc>
          <w:tcPr>
            <w:tcW w:w="964" w:type="dxa"/>
            <w:vAlign w:val="center"/>
          </w:tcPr>
          <w:p>
            <w:pPr>
              <w:pStyle w:val="15"/>
            </w:pPr>
            <w:r>
              <w:t>925.00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道路护栏项目资金</w:t>
            </w:r>
          </w:p>
        </w:tc>
        <w:tc>
          <w:tcPr>
            <w:tcW w:w="964" w:type="dxa"/>
            <w:vAlign w:val="center"/>
          </w:tcPr>
          <w:p>
            <w:pPr>
              <w:pStyle w:val="11"/>
            </w:pPr>
            <w:r>
              <w:t>170.00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170.00</w:t>
            </w:r>
          </w:p>
        </w:tc>
        <w:tc>
          <w:tcPr>
            <w:tcW w:w="964" w:type="dxa"/>
            <w:vAlign w:val="center"/>
          </w:tcPr>
          <w:p>
            <w:pPr>
              <w:pStyle w:val="11"/>
            </w:pPr>
            <w:r>
              <w:t>170.00</w:t>
            </w:r>
          </w:p>
        </w:tc>
        <w:tc>
          <w:tcPr>
            <w:tcW w:w="964" w:type="dxa"/>
            <w:vAlign w:val="center"/>
          </w:tcPr>
          <w:p>
            <w:pPr>
              <w:pStyle w:val="11"/>
            </w:pPr>
            <w:r>
              <w:t>170.00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道路交通划线项目资金</w:t>
            </w:r>
          </w:p>
        </w:tc>
        <w:tc>
          <w:tcPr>
            <w:tcW w:w="964" w:type="dxa"/>
            <w:vAlign w:val="center"/>
          </w:tcPr>
          <w:p>
            <w:pPr>
              <w:pStyle w:val="11"/>
            </w:pPr>
            <w:r>
              <w:t>300.00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交管大队指挥中心平台升级项目资金</w:t>
            </w:r>
          </w:p>
        </w:tc>
        <w:tc>
          <w:tcPr>
            <w:tcW w:w="964" w:type="dxa"/>
            <w:vAlign w:val="center"/>
          </w:tcPr>
          <w:p>
            <w:pPr>
              <w:pStyle w:val="11"/>
            </w:pPr>
            <w:r>
              <w:t>180.00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180.00</w:t>
            </w:r>
          </w:p>
        </w:tc>
        <w:tc>
          <w:tcPr>
            <w:tcW w:w="964" w:type="dxa"/>
            <w:vAlign w:val="center"/>
          </w:tcPr>
          <w:p>
            <w:pPr>
              <w:pStyle w:val="11"/>
            </w:pPr>
            <w:r>
              <w:t>180.00</w:t>
            </w:r>
          </w:p>
        </w:tc>
        <w:tc>
          <w:tcPr>
            <w:tcW w:w="964" w:type="dxa"/>
            <w:vAlign w:val="center"/>
          </w:tcPr>
          <w:p>
            <w:pPr>
              <w:pStyle w:val="11"/>
            </w:pPr>
            <w:r>
              <w:t>180.00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交管政务管理经费项目资金</w:t>
            </w:r>
          </w:p>
        </w:tc>
        <w:tc>
          <w:tcPr>
            <w:tcW w:w="964" w:type="dxa"/>
            <w:vAlign w:val="center"/>
          </w:tcPr>
          <w:p>
            <w:pPr>
              <w:pStyle w:val="11"/>
            </w:pPr>
            <w:r>
              <w:t>1324.42</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暖气管道升级改造工程</w:t>
            </w:r>
          </w:p>
        </w:tc>
        <w:tc>
          <w:tcPr>
            <w:tcW w:w="964" w:type="dxa"/>
            <w:vAlign w:val="center"/>
          </w:tcPr>
          <w:p>
            <w:pPr>
              <w:pStyle w:val="11"/>
            </w:pPr>
            <w:r>
              <w:t>75.00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75.00</w:t>
            </w:r>
          </w:p>
        </w:tc>
        <w:tc>
          <w:tcPr>
            <w:tcW w:w="964" w:type="dxa"/>
            <w:vAlign w:val="center"/>
          </w:tcPr>
          <w:p>
            <w:pPr>
              <w:pStyle w:val="11"/>
            </w:pPr>
            <w:r>
              <w:t>75.00</w:t>
            </w:r>
          </w:p>
        </w:tc>
        <w:tc>
          <w:tcPr>
            <w:tcW w:w="964" w:type="dxa"/>
            <w:vAlign w:val="center"/>
          </w:tcPr>
          <w:p>
            <w:pPr>
              <w:pStyle w:val="11"/>
            </w:pPr>
            <w:r>
              <w:t>75.00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违法图片智能预审系统项目资金</w:t>
            </w:r>
          </w:p>
        </w:tc>
        <w:tc>
          <w:tcPr>
            <w:tcW w:w="964" w:type="dxa"/>
            <w:vAlign w:val="center"/>
          </w:tcPr>
          <w:p>
            <w:pPr>
              <w:pStyle w:val="11"/>
            </w:pPr>
            <w:r>
              <w:t>150.00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150.00</w:t>
            </w:r>
          </w:p>
        </w:tc>
        <w:tc>
          <w:tcPr>
            <w:tcW w:w="964" w:type="dxa"/>
            <w:vAlign w:val="center"/>
          </w:tcPr>
          <w:p>
            <w:pPr>
              <w:pStyle w:val="11"/>
            </w:pPr>
            <w:r>
              <w:t>150.00</w:t>
            </w: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7" w:name="_Toc_3_3_0000000018"/>
    </w:p>
    <w:p>
      <w:pPr>
        <w:spacing w:before="10" w:after="10"/>
        <w:ind w:firstLine="640"/>
        <w:outlineLvl w:val="2"/>
        <w:rPr>
          <w:rFonts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正定县公安局交通管理大队（含所属单位）上年末固定资产金额为5141.73万元（详见下表）。本年度拟购置固定资产总额为0.00万元，已按要求列入政府采购预算，详见政府采购预算表。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451正定县公安局交通管理大队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5141.73</w:t>
            </w:r>
          </w:p>
        </w:tc>
      </w:tr>
      <w:tr>
        <w:tblPrEx>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15417</w:t>
            </w:r>
          </w:p>
        </w:tc>
        <w:tc>
          <w:tcPr>
            <w:tcW w:w="2835" w:type="dxa"/>
            <w:vAlign w:val="center"/>
          </w:tcPr>
          <w:p>
            <w:pPr>
              <w:pStyle w:val="11"/>
            </w:pPr>
            <w:r>
              <w:t>1300.54</w:t>
            </w:r>
          </w:p>
        </w:tc>
      </w:tr>
      <w:tr>
        <w:tblPrEx>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15417</w:t>
            </w:r>
          </w:p>
        </w:tc>
        <w:tc>
          <w:tcPr>
            <w:tcW w:w="2835" w:type="dxa"/>
            <w:vAlign w:val="center"/>
          </w:tcPr>
          <w:p>
            <w:pPr>
              <w:pStyle w:val="11"/>
            </w:pPr>
            <w:r>
              <w:t>1300.54</w:t>
            </w:r>
          </w:p>
        </w:tc>
      </w:tr>
      <w:tr>
        <w:tblPrEx>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20</w:t>
            </w:r>
          </w:p>
        </w:tc>
        <w:tc>
          <w:tcPr>
            <w:tcW w:w="2835" w:type="dxa"/>
            <w:vAlign w:val="center"/>
          </w:tcPr>
          <w:p>
            <w:pPr>
              <w:pStyle w:val="11"/>
            </w:pPr>
            <w:r>
              <w:t>283.44</w:t>
            </w:r>
          </w:p>
        </w:tc>
      </w:tr>
      <w:tr>
        <w:tblPrEx>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2019</w:t>
            </w:r>
          </w:p>
        </w:tc>
        <w:tc>
          <w:tcPr>
            <w:tcW w:w="2835" w:type="dxa"/>
            <w:vAlign w:val="center"/>
          </w:tcPr>
          <w:p>
            <w:pPr>
              <w:pStyle w:val="11"/>
            </w:pPr>
            <w:r>
              <w:t>3557.75</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UwOTcwZjFmYjJjMTVhYTg5M2VkZDcyY2JmNDQ3M2EifQ=="/>
  </w:docVars>
  <w:rsids>
    <w:rsidRoot w:val="00903818"/>
    <w:rsid w:val="000649F0"/>
    <w:rsid w:val="001B022B"/>
    <w:rsid w:val="001D46E3"/>
    <w:rsid w:val="0027538C"/>
    <w:rsid w:val="003F33D7"/>
    <w:rsid w:val="00553A34"/>
    <w:rsid w:val="006D3AFB"/>
    <w:rsid w:val="006F10C3"/>
    <w:rsid w:val="00903818"/>
    <w:rsid w:val="00971123"/>
    <w:rsid w:val="00C56A46"/>
    <w:rsid w:val="00C66920"/>
    <w:rsid w:val="76E073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2024-02-21T15:47:40Z</dcterms:created>
  <dcterms:modified xsi:type="dcterms:W3CDTF">2024-02-21T07:47:40Z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2024-02-21T15:47:39Z</dcterms:created>
  <dcterms:modified xsi:type="dcterms:W3CDTF">2024-02-21T07:47:39Z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2024-02-21T15:47:39Z</dcterms:created>
  <dcterms:modified xsi:type="dcterms:W3CDTF">2024-02-21T07:47:39Z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2024-02-21T15:47:38Z</dcterms:created>
  <dcterms:modified xsi:type="dcterms:W3CDTF">2024-02-21T07:47:38Z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2024-02-21T15:47:38Z</dcterms:created>
  <dcterms:modified xsi:type="dcterms:W3CDTF">2024-02-21T07:47:38Z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2024-02-21T15:47:43Z</dcterms:created>
  <dcterms:modified xsi:type="dcterms:W3CDTF">2024-02-21T07:47:43Z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2024-02-21T15:47:41Z</dcterms:created>
  <dcterms:modified xsi:type="dcterms:W3CDTF">2024-02-21T07:47:41Z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2024-02-21T15:47:37Z</dcterms:created>
  <dcterms:modified xsi:type="dcterms:W3CDTF">2024-02-21T07:47:37Z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2024-02-21T15:47:39Z</dcterms:created>
  <dcterms:modified xsi:type="dcterms:W3CDTF">2024-02-21T07:47:39Z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2024-02-21T15:47:40Z</dcterms:created>
  <dcterms:modified xsi:type="dcterms:W3CDTF">2024-02-21T07:47:40Z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2024-02-21T15:47:41Z</dcterms:created>
  <dcterms:modified xsi:type="dcterms:W3CDTF">2024-02-21T07:47:41Z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2024-02-21T15:47:42Z</dcterms:created>
  <dcterms:modified xsi:type="dcterms:W3CDTF">2024-02-21T07:47:42Z</dcterms:modified>
</cp:core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2024-02-21T15:47:42Z</dcterms:created>
  <dcterms:modified xsi:type="dcterms:W3CDTF">2024-02-21T07:47:42Z</dcterms:modified>
</cp:coreProperties>
</file>

<file path=customXml/itemProps1.xml><?xml version="1.0" encoding="utf-8"?>
<ds:datastoreItem xmlns:ds="http://schemas.openxmlformats.org/officeDocument/2006/customXml" ds:itemID="{D3E322EE-BB1D-4293-97EE-B042EF43B76F}">
  <ds:schemaRefs/>
</ds:datastoreItem>
</file>

<file path=customXml/itemProps10.xml><?xml version="1.0" encoding="utf-8"?>
<ds:datastoreItem xmlns:ds="http://schemas.openxmlformats.org/officeDocument/2006/customXml" ds:itemID="{50345E18-32E9-45FF-B7D1-504650960CD6}">
  <ds:schemaRefs/>
</ds:datastoreItem>
</file>

<file path=customXml/itemProps11.xml><?xml version="1.0" encoding="utf-8"?>
<ds:datastoreItem xmlns:ds="http://schemas.openxmlformats.org/officeDocument/2006/customXml" ds:itemID="{D6E22311-72E3-4740-B852-85C0F132811F}">
  <ds:schemaRefs/>
</ds:datastoreItem>
</file>

<file path=customXml/itemProps12.xml><?xml version="1.0" encoding="utf-8"?>
<ds:datastoreItem xmlns:ds="http://schemas.openxmlformats.org/officeDocument/2006/customXml" ds:itemID="{3BAEA6B7-C791-4544-B781-41868CA10C25}">
  <ds:schemaRefs/>
</ds:datastoreItem>
</file>

<file path=customXml/itemProps13.xml><?xml version="1.0" encoding="utf-8"?>
<ds:datastoreItem xmlns:ds="http://schemas.openxmlformats.org/officeDocument/2006/customXml" ds:itemID="{ED3D3250-0A9A-4F67-86E8-364081B13605}">
  <ds:schemaRefs/>
</ds:datastoreItem>
</file>

<file path=customXml/itemProps14.xml><?xml version="1.0" encoding="utf-8"?>
<ds:datastoreItem xmlns:ds="http://schemas.openxmlformats.org/officeDocument/2006/customXml" ds:itemID="{1D91F1B1-D69E-4ED1-9AF0-F4E0C7F845C6}">
  <ds:schemaRefs/>
</ds:datastoreItem>
</file>

<file path=customXml/itemProps15.xml><?xml version="1.0" encoding="utf-8"?>
<ds:datastoreItem xmlns:ds="http://schemas.openxmlformats.org/officeDocument/2006/customXml" ds:itemID="{393486C0-B52B-4F5B-8D77-5819A429DEF3}">
  <ds:schemaRefs/>
</ds:datastoreItem>
</file>

<file path=customXml/itemProps16.xml><?xml version="1.0" encoding="utf-8"?>
<ds:datastoreItem xmlns:ds="http://schemas.openxmlformats.org/officeDocument/2006/customXml" ds:itemID="{229541F9-CE83-4288-A871-2F276453AEB7}">
  <ds:schemaRefs/>
</ds:datastoreItem>
</file>

<file path=customXml/itemProps17.xml><?xml version="1.0" encoding="utf-8"?>
<ds:datastoreItem xmlns:ds="http://schemas.openxmlformats.org/officeDocument/2006/customXml" ds:itemID="{C070496E-E3DC-4FB1-AD90-1B0214DA4E4C}">
  <ds:schemaRefs/>
</ds:datastoreItem>
</file>

<file path=customXml/itemProps18.xml><?xml version="1.0" encoding="utf-8"?>
<ds:datastoreItem xmlns:ds="http://schemas.openxmlformats.org/officeDocument/2006/customXml" ds:itemID="{EB919C01-7E56-40FB-B4AA-B2C74EEBF138}">
  <ds:schemaRefs/>
</ds:datastoreItem>
</file>

<file path=customXml/itemProps19.xml><?xml version="1.0" encoding="utf-8"?>
<ds:datastoreItem xmlns:ds="http://schemas.openxmlformats.org/officeDocument/2006/customXml" ds:itemID="{12E83FFD-1349-4E82-B4F7-D8C4E80B0A2C}">
  <ds:schemaRefs/>
</ds:datastoreItem>
</file>

<file path=customXml/itemProps2.xml><?xml version="1.0" encoding="utf-8"?>
<ds:datastoreItem xmlns:ds="http://schemas.openxmlformats.org/officeDocument/2006/customXml" ds:itemID="{23AA1016-AA54-48B5-8AC2-C0CC668E5162}">
  <ds:schemaRefs/>
</ds:datastoreItem>
</file>

<file path=customXml/itemProps20.xml><?xml version="1.0" encoding="utf-8"?>
<ds:datastoreItem xmlns:ds="http://schemas.openxmlformats.org/officeDocument/2006/customXml" ds:itemID="{E17652F7-0828-488B-8E29-435486386771}">
  <ds:schemaRefs/>
</ds:datastoreItem>
</file>

<file path=customXml/itemProps21.xml><?xml version="1.0" encoding="utf-8"?>
<ds:datastoreItem xmlns:ds="http://schemas.openxmlformats.org/officeDocument/2006/customXml" ds:itemID="{963CA6C7-79C0-4895-A6A6-5447D9D9E6CB}">
  <ds:schemaRefs/>
</ds:datastoreItem>
</file>

<file path=customXml/itemProps22.xml><?xml version="1.0" encoding="utf-8"?>
<ds:datastoreItem xmlns:ds="http://schemas.openxmlformats.org/officeDocument/2006/customXml" ds:itemID="{419711C0-14C5-4E0B-8391-34E8F4272A9E}">
  <ds:schemaRefs/>
</ds:datastoreItem>
</file>

<file path=customXml/itemProps23.xml><?xml version="1.0" encoding="utf-8"?>
<ds:datastoreItem xmlns:ds="http://schemas.openxmlformats.org/officeDocument/2006/customXml" ds:itemID="{676D9530-1A05-449C-97D4-98CEDB57C396}">
  <ds:schemaRefs/>
</ds:datastoreItem>
</file>

<file path=customXml/itemProps24.xml><?xml version="1.0" encoding="utf-8"?>
<ds:datastoreItem xmlns:ds="http://schemas.openxmlformats.org/officeDocument/2006/customXml" ds:itemID="{BEFC6FEE-04BF-4F47-A710-ECB7951510CC}">
  <ds:schemaRefs/>
</ds:datastoreItem>
</file>

<file path=customXml/itemProps25.xml><?xml version="1.0" encoding="utf-8"?>
<ds:datastoreItem xmlns:ds="http://schemas.openxmlformats.org/officeDocument/2006/customXml" ds:itemID="{20E1E7BE-AC9A-4C79-99BA-778EAF8CC811}">
  <ds:schemaRefs/>
</ds:datastoreItem>
</file>

<file path=customXml/itemProps26.xml><?xml version="1.0" encoding="utf-8"?>
<ds:datastoreItem xmlns:ds="http://schemas.openxmlformats.org/officeDocument/2006/customXml" ds:itemID="{7E1C2700-2273-4A17-9825-AAF40D55168E}">
  <ds:schemaRefs/>
</ds:datastoreItem>
</file>

<file path=customXml/itemProps27.xml><?xml version="1.0" encoding="utf-8"?>
<ds:datastoreItem xmlns:ds="http://schemas.openxmlformats.org/officeDocument/2006/customXml" ds:itemID="{5A8A120B-5EEF-40B3-8D7C-905BD87A1D49}">
  <ds:schemaRefs/>
</ds:datastoreItem>
</file>

<file path=customXml/itemProps3.xml><?xml version="1.0" encoding="utf-8"?>
<ds:datastoreItem xmlns:ds="http://schemas.openxmlformats.org/officeDocument/2006/customXml" ds:itemID="{89EE1985-E148-4A2A-8198-A50FCE24F8E6}">
  <ds:schemaRefs/>
</ds:datastoreItem>
</file>

<file path=customXml/itemProps4.xml><?xml version="1.0" encoding="utf-8"?>
<ds:datastoreItem xmlns:ds="http://schemas.openxmlformats.org/officeDocument/2006/customXml" ds:itemID="{B5EC9CA0-FAB1-4245-883D-E2F29AFAB3DC}">
  <ds:schemaRefs/>
</ds:datastoreItem>
</file>

<file path=customXml/itemProps5.xml><?xml version="1.0" encoding="utf-8"?>
<ds:datastoreItem xmlns:ds="http://schemas.openxmlformats.org/officeDocument/2006/customXml" ds:itemID="{AF9F0E69-B9ED-4BE7-94B1-16ED0BF2F891}">
  <ds:schemaRefs/>
</ds:datastoreItem>
</file>

<file path=customXml/itemProps6.xml><?xml version="1.0" encoding="utf-8"?>
<ds:datastoreItem xmlns:ds="http://schemas.openxmlformats.org/officeDocument/2006/customXml" ds:itemID="{E3115B41-B828-401F-9276-51838BDE11F9}">
  <ds:schemaRefs/>
</ds:datastoreItem>
</file>

<file path=customXml/itemProps7.xml><?xml version="1.0" encoding="utf-8"?>
<ds:datastoreItem xmlns:ds="http://schemas.openxmlformats.org/officeDocument/2006/customXml" ds:itemID="{724C7372-ED6F-46CF-A11C-45FA613BDA3C}">
  <ds:schemaRefs/>
</ds:datastoreItem>
</file>

<file path=customXml/itemProps8.xml><?xml version="1.0" encoding="utf-8"?>
<ds:datastoreItem xmlns:ds="http://schemas.openxmlformats.org/officeDocument/2006/customXml" ds:itemID="{7316125F-9615-4321-904E-E3C99F3060C4}">
  <ds:schemaRefs/>
</ds:datastoreItem>
</file>

<file path=customXml/itemProps9.xml><?xml version="1.0" encoding="utf-8"?>
<ds:datastoreItem xmlns:ds="http://schemas.openxmlformats.org/officeDocument/2006/customXml" ds:itemID="{205030D1-07C3-4E18-A0FB-7B583BA2AB7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2632</Words>
  <Characters>15005</Characters>
  <Lines>125</Lines>
  <Paragraphs>35</Paragraphs>
  <TotalTime>26</TotalTime>
  <ScaleCrop>false</ScaleCrop>
  <LinksUpToDate>false</LinksUpToDate>
  <CharactersWithSpaces>17602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2024-02-21T15:47:00Z</dcterms:created>
  <dc:creator>lenovo</dc:creator>
  <cp:lastModifiedBy>绿色曼陀罗（星）</cp:lastModifiedBy>
  <dcterms:modified xsi:type="dcterms:W3CDTF">2024-02-23T07:32:07Z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D0C9BFB4C999401596D9D6FEC7909075_12</vt:lpwstr>
  </property>
</Properties>
</file>