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jc w:val="center"/>
        <w:rPr>
          <w:rFonts w:ascii="方正小标宋_GBK" w:hAnsi="宋体" w:eastAsia="方正小标宋_GBK" w:cs="Times New Roman"/>
          <w:sz w:val="44"/>
          <w:szCs w:val="44"/>
        </w:rPr>
      </w:pPr>
      <w:r>
        <w:rPr>
          <w:rFonts w:hint="eastAsia" w:ascii="方正小标宋_GBK" w:hAnsi="宋体" w:eastAsia="方正小标宋_GBK" w:cs="Times New Roman"/>
          <w:sz w:val="44"/>
          <w:szCs w:val="44"/>
        </w:rPr>
        <w:t>正定县农业农村局</w:t>
      </w:r>
    </w:p>
    <w:p>
      <w:pPr>
        <w:snapToGrid w:val="0"/>
        <w:spacing w:line="580" w:lineRule="exact"/>
        <w:jc w:val="center"/>
        <w:rPr>
          <w:rFonts w:ascii="方正小标宋_GBK" w:hAnsi="宋体" w:eastAsia="方正小标宋_GBK" w:cs="Times New Roman"/>
          <w:sz w:val="44"/>
          <w:szCs w:val="44"/>
        </w:rPr>
      </w:pPr>
      <w:r>
        <w:rPr>
          <w:rFonts w:hint="eastAsia" w:ascii="方正小标宋_GBK" w:hAnsi="宋体" w:eastAsia="方正小标宋_GBK" w:cs="Times New Roman"/>
          <w:sz w:val="44"/>
          <w:szCs w:val="44"/>
        </w:rPr>
        <w:t>202</w:t>
      </w:r>
      <w:r>
        <w:rPr>
          <w:rFonts w:ascii="方正小标宋_GBK" w:hAnsi="宋体" w:eastAsia="方正小标宋_GBK" w:cs="Times New Roman"/>
          <w:sz w:val="44"/>
          <w:szCs w:val="44"/>
        </w:rPr>
        <w:t>3</w:t>
      </w:r>
      <w:r>
        <w:rPr>
          <w:rFonts w:hint="eastAsia" w:ascii="方正小标宋_GBK" w:hAnsi="宋体" w:eastAsia="方正小标宋_GBK" w:cs="Times New Roman"/>
          <w:sz w:val="44"/>
          <w:szCs w:val="44"/>
        </w:rPr>
        <w:t>年度整体支出绩效自评报告</w:t>
      </w:r>
    </w:p>
    <w:p>
      <w:pPr>
        <w:snapToGrid w:val="0"/>
        <w:spacing w:line="580" w:lineRule="exact"/>
        <w:jc w:val="left"/>
        <w:rPr>
          <w:rFonts w:ascii="方正小标宋_GBK" w:hAnsi="宋体" w:eastAsia="方正小标宋_GBK" w:cs="Times New Roman"/>
          <w:sz w:val="44"/>
          <w:szCs w:val="44"/>
        </w:rPr>
      </w:pP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贯彻落实市委市政府《关于全面落实预算绩效管理的实施意见》（石发﹝2019﹞8号）文件精神，遵循“科学性、规范性、客观性和公正性”的原则，对正定县农业农村局202</w:t>
      </w:r>
      <w:r>
        <w:rPr>
          <w:rFonts w:ascii="仿宋_GB2312" w:eastAsia="仿宋_GB2312" w:cs="ArialUnicodeMS"/>
          <w:kern w:val="0"/>
          <w:sz w:val="32"/>
          <w:szCs w:val="32"/>
        </w:rPr>
        <w:t>3</w:t>
      </w:r>
      <w:r>
        <w:rPr>
          <w:rFonts w:hint="eastAsia" w:ascii="仿宋_GB2312" w:eastAsia="仿宋_GB2312" w:cs="ArialUnicodeMS"/>
          <w:kern w:val="0"/>
          <w:sz w:val="32"/>
          <w:szCs w:val="32"/>
        </w:rPr>
        <w:t>年整体支出情况实施了财政支出绩效自评价，形成本评价报告。</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 xml:space="preserve"> 一、部门基本情况</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（一）部门概况</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1、统筹研究和组织实施全县“三农”工作的发展战略、中长期规划、重大政策。负责全县农业综合执法。</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2、协调推动发展全县农村社会事业、农村公共服务、农村文化、农村基础设施和乡村治理。牵头组织改善农村人居环境。协调推进乡村文明和优秀农耕文化建设。指导农业行业安全生产工作。</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3、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4、指导全县乡村产业、农产品加工业和休闲农业发展工作。培育、保护农业品牌。承担农业统计和农业农村信息化有关工作。</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5、负责全县种植业、畜牧业、渔业、农业机械化等农业各产业的监督管理。指导粮、棉、油、菜、肉、蛋、奶、蜜、渔等农产品生产。组织构建现代农业产业体系、生产体系、经营体系，指导农业标准化生产。负责渔业管理。</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6、负责全县农产品质量安全监督管理。组织开展农产品质量安全监测、追溯、风险评估和监督抽查。指导农业检验监测体系建设。</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7、负责全县农业资源保护、开发与利用。指导农用地、渔业水域以及农业生物物种资源的保护与管理，耕地及永久基本农田质量保护工作。指导农产品产地环境管理和农业清洁生产。指导设施农业、生态循环农业、节水农业发展以及农村可再生能源综合开发利用、农业生物质产业发展。牵头管理外来物种。</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8、负责有关农业生产资料和农业投入品的监督管理。组织农业生产资料市场体系建设，执行有关农业生产资料县级标准并监督实施。执行兽药残留限量和残留检测方法市级标准。组织兽医医政、兽药药政药检工作，负责执业兽医和畜禽屠宰行业管理。</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9、负责农业防灾减灾、农作物重大病虫害预测预报及防治工作。指导动植物防疫检疫体系建设，组织、监督全县动植物防疫检疫工作，依法发布疫情并组织扑灭。</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10、负责农业投资管理。编制县级投资安排的农业投资项目建设规划，提出农业投资规模和方向、扶持农业农村发展财政项目的建议，负责落实上级及县级农业投资项目资金安排和监督管理。</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11、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12、负责农业农村人才工作。拟订农业农村人才队伍建设规划并组织实施，指导农业教育和农业职业技能开发，指导新型职业农民培育、农业科技人才培养和农村实用人才培训工作。</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13、牵头开展农业对外合作工作。组织开展对外农业贸易和有关交流合作。</w:t>
      </w:r>
    </w:p>
    <w:p>
      <w:pPr>
        <w:snapToGrid w:val="0"/>
        <w:spacing w:line="62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14、完成县委、县政府和县委农村工作领导小组交办的其他任务。</w:t>
      </w:r>
    </w:p>
    <w:p>
      <w:pPr>
        <w:keepNext/>
        <w:keepLines/>
        <w:spacing w:line="44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机构设置：</w:t>
      </w:r>
    </w:p>
    <w:tbl>
      <w:tblPr>
        <w:tblStyle w:val="4"/>
        <w:tblpPr w:leftFromText="180" w:rightFromText="180" w:vertAnchor="text" w:horzAnchor="page" w:tblpXSpec="center" w:tblpY="10"/>
        <w:tblOverlap w:val="never"/>
        <w:tblW w:w="98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84"/>
        <w:gridCol w:w="2526"/>
        <w:gridCol w:w="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vAlign w:val="center"/>
          </w:tcPr>
          <w:p>
            <w:pPr>
              <w:spacing w:line="44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序号</w:t>
            </w:r>
          </w:p>
        </w:tc>
        <w:tc>
          <w:tcPr>
            <w:tcW w:w="3485" w:type="dxa"/>
            <w:vAlign w:val="center"/>
          </w:tcPr>
          <w:p>
            <w:pPr>
              <w:spacing w:line="44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单位名称</w:t>
            </w:r>
          </w:p>
        </w:tc>
        <w:tc>
          <w:tcPr>
            <w:tcW w:w="2584" w:type="dxa"/>
            <w:vAlign w:val="center"/>
          </w:tcPr>
          <w:p>
            <w:pPr>
              <w:spacing w:line="44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单位基本性质</w:t>
            </w:r>
          </w:p>
        </w:tc>
        <w:tc>
          <w:tcPr>
            <w:tcW w:w="2835" w:type="dxa"/>
            <w:gridSpan w:val="2"/>
            <w:vAlign w:val="center"/>
          </w:tcPr>
          <w:p>
            <w:pPr>
              <w:spacing w:line="44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cs="仿宋_GB2312"/>
                <w:kern w:val="0"/>
                <w:sz w:val="28"/>
                <w:szCs w:val="28"/>
              </w:rPr>
            </w:pPr>
            <w:r>
              <w:rPr>
                <w:rFonts w:ascii="仿宋_GB2312" w:hAnsi="Cambria" w:eastAsia="仿宋_GB2312" w:cs="仿宋_GB2312"/>
                <w:kern w:val="0"/>
                <w:sz w:val="28"/>
                <w:szCs w:val="28"/>
              </w:rPr>
              <w:t>1</w:t>
            </w:r>
          </w:p>
        </w:tc>
        <w:tc>
          <w:tcPr>
            <w:tcW w:w="3485" w:type="dxa"/>
          </w:tcPr>
          <w:p>
            <w:pPr>
              <w:spacing w:line="440" w:lineRule="exact"/>
              <w:rPr>
                <w:rFonts w:ascii="仿宋_GB2312" w:hAnsi="Cambria" w:eastAsia="仿宋_GB2312" w:cs="仿宋_GB2312"/>
                <w:kern w:val="0"/>
                <w:sz w:val="28"/>
                <w:szCs w:val="28"/>
              </w:rPr>
            </w:pPr>
            <w:r>
              <w:rPr>
                <w:rFonts w:hint="eastAsia" w:ascii="仿宋_GB2312" w:hAnsi="Cambria" w:eastAsia="仿宋_GB2312" w:cs="仿宋_GB2312"/>
                <w:kern w:val="0"/>
                <w:sz w:val="28"/>
                <w:szCs w:val="28"/>
              </w:rPr>
              <w:t>正定县农业农村局</w:t>
            </w:r>
            <w:r>
              <w:rPr>
                <w:rFonts w:ascii="仿宋_GB2312" w:hAnsi="Cambria" w:eastAsia="仿宋_GB2312" w:cs="仿宋_GB2312"/>
                <w:kern w:val="0"/>
                <w:sz w:val="28"/>
                <w:szCs w:val="28"/>
              </w:rPr>
              <w:t>(</w:t>
            </w:r>
            <w:r>
              <w:rPr>
                <w:rFonts w:hint="eastAsia" w:ascii="仿宋_GB2312" w:hAnsi="Cambria" w:eastAsia="仿宋_GB2312" w:cs="仿宋_GB2312"/>
                <w:kern w:val="0"/>
                <w:sz w:val="28"/>
                <w:szCs w:val="28"/>
              </w:rPr>
              <w:t>本级</w:t>
            </w:r>
            <w:r>
              <w:rPr>
                <w:rFonts w:ascii="仿宋_GB2312" w:hAnsi="Cambria" w:eastAsia="仿宋_GB2312" w:cs="仿宋_GB2312"/>
                <w:kern w:val="0"/>
                <w:sz w:val="28"/>
                <w:szCs w:val="28"/>
              </w:rPr>
              <w:t>)</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行政单位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cs="仿宋_GB2312"/>
                <w:kern w:val="0"/>
                <w:sz w:val="28"/>
                <w:szCs w:val="28"/>
              </w:rPr>
            </w:pPr>
            <w:r>
              <w:rPr>
                <w:rFonts w:ascii="仿宋_GB2312" w:hAnsi="Cambria" w:eastAsia="仿宋_GB2312" w:cs="仿宋_GB2312"/>
                <w:kern w:val="0"/>
                <w:sz w:val="28"/>
                <w:szCs w:val="28"/>
              </w:rPr>
              <w:t>2</w:t>
            </w:r>
          </w:p>
        </w:tc>
        <w:tc>
          <w:tcPr>
            <w:tcW w:w="3485" w:type="dxa"/>
          </w:tcPr>
          <w:p>
            <w:pPr>
              <w:spacing w:line="440" w:lineRule="exact"/>
              <w:rPr>
                <w:rFonts w:ascii="仿宋_GB2312" w:hAnsi="Cambria" w:eastAsia="仿宋_GB2312"/>
                <w:kern w:val="0"/>
                <w:sz w:val="24"/>
              </w:rPr>
            </w:pPr>
            <w:r>
              <w:rPr>
                <w:rFonts w:hint="eastAsia" w:ascii="仿宋_GB2312" w:hAnsi="Cambria" w:eastAsia="仿宋_GB2312" w:cs="仿宋_GB2312"/>
                <w:kern w:val="0"/>
                <w:sz w:val="24"/>
              </w:rPr>
              <w:t>正定县动物疫病预防控制中心</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cs="仿宋_GB2312"/>
                <w:kern w:val="0"/>
                <w:sz w:val="28"/>
                <w:szCs w:val="28"/>
              </w:rPr>
            </w:pPr>
            <w:r>
              <w:rPr>
                <w:rFonts w:ascii="仿宋_GB2312" w:hAnsi="Cambria" w:eastAsia="仿宋_GB2312" w:cs="仿宋_GB2312"/>
                <w:kern w:val="0"/>
                <w:sz w:val="28"/>
                <w:szCs w:val="28"/>
              </w:rPr>
              <w:t>3</w:t>
            </w:r>
          </w:p>
        </w:tc>
        <w:tc>
          <w:tcPr>
            <w:tcW w:w="3485" w:type="dxa"/>
          </w:tcPr>
          <w:p>
            <w:pPr>
              <w:spacing w:line="440" w:lineRule="exact"/>
              <w:rPr>
                <w:rFonts w:ascii="仿宋_GB2312" w:hAnsi="Cambria" w:eastAsia="仿宋_GB2312"/>
                <w:kern w:val="0"/>
                <w:sz w:val="28"/>
                <w:szCs w:val="28"/>
              </w:rPr>
            </w:pPr>
            <w:r>
              <w:rPr>
                <w:rFonts w:hint="eastAsia" w:ascii="仿宋_GB2312" w:hAnsi="Cambria" w:eastAsia="仿宋_GB2312" w:cs="仿宋_GB2312"/>
                <w:kern w:val="0"/>
                <w:sz w:val="28"/>
                <w:szCs w:val="28"/>
              </w:rPr>
              <w:t>正定县水产技术服务站</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4</w:t>
            </w:r>
          </w:p>
        </w:tc>
        <w:tc>
          <w:tcPr>
            <w:tcW w:w="3485" w:type="dxa"/>
          </w:tcPr>
          <w:p>
            <w:pPr>
              <w:spacing w:line="440" w:lineRule="exact"/>
              <w:rPr>
                <w:rFonts w:ascii="仿宋_GB2312" w:hAnsi="Cambria" w:eastAsia="仿宋_GB2312"/>
                <w:kern w:val="0"/>
                <w:szCs w:val="21"/>
              </w:rPr>
            </w:pPr>
            <w:r>
              <w:rPr>
                <w:rFonts w:hint="eastAsia" w:ascii="仿宋_GB2312" w:hAnsi="Cambria" w:eastAsia="仿宋_GB2312" w:cs="仿宋_GB2312"/>
                <w:kern w:val="0"/>
                <w:szCs w:val="21"/>
              </w:rPr>
              <w:t>中央农业广播电视学校正定县分校</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5</w:t>
            </w:r>
          </w:p>
        </w:tc>
        <w:tc>
          <w:tcPr>
            <w:tcW w:w="3485" w:type="dxa"/>
          </w:tcPr>
          <w:p>
            <w:pPr>
              <w:spacing w:line="440" w:lineRule="exact"/>
              <w:rPr>
                <w:rFonts w:ascii="仿宋_GB2312" w:hAnsi="Cambria" w:eastAsia="仿宋_GB2312"/>
                <w:kern w:val="0"/>
                <w:sz w:val="28"/>
                <w:szCs w:val="28"/>
              </w:rPr>
            </w:pPr>
            <w:r>
              <w:rPr>
                <w:rFonts w:hint="eastAsia" w:ascii="仿宋" w:hAnsi="仿宋" w:eastAsia="仿宋" w:cs="仿宋"/>
                <w:sz w:val="28"/>
                <w:szCs w:val="28"/>
              </w:rPr>
              <w:t>正定县农业综合开发中心</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6</w:t>
            </w:r>
          </w:p>
        </w:tc>
        <w:tc>
          <w:tcPr>
            <w:tcW w:w="3485" w:type="dxa"/>
          </w:tcPr>
          <w:p>
            <w:pPr>
              <w:spacing w:line="440" w:lineRule="exact"/>
              <w:rPr>
                <w:rFonts w:ascii="仿宋_GB2312" w:hAnsi="Cambria" w:eastAsia="仿宋_GB2312"/>
                <w:kern w:val="0"/>
                <w:sz w:val="24"/>
              </w:rPr>
            </w:pPr>
            <w:r>
              <w:rPr>
                <w:rFonts w:hint="eastAsia" w:ascii="仿宋_GB2312" w:hAnsi="Cambria" w:eastAsia="仿宋_GB2312" w:cs="仿宋_GB2312"/>
                <w:kern w:val="0"/>
                <w:sz w:val="24"/>
              </w:rPr>
              <w:t>正定县农业综合技术推广站</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7</w:t>
            </w:r>
          </w:p>
        </w:tc>
        <w:tc>
          <w:tcPr>
            <w:tcW w:w="3485" w:type="dxa"/>
          </w:tcPr>
          <w:p>
            <w:pPr>
              <w:spacing w:line="440" w:lineRule="exact"/>
              <w:rPr>
                <w:rFonts w:ascii="仿宋_GB2312" w:hAnsi="Cambria" w:eastAsia="仿宋_GB2312"/>
                <w:kern w:val="0"/>
                <w:sz w:val="24"/>
              </w:rPr>
            </w:pPr>
            <w:r>
              <w:rPr>
                <w:rFonts w:hint="eastAsia" w:ascii="仿宋_GB2312" w:hAnsi="Cambria" w:eastAsia="仿宋_GB2312" w:cs="仿宋_GB2312"/>
                <w:kern w:val="0"/>
                <w:sz w:val="24"/>
              </w:rPr>
              <w:t>正定县农牧产品检测检验中心</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8</w:t>
            </w:r>
          </w:p>
        </w:tc>
        <w:tc>
          <w:tcPr>
            <w:tcW w:w="3485" w:type="dxa"/>
          </w:tcPr>
          <w:p>
            <w:pPr>
              <w:spacing w:line="440" w:lineRule="exact"/>
              <w:rPr>
                <w:rFonts w:ascii="仿宋_GB2312" w:hAnsi="Cambria" w:eastAsia="仿宋_GB2312"/>
                <w:kern w:val="0"/>
                <w:sz w:val="28"/>
                <w:szCs w:val="28"/>
              </w:rPr>
            </w:pPr>
            <w:r>
              <w:rPr>
                <w:rFonts w:hint="eastAsia" w:ascii="仿宋_GB2312" w:hAnsi="Cambria" w:eastAsia="仿宋_GB2312" w:cs="仿宋_GB2312"/>
                <w:kern w:val="0"/>
                <w:sz w:val="28"/>
                <w:szCs w:val="28"/>
              </w:rPr>
              <w:t>正定县动物卫生监督所</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5" w:type="dxa"/>
          </w:tcPr>
          <w:p>
            <w:pPr>
              <w:spacing w:line="440" w:lineRule="exact"/>
              <w:jc w:val="center"/>
              <w:rPr>
                <w:rFonts w:ascii="仿宋_GB2312" w:hAnsi="Cambria" w:eastAsia="仿宋_GB2312"/>
                <w:kern w:val="0"/>
                <w:sz w:val="28"/>
                <w:szCs w:val="28"/>
              </w:rPr>
            </w:pPr>
            <w:r>
              <w:rPr>
                <w:rFonts w:ascii="仿宋_GB2312" w:hAnsi="Cambria" w:eastAsia="仿宋_GB2312" w:cs="仿宋_GB2312"/>
                <w:kern w:val="0"/>
                <w:sz w:val="28"/>
                <w:szCs w:val="28"/>
              </w:rPr>
              <w:t>9</w:t>
            </w:r>
          </w:p>
        </w:tc>
        <w:tc>
          <w:tcPr>
            <w:tcW w:w="3485" w:type="dxa"/>
          </w:tcPr>
          <w:p>
            <w:pPr>
              <w:spacing w:line="440" w:lineRule="exact"/>
              <w:rPr>
                <w:rFonts w:ascii="仿宋_GB2312" w:hAnsi="Cambria" w:eastAsia="仿宋_GB2312"/>
                <w:kern w:val="0"/>
              </w:rPr>
            </w:pPr>
            <w:r>
              <w:rPr>
                <w:rFonts w:hint="eastAsia" w:ascii="仿宋_GB2312" w:hAnsi="Cambria" w:eastAsia="仿宋_GB2312" w:cs="仿宋_GB2312"/>
                <w:kern w:val="0"/>
              </w:rPr>
              <w:t>正定县畜禽定点屠宰管理办公室</w:t>
            </w:r>
          </w:p>
        </w:tc>
        <w:tc>
          <w:tcPr>
            <w:tcW w:w="2584" w:type="dxa"/>
          </w:tcPr>
          <w:p>
            <w:pPr>
              <w:spacing w:line="44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财政补助事业单位</w:t>
            </w:r>
          </w:p>
        </w:tc>
        <w:tc>
          <w:tcPr>
            <w:tcW w:w="2835" w:type="dxa"/>
            <w:gridSpan w:val="2"/>
          </w:tcPr>
          <w:p>
            <w:pPr>
              <w:spacing w:line="440" w:lineRule="exact"/>
              <w:jc w:val="center"/>
              <w:rPr>
                <w:rFonts w:ascii="仿宋_GB2312" w:hAnsi="Cambria" w:eastAsia="仿宋_GB2312"/>
                <w:kern w:val="0"/>
              </w:rPr>
            </w:pPr>
            <w:r>
              <w:rPr>
                <w:rFonts w:hint="eastAsia" w:ascii="仿宋_GB2312" w:hAnsi="Cambria" w:eastAsia="仿宋_GB2312" w:cs="仿宋_GB2312"/>
                <w:kern w:val="0"/>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09" w:type="dxa"/>
          <w:trHeight w:val="20" w:hRule="atLeast"/>
          <w:jc w:val="center"/>
        </w:trPr>
        <w:tc>
          <w:tcPr>
            <w:tcW w:w="9580" w:type="dxa"/>
            <w:gridSpan w:val="4"/>
            <w:tcBorders>
              <w:top w:val="single" w:color="auto" w:sz="4" w:space="0"/>
              <w:left w:val="nil"/>
              <w:bottom w:val="nil"/>
              <w:right w:val="nil"/>
            </w:tcBorders>
          </w:tcPr>
          <w:p>
            <w:pPr>
              <w:snapToGrid w:val="0"/>
              <w:spacing w:line="440" w:lineRule="exact"/>
              <w:ind w:firstLine="640" w:firstLineChars="200"/>
              <w:rPr>
                <w:rFonts w:ascii="仿宋_GB2312" w:hAnsi="仿宋" w:eastAsia="仿宋_GB2312"/>
                <w:sz w:val="32"/>
                <w:szCs w:val="32"/>
              </w:rPr>
            </w:pPr>
            <w:r>
              <w:rPr>
                <w:rFonts w:hint="eastAsia" w:ascii="仿宋_GB2312" w:hAnsi="仿宋" w:eastAsia="仿宋_GB2312"/>
                <w:sz w:val="32"/>
                <w:szCs w:val="32"/>
              </w:rPr>
              <w:t>人员情况：</w:t>
            </w:r>
          </w:p>
          <w:p>
            <w:pPr>
              <w:snapToGrid w:val="0"/>
              <w:spacing w:line="440" w:lineRule="exact"/>
              <w:ind w:firstLine="640" w:firstLineChars="200"/>
              <w:rPr>
                <w:rFonts w:ascii="仿宋_GB2312" w:eastAsia="仿宋_GB2312" w:cs="ArialUnicodeMS"/>
                <w:kern w:val="0"/>
                <w:sz w:val="28"/>
                <w:szCs w:val="28"/>
              </w:rPr>
            </w:pPr>
            <w:r>
              <w:rPr>
                <w:rFonts w:hint="eastAsia" w:ascii="仿宋_GB2312" w:hAnsi="仿宋_GB2312" w:eastAsia="仿宋_GB2312"/>
                <w:sz w:val="32"/>
                <w:szCs w:val="32"/>
              </w:rPr>
              <w:t>本部门人员共计1</w:t>
            </w:r>
            <w:r>
              <w:rPr>
                <w:rFonts w:ascii="仿宋_GB2312" w:hAnsi="仿宋_GB2312" w:eastAsia="仿宋_GB2312"/>
                <w:sz w:val="32"/>
                <w:szCs w:val="32"/>
              </w:rPr>
              <w:t>77</w:t>
            </w:r>
            <w:r>
              <w:rPr>
                <w:rFonts w:hint="eastAsia" w:ascii="仿宋_GB2312" w:hAnsi="仿宋_GB2312" w:eastAsia="仿宋_GB2312"/>
                <w:sz w:val="32"/>
                <w:szCs w:val="32"/>
              </w:rPr>
              <w:t>人，其中在职1</w:t>
            </w:r>
            <w:r>
              <w:rPr>
                <w:rFonts w:ascii="仿宋_GB2312" w:hAnsi="仿宋_GB2312" w:eastAsia="仿宋_GB2312"/>
                <w:sz w:val="32"/>
                <w:szCs w:val="32"/>
              </w:rPr>
              <w:t>76</w:t>
            </w:r>
            <w:r>
              <w:rPr>
                <w:rFonts w:hint="eastAsia" w:ascii="仿宋_GB2312" w:hAnsi="仿宋_GB2312" w:eastAsia="仿宋_GB2312"/>
                <w:sz w:val="32"/>
                <w:szCs w:val="32"/>
              </w:rPr>
              <w:t>人，离休1人。实有人员行政</w:t>
            </w:r>
            <w:r>
              <w:rPr>
                <w:rFonts w:ascii="仿宋_GB2312" w:hAnsi="仿宋_GB2312" w:eastAsia="仿宋_GB2312"/>
                <w:sz w:val="32"/>
                <w:szCs w:val="32"/>
              </w:rPr>
              <w:t>28</w:t>
            </w:r>
            <w:r>
              <w:rPr>
                <w:rFonts w:hint="eastAsia" w:ascii="仿宋_GB2312" w:hAnsi="仿宋_GB2312" w:eastAsia="仿宋_GB2312"/>
                <w:sz w:val="32"/>
                <w:szCs w:val="32"/>
              </w:rPr>
              <w:t>人，事业</w:t>
            </w:r>
            <w:r>
              <w:rPr>
                <w:rFonts w:ascii="仿宋_GB2312" w:hAnsi="仿宋_GB2312" w:eastAsia="仿宋_GB2312"/>
                <w:sz w:val="32"/>
                <w:szCs w:val="32"/>
              </w:rPr>
              <w:t>148</w:t>
            </w:r>
            <w:r>
              <w:rPr>
                <w:rFonts w:hint="eastAsia" w:ascii="仿宋_GB2312" w:hAnsi="仿宋_GB2312" w:eastAsia="仿宋_GB2312"/>
                <w:sz w:val="32"/>
                <w:szCs w:val="32"/>
              </w:rPr>
              <w:t>人。</w:t>
            </w:r>
          </w:p>
        </w:tc>
      </w:tr>
    </w:tbl>
    <w:p>
      <w:pPr>
        <w:adjustRightInd w:val="0"/>
        <w:snapToGrid w:val="0"/>
        <w:spacing w:line="500" w:lineRule="exact"/>
        <w:ind w:firstLine="160" w:firstLineChars="50"/>
        <w:jc w:val="left"/>
        <w:rPr>
          <w:rFonts w:ascii="仿宋" w:hAnsi="仿宋" w:eastAsia="仿宋"/>
          <w:sz w:val="32"/>
          <w:szCs w:val="32"/>
        </w:rPr>
      </w:pPr>
      <w:r>
        <w:rPr>
          <w:rFonts w:hint="eastAsia" w:ascii="仿宋" w:hAnsi="仿宋" w:eastAsia="仿宋"/>
          <w:sz w:val="32"/>
          <w:szCs w:val="32"/>
        </w:rPr>
        <w:t>固定资产占用情况表：</w:t>
      </w:r>
    </w:p>
    <w:tbl>
      <w:tblPr>
        <w:tblStyle w:val="4"/>
        <w:tblW w:w="88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9"/>
        <w:gridCol w:w="2429"/>
        <w:gridCol w:w="3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tblHeader/>
          <w:jc w:val="center"/>
        </w:trPr>
        <w:tc>
          <w:tcPr>
            <w:tcW w:w="3109" w:type="dxa"/>
            <w:tcBorders>
              <w:top w:val="single" w:color="FFFFFF" w:sz="6" w:space="0"/>
              <w:left w:val="single" w:color="FFFFFF" w:sz="6" w:space="0"/>
              <w:right w:val="single" w:color="FFFFFF" w:sz="6" w:space="0"/>
            </w:tcBorders>
            <w:vAlign w:val="center"/>
          </w:tcPr>
          <w:p>
            <w:pPr>
              <w:pStyle w:val="9"/>
              <w:spacing w:line="500" w:lineRule="exact"/>
            </w:pPr>
            <w:r>
              <w:t>326正定县农业农村局</w:t>
            </w:r>
          </w:p>
        </w:tc>
        <w:tc>
          <w:tcPr>
            <w:tcW w:w="5715" w:type="dxa"/>
            <w:gridSpan w:val="2"/>
            <w:tcBorders>
              <w:top w:val="single" w:color="FFFFFF" w:sz="6" w:space="0"/>
              <w:left w:val="single" w:color="FFFFFF" w:sz="6" w:space="0"/>
              <w:right w:val="single" w:color="FFFFFF" w:sz="6" w:space="0"/>
            </w:tcBorders>
            <w:vAlign w:val="center"/>
          </w:tcPr>
          <w:p>
            <w:pPr>
              <w:pStyle w:val="8"/>
              <w:spacing w:line="500" w:lineRule="exact"/>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tblHeader/>
          <w:jc w:val="center"/>
        </w:trPr>
        <w:tc>
          <w:tcPr>
            <w:tcW w:w="3109" w:type="dxa"/>
            <w:vAlign w:val="center"/>
          </w:tcPr>
          <w:p>
            <w:pPr>
              <w:pStyle w:val="10"/>
              <w:spacing w:line="500" w:lineRule="exact"/>
            </w:pPr>
            <w:r>
              <w:t>项   目</w:t>
            </w:r>
          </w:p>
        </w:tc>
        <w:tc>
          <w:tcPr>
            <w:tcW w:w="2429" w:type="dxa"/>
            <w:vAlign w:val="center"/>
          </w:tcPr>
          <w:p>
            <w:pPr>
              <w:pStyle w:val="10"/>
              <w:spacing w:line="500" w:lineRule="exact"/>
            </w:pPr>
            <w:r>
              <w:t>数量</w:t>
            </w:r>
          </w:p>
        </w:tc>
        <w:tc>
          <w:tcPr>
            <w:tcW w:w="3286" w:type="dxa"/>
            <w:vAlign w:val="center"/>
          </w:tcPr>
          <w:p>
            <w:pPr>
              <w:pStyle w:val="10"/>
              <w:spacing w:line="500" w:lineRule="exact"/>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资产总额</w:t>
            </w:r>
          </w:p>
        </w:tc>
        <w:tc>
          <w:tcPr>
            <w:tcW w:w="2429" w:type="dxa"/>
            <w:vAlign w:val="center"/>
          </w:tcPr>
          <w:p>
            <w:pPr>
              <w:pStyle w:val="13"/>
              <w:spacing w:line="500" w:lineRule="exact"/>
            </w:pPr>
          </w:p>
        </w:tc>
        <w:tc>
          <w:tcPr>
            <w:tcW w:w="3286" w:type="dxa"/>
            <w:vAlign w:val="center"/>
          </w:tcPr>
          <w:p>
            <w:pPr>
              <w:pStyle w:val="11"/>
              <w:spacing w:line="500" w:lineRule="exact"/>
            </w:pPr>
            <w:r>
              <w:t>2450.95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1、房屋（平方米）</w:t>
            </w:r>
          </w:p>
        </w:tc>
        <w:tc>
          <w:tcPr>
            <w:tcW w:w="2429" w:type="dxa"/>
            <w:vAlign w:val="center"/>
          </w:tcPr>
          <w:p>
            <w:pPr>
              <w:pStyle w:val="13"/>
              <w:spacing w:line="500" w:lineRule="exact"/>
            </w:pPr>
            <w:r>
              <w:t>7206.10</w:t>
            </w:r>
          </w:p>
        </w:tc>
        <w:tc>
          <w:tcPr>
            <w:tcW w:w="3286" w:type="dxa"/>
            <w:vAlign w:val="center"/>
          </w:tcPr>
          <w:p>
            <w:pPr>
              <w:pStyle w:val="11"/>
              <w:spacing w:line="500" w:lineRule="exact"/>
            </w:pPr>
            <w:r>
              <w:t>453.51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　　其中：办公用房（平方米）</w:t>
            </w:r>
          </w:p>
        </w:tc>
        <w:tc>
          <w:tcPr>
            <w:tcW w:w="2429" w:type="dxa"/>
            <w:vAlign w:val="center"/>
          </w:tcPr>
          <w:p>
            <w:pPr>
              <w:pStyle w:val="13"/>
              <w:spacing w:line="500" w:lineRule="exact"/>
            </w:pPr>
            <w:r>
              <w:t>2026</w:t>
            </w:r>
          </w:p>
        </w:tc>
        <w:tc>
          <w:tcPr>
            <w:tcW w:w="3286" w:type="dxa"/>
            <w:vAlign w:val="center"/>
          </w:tcPr>
          <w:p>
            <w:pPr>
              <w:pStyle w:val="11"/>
              <w:spacing w:line="500" w:lineRule="exact"/>
            </w:pPr>
            <w:r>
              <w:t>121.15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2、车辆（台、辆）</w:t>
            </w:r>
          </w:p>
        </w:tc>
        <w:tc>
          <w:tcPr>
            <w:tcW w:w="2429" w:type="dxa"/>
            <w:vAlign w:val="center"/>
          </w:tcPr>
          <w:p>
            <w:pPr>
              <w:pStyle w:val="13"/>
              <w:spacing w:line="500" w:lineRule="exact"/>
            </w:pPr>
            <w:r>
              <w:t>18</w:t>
            </w:r>
          </w:p>
        </w:tc>
        <w:tc>
          <w:tcPr>
            <w:tcW w:w="3286" w:type="dxa"/>
            <w:vAlign w:val="center"/>
          </w:tcPr>
          <w:p>
            <w:pPr>
              <w:pStyle w:val="11"/>
              <w:spacing w:line="500" w:lineRule="exact"/>
            </w:pPr>
            <w:r>
              <w:t>230.32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3、单价在20万元以上的设备</w:t>
            </w:r>
          </w:p>
        </w:tc>
        <w:tc>
          <w:tcPr>
            <w:tcW w:w="2429" w:type="dxa"/>
            <w:vAlign w:val="center"/>
          </w:tcPr>
          <w:p>
            <w:pPr>
              <w:pStyle w:val="13"/>
              <w:spacing w:line="500" w:lineRule="exact"/>
            </w:pPr>
            <w:r>
              <w:t>4</w:t>
            </w:r>
          </w:p>
        </w:tc>
        <w:tc>
          <w:tcPr>
            <w:tcW w:w="3286" w:type="dxa"/>
            <w:vAlign w:val="center"/>
          </w:tcPr>
          <w:p>
            <w:pPr>
              <w:pStyle w:val="11"/>
              <w:spacing w:line="500" w:lineRule="exact"/>
            </w:pPr>
            <w:r>
              <w:t>136.72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 w:hRule="atLeast"/>
          <w:jc w:val="center"/>
        </w:trPr>
        <w:tc>
          <w:tcPr>
            <w:tcW w:w="3109" w:type="dxa"/>
            <w:vAlign w:val="center"/>
          </w:tcPr>
          <w:p>
            <w:pPr>
              <w:pStyle w:val="12"/>
              <w:spacing w:line="500" w:lineRule="exact"/>
            </w:pPr>
            <w:r>
              <w:t>4、其他固定资产</w:t>
            </w:r>
          </w:p>
        </w:tc>
        <w:tc>
          <w:tcPr>
            <w:tcW w:w="2429" w:type="dxa"/>
            <w:vAlign w:val="center"/>
          </w:tcPr>
          <w:p>
            <w:pPr>
              <w:pStyle w:val="13"/>
              <w:spacing w:line="500" w:lineRule="exact"/>
            </w:pPr>
            <w:r>
              <w:t>1754</w:t>
            </w:r>
          </w:p>
        </w:tc>
        <w:tc>
          <w:tcPr>
            <w:tcW w:w="3286" w:type="dxa"/>
            <w:vAlign w:val="center"/>
          </w:tcPr>
          <w:p>
            <w:pPr>
              <w:pStyle w:val="11"/>
              <w:spacing w:line="500" w:lineRule="exact"/>
            </w:pPr>
            <w:r>
              <w:t>1630.41</w:t>
            </w:r>
          </w:p>
        </w:tc>
      </w:tr>
    </w:tbl>
    <w:p>
      <w:pPr>
        <w:adjustRightInd w:val="0"/>
        <w:snapToGrid w:val="0"/>
        <w:spacing w:line="62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snapToGrid w:val="0"/>
        <w:spacing w:line="620" w:lineRule="exact"/>
        <w:ind w:firstLine="643" w:firstLineChars="200"/>
        <w:rPr>
          <w:rFonts w:ascii="楷体_GB2312" w:hAnsi="仿宋" w:eastAsia="楷体_GB2312"/>
          <w:b/>
          <w:sz w:val="32"/>
          <w:szCs w:val="32"/>
        </w:rPr>
      </w:pPr>
      <w:r>
        <w:rPr>
          <w:rFonts w:hint="eastAsia" w:ascii="楷体_GB2312" w:hAnsi="仿宋" w:eastAsia="楷体_GB2312"/>
          <w:b/>
          <w:sz w:val="32"/>
          <w:szCs w:val="32"/>
        </w:rPr>
        <w:t>1、收入支出预算安排情况。</w:t>
      </w:r>
    </w:p>
    <w:p>
      <w:pPr>
        <w:autoSpaceDE w:val="0"/>
        <w:autoSpaceDN w:val="0"/>
        <w:adjustRightInd w:val="0"/>
        <w:spacing w:line="620" w:lineRule="exact"/>
        <w:ind w:firstLine="640" w:firstLineChars="200"/>
        <w:jc w:val="left"/>
        <w:rPr>
          <w:rFonts w:ascii="仿宋_GB2312" w:hAnsi="Times New Roman" w:eastAsia="仿宋_GB2312" w:cs="仿宋_GB2312"/>
          <w:kern w:val="0"/>
          <w:sz w:val="32"/>
          <w:szCs w:val="32"/>
        </w:rPr>
      </w:pPr>
      <w:r>
        <w:rPr>
          <w:rFonts w:hint="eastAsia" w:ascii="仿宋_GB2312" w:hAnsi="Times New Roman" w:eastAsia="仿宋_GB2312" w:cs="仿宋_GB2312"/>
          <w:kern w:val="0"/>
          <w:sz w:val="32"/>
          <w:szCs w:val="32"/>
        </w:rPr>
        <w:t>正定县农业农村局本年收入年初预算数</w:t>
      </w:r>
      <w:r>
        <w:rPr>
          <w:rFonts w:ascii="仿宋_GB2312" w:hAnsi="Times New Roman" w:eastAsia="仿宋_GB2312" w:cs="仿宋_GB2312"/>
          <w:kern w:val="0"/>
          <w:sz w:val="32"/>
          <w:szCs w:val="32"/>
        </w:rPr>
        <w:t xml:space="preserve">45330.56 </w:t>
      </w:r>
      <w:r>
        <w:rPr>
          <w:rFonts w:hint="eastAsia" w:ascii="仿宋_GB2312" w:hAnsi="Times New Roman" w:eastAsia="仿宋_GB2312" w:cs="仿宋_GB2312"/>
          <w:kern w:val="0"/>
          <w:sz w:val="32"/>
          <w:szCs w:val="32"/>
        </w:rPr>
        <w:t>万元，本年支出年初预算数为</w:t>
      </w:r>
      <w:r>
        <w:rPr>
          <w:rFonts w:ascii="仿宋_GB2312" w:hAnsi="Times New Roman" w:eastAsia="仿宋_GB2312" w:cs="仿宋_GB2312"/>
          <w:kern w:val="0"/>
          <w:sz w:val="32"/>
          <w:szCs w:val="32"/>
        </w:rPr>
        <w:t>45330.56</w:t>
      </w:r>
      <w:r>
        <w:rPr>
          <w:rFonts w:hint="eastAsia" w:ascii="仿宋_GB2312" w:hAnsi="Times New Roman" w:eastAsia="仿宋_GB2312" w:cs="仿宋_GB2312"/>
          <w:kern w:val="0"/>
          <w:sz w:val="32"/>
          <w:szCs w:val="32"/>
        </w:rPr>
        <w:t>万元。</w:t>
      </w:r>
      <w:r>
        <w:rPr>
          <w:rFonts w:ascii="仿宋_GB2312" w:hAnsi="Times New Roman" w:eastAsia="仿宋_GB2312" w:cs="仿宋_GB2312"/>
          <w:kern w:val="0"/>
          <w:sz w:val="32"/>
          <w:szCs w:val="32"/>
        </w:rPr>
        <w:t xml:space="preserve">2022 </w:t>
      </w:r>
      <w:r>
        <w:rPr>
          <w:rFonts w:hint="eastAsia" w:ascii="仿宋_GB2312" w:hAnsi="Times New Roman" w:eastAsia="仿宋_GB2312" w:cs="仿宋_GB2312"/>
          <w:kern w:val="0"/>
          <w:sz w:val="32"/>
          <w:szCs w:val="32"/>
        </w:rPr>
        <w:t>年度预算收入数为</w:t>
      </w:r>
      <w:r>
        <w:rPr>
          <w:rFonts w:ascii="仿宋_GB2312" w:hAnsi="Times New Roman" w:eastAsia="仿宋_GB2312" w:cs="仿宋_GB2312"/>
          <w:kern w:val="0"/>
          <w:sz w:val="32"/>
          <w:szCs w:val="32"/>
        </w:rPr>
        <w:t xml:space="preserve">25911.41 </w:t>
      </w:r>
      <w:r>
        <w:rPr>
          <w:rFonts w:hint="eastAsia" w:ascii="仿宋_GB2312" w:hAnsi="Times New Roman" w:eastAsia="仿宋_GB2312" w:cs="仿宋_GB2312"/>
          <w:kern w:val="0"/>
          <w:sz w:val="32"/>
          <w:szCs w:val="32"/>
        </w:rPr>
        <w:t>万元，支出预算数为</w:t>
      </w:r>
      <w:r>
        <w:rPr>
          <w:rFonts w:ascii="仿宋_GB2312" w:hAnsi="Times New Roman" w:eastAsia="仿宋_GB2312" w:cs="仿宋_GB2312"/>
          <w:kern w:val="0"/>
          <w:sz w:val="32"/>
          <w:szCs w:val="32"/>
        </w:rPr>
        <w:t>25911.41</w:t>
      </w:r>
      <w:r>
        <w:rPr>
          <w:rFonts w:hint="eastAsia" w:ascii="仿宋_GB2312" w:hAnsi="Times New Roman" w:eastAsia="仿宋_GB2312" w:cs="仿宋_GB2312"/>
          <w:kern w:val="0"/>
          <w:sz w:val="32"/>
          <w:szCs w:val="32"/>
        </w:rPr>
        <w:t>万元，与上年度相比，本年度收入、支出增加的原因是项目资金收入、支出增加。</w:t>
      </w:r>
    </w:p>
    <w:p>
      <w:pPr>
        <w:autoSpaceDE w:val="0"/>
        <w:autoSpaceDN w:val="0"/>
        <w:adjustRightInd w:val="0"/>
        <w:spacing w:line="620" w:lineRule="exact"/>
        <w:ind w:firstLine="643" w:firstLineChars="200"/>
        <w:jc w:val="left"/>
        <w:rPr>
          <w:rFonts w:ascii="楷体_GB2312" w:hAnsi="仿宋" w:eastAsia="楷体_GB2312"/>
          <w:b/>
          <w:sz w:val="32"/>
          <w:szCs w:val="32"/>
        </w:rPr>
      </w:pPr>
      <w:r>
        <w:rPr>
          <w:rFonts w:hint="eastAsia" w:ascii="楷体_GB2312" w:hAnsi="仿宋" w:eastAsia="楷体_GB2312"/>
          <w:b/>
          <w:sz w:val="32"/>
          <w:szCs w:val="32"/>
        </w:rPr>
        <w:t>2、收入支出预算执行情况。</w:t>
      </w:r>
    </w:p>
    <w:p>
      <w:pPr>
        <w:snapToGrid w:val="0"/>
        <w:spacing w:line="620" w:lineRule="exact"/>
        <w:ind w:firstLine="640" w:firstLineChars="200"/>
        <w:rPr>
          <w:rFonts w:ascii="楷体" w:hAnsi="楷体" w:eastAsia="楷体" w:cs="楷体_GB2312"/>
          <w:bCs/>
          <w:sz w:val="32"/>
          <w:szCs w:val="32"/>
        </w:rPr>
      </w:pPr>
      <w:r>
        <w:rPr>
          <w:rFonts w:hint="eastAsia" w:ascii="仿宋" w:hAnsi="仿宋" w:eastAsia="仿宋" w:cs="仿宋"/>
          <w:sz w:val="32"/>
          <w:szCs w:val="32"/>
        </w:rPr>
        <w:t>当年实际收入</w:t>
      </w:r>
      <w:r>
        <w:rPr>
          <w:rFonts w:ascii="仿宋_GB2312" w:hAnsi="Times New Roman" w:eastAsia="仿宋_GB2312" w:cs="DengXian-Regular"/>
          <w:sz w:val="32"/>
          <w:szCs w:val="32"/>
        </w:rPr>
        <w:t>57067.38</w:t>
      </w:r>
      <w:r>
        <w:rPr>
          <w:rFonts w:hint="eastAsia" w:ascii="仿宋_GB2312" w:hAnsi="Times New Roman" w:eastAsia="仿宋_GB2312" w:cs="DengXian-Regular"/>
          <w:sz w:val="32"/>
          <w:szCs w:val="32"/>
        </w:rPr>
        <w:t>万元</w:t>
      </w:r>
      <w:r>
        <w:rPr>
          <w:rFonts w:hint="eastAsia" w:ascii="仿宋" w:hAnsi="仿宋" w:eastAsia="仿宋" w:cs="仿宋"/>
          <w:sz w:val="32"/>
          <w:szCs w:val="32"/>
        </w:rPr>
        <w:t>，上年结转和结余0万元，</w:t>
      </w:r>
      <w:r>
        <w:rPr>
          <w:rFonts w:hint="eastAsia" w:ascii="仿宋_GB2312" w:hAnsi="Times New Roman" w:eastAsia="仿宋_GB2312" w:cs="DengXian-Regular"/>
          <w:sz w:val="32"/>
          <w:szCs w:val="32"/>
        </w:rPr>
        <w:t>比年初预算增加1</w:t>
      </w:r>
      <w:r>
        <w:rPr>
          <w:rFonts w:ascii="仿宋_GB2312" w:hAnsi="Times New Roman" w:eastAsia="仿宋_GB2312" w:cs="DengXian-Regular"/>
          <w:sz w:val="32"/>
          <w:szCs w:val="32"/>
        </w:rPr>
        <w:t>1736.82</w:t>
      </w:r>
      <w:r>
        <w:rPr>
          <w:rFonts w:hint="eastAsia" w:ascii="仿宋_GB2312" w:hAnsi="Times New Roman" w:eastAsia="仿宋_GB2312" w:cs="DengXian-Regular"/>
          <w:sz w:val="32"/>
          <w:szCs w:val="32"/>
        </w:rPr>
        <w:t>万元，决算数大于预算数主要原因是项目预算资金收入增加；</w:t>
      </w:r>
      <w:r>
        <w:rPr>
          <w:rFonts w:hint="eastAsia" w:ascii="仿宋" w:hAnsi="仿宋" w:eastAsia="仿宋" w:cs="仿宋"/>
          <w:sz w:val="32"/>
          <w:szCs w:val="32"/>
        </w:rPr>
        <w:t>支出</w:t>
      </w:r>
      <w:r>
        <w:rPr>
          <w:rFonts w:ascii="仿宋_GB2312" w:hAnsi="Times New Roman" w:eastAsia="仿宋_GB2312" w:cs="仿宋_GB2312"/>
          <w:kern w:val="0"/>
          <w:sz w:val="32"/>
          <w:szCs w:val="32"/>
        </w:rPr>
        <w:t>57070.82</w:t>
      </w:r>
      <w:r>
        <w:rPr>
          <w:rFonts w:hint="eastAsia" w:ascii="仿宋" w:hAnsi="仿宋" w:eastAsia="仿宋" w:cs="仿宋"/>
          <w:sz w:val="32"/>
          <w:szCs w:val="32"/>
        </w:rPr>
        <w:t>万元</w:t>
      </w:r>
      <w:r>
        <w:rPr>
          <w:rFonts w:hint="eastAsia" w:ascii="仿宋_GB2312" w:hAnsi="Times New Roman" w:eastAsia="仿宋_GB2312" w:cs="DengXian-Regular"/>
          <w:sz w:val="32"/>
          <w:szCs w:val="32"/>
        </w:rPr>
        <w:t>，比年初预算增加1</w:t>
      </w:r>
      <w:r>
        <w:rPr>
          <w:rFonts w:ascii="仿宋_GB2312" w:hAnsi="Times New Roman" w:eastAsia="仿宋_GB2312" w:cs="DengXian-Regular"/>
          <w:sz w:val="32"/>
          <w:szCs w:val="32"/>
        </w:rPr>
        <w:t>1740.26</w:t>
      </w:r>
      <w:r>
        <w:rPr>
          <w:rFonts w:hint="eastAsia" w:ascii="仿宋_GB2312" w:hAnsi="Times New Roman" w:eastAsia="仿宋_GB2312" w:cs="DengXian-Regular"/>
          <w:sz w:val="32"/>
          <w:szCs w:val="32"/>
        </w:rPr>
        <w:t>万元，决算数大于预算数主要原因是项目预算资金支出增加。</w:t>
      </w:r>
    </w:p>
    <w:p>
      <w:pPr>
        <w:adjustRightInd w:val="0"/>
        <w:snapToGrid w:val="0"/>
        <w:spacing w:line="62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line="620" w:lineRule="exact"/>
        <w:ind w:firstLine="560"/>
        <w:rPr>
          <w:rFonts w:ascii="仿宋_GB2312" w:hAnsi="Times New Roman" w:eastAsia="仿宋_GB2312" w:cs="DengXian-Regular"/>
          <w:sz w:val="32"/>
          <w:szCs w:val="32"/>
        </w:rPr>
      </w:pPr>
      <w:r>
        <w:rPr>
          <w:rFonts w:hint="eastAsia" w:ascii="仿宋_GB2312" w:hAnsi="Times New Roman" w:eastAsia="仿宋_GB2312" w:cs="DengXian-Regular"/>
          <w:sz w:val="32"/>
          <w:szCs w:val="32"/>
        </w:rPr>
        <w:t>1、</w:t>
      </w:r>
      <w:r>
        <w:rPr>
          <w:rFonts w:ascii="仿宋_GB2312" w:hAnsi="Times New Roman" w:eastAsia="仿宋_GB2312" w:cs="DengXian-Regular"/>
          <w:sz w:val="32"/>
          <w:szCs w:val="32"/>
        </w:rPr>
        <w:t>总体绩效目标</w:t>
      </w:r>
    </w:p>
    <w:p>
      <w:pPr>
        <w:pStyle w:val="6"/>
        <w:spacing w:line="620" w:lineRule="exact"/>
        <w:rPr>
          <w:rFonts w:ascii="仿宋_GB2312" w:eastAsia="仿宋_GB2312" w:cs="DengXian-Regular"/>
          <w:kern w:val="2"/>
          <w:sz w:val="32"/>
          <w:szCs w:val="32"/>
          <w:lang w:eastAsia="zh-CN"/>
        </w:rPr>
      </w:pPr>
      <w:r>
        <w:rPr>
          <w:rFonts w:ascii="仿宋_GB2312" w:eastAsia="仿宋_GB2312" w:cs="DengXian-Regular"/>
          <w:kern w:val="2"/>
          <w:sz w:val="32"/>
          <w:szCs w:val="32"/>
          <w:lang w:eastAsia="zh-CN"/>
        </w:rPr>
        <w:t>坚持以习近平新时代中国特色社会主义思想为指导，全面贯彻落实中央和省、市“三农”工作决策部署，以实施乡村振兴战略为总抓手，以推进农业农村现代化为目标，提高我县粮食综合生产能力，促进休闲农业优质发展，提升农村人居环境整治，推进和美乡村创建，加大招商选资项目建设力度，积极创建全国农产品质量安全县，建设宜居宜业和美乡村，着力在保障粮食生产安全、加快农业结构调整、推进现代农业发展等重点工作上实现新突破，实现农业高质高效、乡村宜居宜业、农民富裕富足新局面。</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2、</w:t>
      </w:r>
      <w:r>
        <w:rPr>
          <w:rFonts w:ascii="仿宋_GB2312" w:hAnsi="Times New Roman" w:eastAsia="仿宋_GB2312" w:cs="DengXian-Regular"/>
          <w:sz w:val="32"/>
          <w:szCs w:val="32"/>
        </w:rPr>
        <w:t>分项绩效目标</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稳步提高重要农产品生产能力。全年粮食播种面积62.27万亩，其中大豆玉米带状复合种植面积0.85万亩，新增节水灌溉面积0.80万亩，油料种植面积2.77万亩，粮食总产量稳定在5.79亿斤。</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促进现代农业提质增效。加快农业产业结构调整，促进休闲农业优质发展，推进农业产业化各项工作，完成全年农业招商任务，实现农业园区提档升级，顺利推进农村综合改革试点项目。</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3</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推进畜牧业持续稳健发展。全力做好重大动物疫病防控工作，持续开展大清洗大清理大消毒活动，认真开展非洲猪瘟监测工作，严把屠宰检疫关，扎实做好病死动物无害化处理工作。</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积极创建全国农产品质量安全县。按照农业农村部开展农产品质量安全县创建活动要求，努力打造标准化生产、全程监管、</w:t>
      </w:r>
      <w:r>
        <w:rPr>
          <w:rFonts w:hint="eastAsia" w:ascii="仿宋_GB2312" w:hAnsi="Times New Roman" w:eastAsia="仿宋_GB2312" w:cs="DengXian-Regular"/>
          <w:sz w:val="32"/>
          <w:szCs w:val="32"/>
        </w:rPr>
        <w:t>监管体系建设和</w:t>
      </w:r>
      <w:r>
        <w:rPr>
          <w:rFonts w:ascii="仿宋_GB2312" w:hAnsi="Times New Roman" w:eastAsia="仿宋_GB2312" w:cs="DengXian-Regular"/>
          <w:sz w:val="32"/>
          <w:szCs w:val="32"/>
        </w:rPr>
        <w:t>社会共治等“四个样板区”。以创建国家级农安县为抓手，继续强化县乡两级农产品质量安全政府属地管理责任，推动全县农产品质量安全水平再上新台阶。</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5</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继续抓好农村人居环境整治提升。建立健全农村厕所长效管护机制，全面升级改造农村厕所长效管护电子监管平台，深化完善多项功能。创建省级和美乡村（省级美丽乡村）65个、省级和美乡村示范村（省级美丽乡村精品村）10个。</w:t>
      </w:r>
    </w:p>
    <w:p>
      <w:pPr>
        <w:spacing w:line="6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6</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全力推进高标准农田建设。在新安镇西慈亭、西权城、柳树科新建1万亩高标准农田；在南楼乡厢同村、西宿村、宿村庄，南岗镇东房头、小客村改造提升1万亩高标准农田。</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7</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不断提升农机化综合水平。落实农机购置补贴政策、农机深松深耕作业项目，严格规范牌证业务管理，搞好跨区作业管理服务，做好外来机具的接待、分配、协调工作，保证我县小麦、玉米的适时收割。</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8</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加强农村财务及资产规范管理。加强农村宅基地改革与管理工作，培育和扶持新型经营主体，做好土地流转及土地承包经营纠纷调解仲裁工作，开展农村集体资产清产合资工作。</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9</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强化农产品质量安全监管。一是全县定量检测达到1.7批次/千人，农产品抽检合格率稳定在98%以上；二是积极培育绿色优质农产品全产业链标准化生产基地</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两品一标”产品总数同比增加2个以上，优质农产品基地生产规模占比达到15%，农业标准化生产覆盖率达到76%以上；三是依托国家和省平台建设电子追溯点40家以上；四是强化监督检查和执法检查，严厉打击违法犯罪行为，确保不发生区域性系统性链条式风险，确保不发生重大农产品质量安全事件。</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10</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加大农业综合执法力度。开展</w:t>
      </w:r>
      <w:r>
        <w:rPr>
          <w:rFonts w:hint="eastAsia" w:ascii="仿宋_GB2312" w:hAnsi="Times New Roman" w:eastAsia="仿宋_GB2312" w:cs="DengXian-Regular"/>
          <w:sz w:val="32"/>
          <w:szCs w:val="32"/>
        </w:rPr>
        <w:t>“春雷”</w:t>
      </w:r>
      <w:r>
        <w:rPr>
          <w:rFonts w:ascii="仿宋_GB2312" w:hAnsi="Times New Roman" w:eastAsia="仿宋_GB2312" w:cs="DengXian-Regular"/>
          <w:sz w:val="32"/>
          <w:szCs w:val="32"/>
        </w:rPr>
        <w:t>专项行动，对种子、肥料、农药、兽药、饲料和饲料添加剂、农机等重点领域、重点农资产品的专项整治。</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11</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创建新农业科技与信息服务方式。积极推进数字乡村建设，建设</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乡村数字生活服务站”120家；实施农技推广补助项目，在8个乡镇成立科技服务团，设立科技服务站，在142个行政村每村选派一名粮食生产科技专员，为农户提供粮食生产全程全链条技术指导服务；农业创新驿站建设，建设2个创新驿站健全村级技术员队伍，选聘村级技术员138名，开展高素质农民教育工程，培训农业经营主体和服务主体经营者100人、专业农机手培训50人。</w:t>
      </w:r>
    </w:p>
    <w:p>
      <w:pPr>
        <w:spacing w:line="620" w:lineRule="exact"/>
        <w:ind w:firstLine="66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抓好农业资源综合利用</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实施新能源开发利用项目，做好地膜科学使用试点项目工作。</w:t>
      </w:r>
    </w:p>
    <w:p>
      <w:pPr>
        <w:spacing w:line="620" w:lineRule="exact"/>
        <w:ind w:firstLine="660"/>
        <w:rPr>
          <w:rFonts w:ascii="仿宋" w:hAnsi="仿宋" w:eastAsia="仿宋" w:cs="宋体"/>
          <w:sz w:val="32"/>
          <w:szCs w:val="32"/>
        </w:rPr>
      </w:pP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13</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巩固</w:t>
      </w:r>
      <w:r>
        <w:rPr>
          <w:rFonts w:hint="eastAsia" w:ascii="仿宋_GB2312" w:hAnsi="Times New Roman" w:eastAsia="仿宋_GB2312" w:cs="DengXian-Regular"/>
          <w:sz w:val="32"/>
          <w:szCs w:val="32"/>
          <w:lang w:val="en-US" w:eastAsia="zh-CN"/>
        </w:rPr>
        <w:t>拓展</w:t>
      </w:r>
      <w:bookmarkStart w:id="0" w:name="_GoBack"/>
      <w:bookmarkEnd w:id="0"/>
      <w:r>
        <w:rPr>
          <w:rFonts w:ascii="仿宋_GB2312" w:hAnsi="Times New Roman" w:eastAsia="仿宋_GB2312" w:cs="DengXian-Regular"/>
          <w:sz w:val="32"/>
          <w:szCs w:val="32"/>
        </w:rPr>
        <w:t>脱贫攻坚成果同乡村振兴有效衔接</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加强监测帮扶，在全县范围开展防止返贫监测帮扶集中排查，及时发现致贫返贫风险，精准落实帮扶措施，有效消除风险隐患。开展两次帮扶“走亲”活动，抓好乡村治理工作。</w:t>
      </w:r>
    </w:p>
    <w:p>
      <w:pPr>
        <w:adjustRightInd w:val="0"/>
        <w:snapToGrid w:val="0"/>
        <w:spacing w:line="62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620" w:lineRule="exact"/>
        <w:ind w:firstLine="660"/>
        <w:rPr>
          <w:rFonts w:ascii="楷体" w:hAnsi="楷体" w:eastAsia="楷体" w:cs="楷体_GB2312"/>
          <w:sz w:val="32"/>
          <w:szCs w:val="32"/>
        </w:rPr>
      </w:pPr>
      <w:r>
        <w:rPr>
          <w:rFonts w:hint="eastAsia" w:ascii="楷体" w:hAnsi="楷体" w:eastAsia="楷体" w:cs="楷体_GB2312"/>
          <w:bCs/>
          <w:sz w:val="32"/>
          <w:szCs w:val="32"/>
        </w:rPr>
        <w:t>（一）自评的组织工作</w:t>
      </w:r>
    </w:p>
    <w:p>
      <w:pPr>
        <w:spacing w:line="620" w:lineRule="exact"/>
        <w:ind w:firstLine="660"/>
        <w:rPr>
          <w:rFonts w:ascii="楷体" w:hAnsi="楷体" w:eastAsia="楷体" w:cs="楷体_GB2312"/>
          <w:sz w:val="32"/>
          <w:szCs w:val="32"/>
        </w:rPr>
      </w:pPr>
      <w:r>
        <w:rPr>
          <w:rFonts w:hint="eastAsia" w:ascii="仿宋" w:hAnsi="仿宋" w:eastAsia="仿宋" w:cs="仿宋_GB2312"/>
          <w:kern w:val="0"/>
          <w:sz w:val="32"/>
          <w:szCs w:val="32"/>
        </w:rPr>
        <w:t>按照县财政统一安排，</w:t>
      </w:r>
      <w:r>
        <w:rPr>
          <w:rFonts w:hint="eastAsia" w:ascii="仿宋" w:hAnsi="仿宋" w:eastAsia="仿宋" w:cs="仿宋_GB2312"/>
          <w:sz w:val="32"/>
          <w:szCs w:val="32"/>
        </w:rPr>
        <w:t>根据</w:t>
      </w:r>
      <w:r>
        <w:rPr>
          <w:rFonts w:hint="eastAsia" w:ascii="仿宋" w:hAnsi="仿宋" w:eastAsia="仿宋" w:cs="宋体"/>
          <w:sz w:val="32"/>
          <w:szCs w:val="32"/>
        </w:rPr>
        <w:t>《正定县县级部门预算项目绩效自评管理办法》（正财绩</w:t>
      </w:r>
      <w:r>
        <w:rPr>
          <w:rFonts w:hint="eastAsia" w:ascii="仿宋" w:hAnsi="仿宋" w:eastAsia="仿宋" w:cs="仿宋"/>
          <w:sz w:val="32"/>
          <w:szCs w:val="32"/>
        </w:rPr>
        <w:t>〔2020〕1号</w:t>
      </w:r>
      <w:r>
        <w:rPr>
          <w:rFonts w:hint="eastAsia" w:ascii="仿宋" w:hAnsi="仿宋" w:eastAsia="仿宋" w:cs="宋体"/>
          <w:sz w:val="32"/>
          <w:szCs w:val="32"/>
        </w:rPr>
        <w:t>），</w:t>
      </w:r>
      <w:r>
        <w:rPr>
          <w:rFonts w:hint="eastAsia" w:ascii="仿宋" w:hAnsi="仿宋" w:eastAsia="仿宋"/>
          <w:color w:val="000000"/>
          <w:sz w:val="32"/>
          <w:szCs w:val="32"/>
        </w:rPr>
        <w:t>对我部门2</w:t>
      </w:r>
      <w:r>
        <w:rPr>
          <w:rFonts w:ascii="仿宋" w:hAnsi="仿宋" w:eastAsia="仿宋"/>
          <w:color w:val="000000"/>
          <w:sz w:val="32"/>
          <w:szCs w:val="32"/>
        </w:rPr>
        <w:t>023</w:t>
      </w:r>
      <w:r>
        <w:rPr>
          <w:rFonts w:hint="eastAsia" w:ascii="仿宋" w:hAnsi="仿宋" w:eastAsia="仿宋"/>
          <w:color w:val="000000"/>
          <w:sz w:val="32"/>
          <w:szCs w:val="32"/>
        </w:rPr>
        <w:t>年度全部专项项目整体支出情况进行绩效自评。</w:t>
      </w:r>
    </w:p>
    <w:p>
      <w:pPr>
        <w:spacing w:line="620" w:lineRule="exact"/>
        <w:ind w:firstLine="640" w:firstLineChars="200"/>
        <w:rPr>
          <w:rFonts w:eastAsia="仿宋" w:cs="Times New Roman"/>
          <w:kern w:val="0"/>
          <w:sz w:val="32"/>
          <w:szCs w:val="32"/>
          <w:lang w:val="uk-UA" w:eastAsia="uk-UA"/>
        </w:rPr>
      </w:pPr>
      <w:r>
        <w:rPr>
          <w:rFonts w:hint="eastAsia" w:ascii="仿宋" w:hAnsi="仿宋" w:eastAsia="仿宋"/>
          <w:sz w:val="32"/>
          <w:szCs w:val="32"/>
        </w:rPr>
        <w:t>局党组召开项目绩效评价专题会议进行研究，决定成立以局党组书记任组长、财务主管副局长任副组长、业务股室（站、所）</w:t>
      </w:r>
      <w:r>
        <w:rPr>
          <w:rFonts w:hint="eastAsia" w:ascii="仿宋" w:hAnsi="仿宋" w:eastAsia="仿宋" w:cs="Times New Roman"/>
          <w:kern w:val="0"/>
          <w:sz w:val="32"/>
          <w:szCs w:val="32"/>
          <w:lang w:eastAsia="uk-UA"/>
        </w:rPr>
        <w:t>负责人为成员的绩效评价小组，认真开展我部门</w:t>
      </w:r>
      <w:r>
        <w:rPr>
          <w:rFonts w:ascii="仿宋" w:hAnsi="仿宋" w:eastAsia="仿宋" w:cs="Times New Roman"/>
          <w:kern w:val="0"/>
          <w:sz w:val="32"/>
          <w:szCs w:val="32"/>
          <w:lang w:eastAsia="uk-UA"/>
        </w:rPr>
        <w:t>2023</w:t>
      </w:r>
      <w:r>
        <w:rPr>
          <w:rFonts w:hint="eastAsia" w:ascii="仿宋" w:hAnsi="仿宋" w:eastAsia="仿宋" w:cs="Times New Roman"/>
          <w:kern w:val="0"/>
          <w:sz w:val="32"/>
          <w:szCs w:val="32"/>
          <w:lang w:eastAsia="uk-UA"/>
        </w:rPr>
        <w:t>年预算项目实施绩效自评工作。</w:t>
      </w:r>
    </w:p>
    <w:p>
      <w:pPr>
        <w:spacing w:line="620" w:lineRule="exact"/>
        <w:ind w:firstLine="640" w:firstLineChars="200"/>
        <w:rPr>
          <w:rFonts w:ascii="仿宋" w:hAnsi="仿宋" w:eastAsia="仿宋" w:cs="Times New Roman"/>
          <w:kern w:val="0"/>
          <w:sz w:val="32"/>
          <w:szCs w:val="32"/>
          <w:lang w:eastAsia="uk-UA"/>
        </w:rPr>
      </w:pPr>
      <w:r>
        <w:rPr>
          <w:rFonts w:hint="eastAsia" w:ascii="仿宋" w:hAnsi="仿宋" w:eastAsia="仿宋" w:cs="Times New Roman"/>
          <w:kern w:val="0"/>
          <w:sz w:val="32"/>
          <w:szCs w:val="32"/>
        </w:rPr>
        <w:t>（二）</w:t>
      </w:r>
      <w:r>
        <w:rPr>
          <w:rFonts w:hint="eastAsia" w:ascii="仿宋" w:hAnsi="仿宋" w:eastAsia="仿宋" w:cs="Times New Roman"/>
          <w:kern w:val="0"/>
          <w:sz w:val="32"/>
          <w:szCs w:val="32"/>
          <w:lang w:eastAsia="uk-UA"/>
        </w:rPr>
        <w:t>自评的方法和过程</w:t>
      </w:r>
    </w:p>
    <w:p>
      <w:pPr>
        <w:snapToGrid w:val="0"/>
        <w:spacing w:line="620" w:lineRule="exact"/>
        <w:ind w:firstLine="640" w:firstLineChars="200"/>
        <w:rPr>
          <w:rFonts w:ascii="仿宋" w:hAnsi="仿宋" w:eastAsia="仿宋" w:cs="Times New Roman"/>
          <w:kern w:val="0"/>
          <w:sz w:val="32"/>
          <w:szCs w:val="32"/>
          <w:lang w:eastAsia="uk-UA"/>
        </w:rPr>
      </w:pPr>
      <w:r>
        <w:rPr>
          <w:rFonts w:hint="eastAsia" w:ascii="仿宋" w:hAnsi="仿宋" w:eastAsia="仿宋" w:cs="Times New Roman"/>
          <w:kern w:val="0"/>
          <w:sz w:val="32"/>
          <w:szCs w:val="32"/>
          <w:lang w:eastAsia="uk-UA"/>
        </w:rPr>
        <w:t>我局根据年初制定的“三农”工作的发展战略、中长期规划、重大政策，协调推动发展全县农村社会事业、农村公共服务、农村文化、农村基础设施和乡村治理，组织改善农村人居环境。</w:t>
      </w:r>
    </w:p>
    <w:p>
      <w:pPr>
        <w:snapToGrid w:val="0"/>
        <w:spacing w:line="620" w:lineRule="exact"/>
        <w:ind w:firstLine="640" w:firstLineChars="200"/>
        <w:rPr>
          <w:rFonts w:ascii="仿宋" w:hAnsi="仿宋" w:eastAsia="仿宋" w:cs="Times New Roman"/>
          <w:kern w:val="0"/>
          <w:sz w:val="32"/>
          <w:szCs w:val="32"/>
          <w:lang w:eastAsia="uk-UA"/>
        </w:rPr>
      </w:pPr>
      <w:r>
        <w:rPr>
          <w:rFonts w:hint="eastAsia" w:ascii="仿宋" w:hAnsi="仿宋" w:eastAsia="仿宋" w:cs="Times New Roman"/>
          <w:kern w:val="0"/>
          <w:sz w:val="32"/>
          <w:szCs w:val="32"/>
          <w:lang w:eastAsia="uk-UA"/>
        </w:rPr>
        <w:t>邀请上级主管部门、财政主管科室、项目承担科室、实施单位通过现场调查核实对项目建设、资金支出、绩效实现情况进行自评。</w:t>
      </w:r>
    </w:p>
    <w:p>
      <w:pPr>
        <w:spacing w:line="620" w:lineRule="exact"/>
        <w:ind w:firstLine="640" w:firstLineChars="200"/>
        <w:rPr>
          <w:rFonts w:eastAsia="仿宋" w:cs="Times New Roman"/>
          <w:kern w:val="0"/>
          <w:sz w:val="32"/>
          <w:szCs w:val="32"/>
          <w:lang w:val="uk-UA" w:eastAsia="uk-UA"/>
        </w:rPr>
      </w:pPr>
      <w:r>
        <w:rPr>
          <w:rFonts w:hint="eastAsia" w:ascii="仿宋" w:hAnsi="仿宋" w:eastAsia="仿宋" w:cs="Times New Roman"/>
          <w:kern w:val="0"/>
          <w:sz w:val="32"/>
          <w:szCs w:val="32"/>
          <w:lang w:eastAsia="uk-UA"/>
        </w:rPr>
        <w:t>对每一个项目填报《项目绩效自评表》，并撰写绩效自评报告。</w:t>
      </w:r>
    </w:p>
    <w:p>
      <w:pPr>
        <w:spacing w:line="620" w:lineRule="exact"/>
        <w:ind w:firstLine="640" w:firstLineChars="200"/>
        <w:rPr>
          <w:rFonts w:ascii="仿宋" w:hAnsi="仿宋" w:eastAsia="仿宋" w:cs="Times New Roman"/>
          <w:kern w:val="0"/>
          <w:sz w:val="32"/>
          <w:szCs w:val="32"/>
          <w:lang w:eastAsia="uk-UA"/>
        </w:rPr>
      </w:pPr>
      <w:r>
        <w:rPr>
          <w:rFonts w:hint="eastAsia" w:ascii="黑体" w:hAnsi="黑体" w:eastAsia="黑体"/>
          <w:sz w:val="32"/>
          <w:szCs w:val="32"/>
        </w:rPr>
        <w:t>三、部门整体支出绩效目标实现情况及指标分析</w:t>
      </w:r>
    </w:p>
    <w:p>
      <w:pPr>
        <w:numPr>
          <w:ilvl w:val="0"/>
          <w:numId w:val="1"/>
        </w:numPr>
        <w:spacing w:line="620" w:lineRule="exact"/>
        <w:ind w:firstLine="640" w:firstLineChars="200"/>
        <w:rPr>
          <w:rFonts w:ascii="仿宋" w:hAnsi="仿宋" w:eastAsia="仿宋" w:cs="楷体_GB2312"/>
          <w:bCs/>
          <w:sz w:val="32"/>
          <w:szCs w:val="32"/>
        </w:rPr>
      </w:pPr>
      <w:r>
        <w:rPr>
          <w:rFonts w:hint="eastAsia" w:ascii="仿宋" w:hAnsi="仿宋" w:eastAsia="仿宋" w:cs="楷体_GB2312"/>
          <w:bCs/>
          <w:sz w:val="32"/>
          <w:szCs w:val="32"/>
        </w:rPr>
        <w:t>总体绩效目标实现情况</w:t>
      </w:r>
    </w:p>
    <w:p>
      <w:pPr>
        <w:spacing w:line="620" w:lineRule="exact"/>
        <w:ind w:firstLine="640" w:firstLineChars="200"/>
        <w:rPr>
          <w:rFonts w:ascii="仿宋" w:hAnsi="仿宋" w:eastAsia="仿宋" w:cs="Times New Roman"/>
          <w:kern w:val="0"/>
          <w:sz w:val="32"/>
          <w:szCs w:val="32"/>
          <w:lang w:eastAsia="uk-UA"/>
        </w:rPr>
      </w:pPr>
      <w:r>
        <w:rPr>
          <w:rFonts w:hint="eastAsia" w:ascii="仿宋" w:hAnsi="仿宋" w:eastAsia="仿宋" w:cs="Times New Roman"/>
          <w:kern w:val="0"/>
          <w:sz w:val="32"/>
          <w:szCs w:val="32"/>
          <w:lang w:eastAsia="uk-UA"/>
        </w:rPr>
        <w:t>坚持以习近平新时代中国特色社会主义思想为指导，全面贯彻落实中央和省、市“三农”工作决策部署，聚焦“四个农业”发展，以实施乡村振兴战略为总抓手，以推进农业供给侧结构性改革为主线，以推进农业农村现代化为目标，提高我县粮食综合生产能力，大力发展休闲农业，推进省级美丽乡村创建进度，提升农村人居环境整治，加大招商选资项目建设力度，积极创建全国农产品质量安全县，着力在保障粮食生产安全、加快农业结构调整、推进现代农业发展等重点工作上实现新突破，实现农业高质高效、乡村宜居宜业、农民富裕富足新局面。</w:t>
      </w:r>
    </w:p>
    <w:p>
      <w:pPr>
        <w:spacing w:line="620" w:lineRule="exact"/>
        <w:ind w:firstLine="640" w:firstLineChars="200"/>
        <w:rPr>
          <w:rFonts w:ascii="仿宋" w:hAnsi="仿宋" w:eastAsia="仿宋"/>
          <w:bCs/>
          <w:sz w:val="32"/>
          <w:szCs w:val="32"/>
        </w:rPr>
      </w:pPr>
      <w:r>
        <w:rPr>
          <w:rFonts w:hint="eastAsia" w:ascii="仿宋" w:hAnsi="仿宋" w:eastAsia="仿宋" w:cs="Times New Roman"/>
          <w:kern w:val="0"/>
          <w:sz w:val="32"/>
          <w:szCs w:val="32"/>
          <w:lang w:eastAsia="uk-UA"/>
        </w:rPr>
        <w:t>（二）</w:t>
      </w:r>
      <w:r>
        <w:rPr>
          <w:rFonts w:hint="eastAsia" w:ascii="仿宋" w:hAnsi="仿宋" w:eastAsia="仿宋" w:cs="楷体_GB2312"/>
          <w:bCs/>
          <w:sz w:val="32"/>
          <w:szCs w:val="32"/>
        </w:rPr>
        <w:t>分项绩效目标实现情况及指标分析</w:t>
      </w:r>
    </w:p>
    <w:p>
      <w:pPr>
        <w:adjustRightInd w:val="0"/>
        <w:snapToGrid w:val="0"/>
        <w:spacing w:line="62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根据202</w:t>
      </w:r>
      <w:r>
        <w:rPr>
          <w:rFonts w:ascii="仿宋" w:hAnsi="仿宋" w:eastAsia="仿宋"/>
          <w:sz w:val="32"/>
          <w:szCs w:val="32"/>
        </w:rPr>
        <w:t>3</w:t>
      </w:r>
      <w:r>
        <w:rPr>
          <w:rFonts w:hint="eastAsia" w:ascii="仿宋" w:hAnsi="仿宋" w:eastAsia="仿宋"/>
          <w:sz w:val="32"/>
          <w:szCs w:val="32"/>
        </w:rPr>
        <w:t>年年初预算各项目设置的绩效指标，本部门认真履行职责，较好地完成了当年的各项工作任务。</w:t>
      </w:r>
      <w:r>
        <w:rPr>
          <w:rFonts w:hint="eastAsia" w:ascii="仿宋_GB2312" w:hAnsi="仿宋_GB2312" w:eastAsia="仿宋_GB2312" w:cs="仿宋_GB2312"/>
          <w:color w:val="000000"/>
          <w:sz w:val="32"/>
          <w:szCs w:val="32"/>
        </w:rPr>
        <w:t>组织对</w:t>
      </w:r>
      <w:r>
        <w:rPr>
          <w:rFonts w:ascii="仿宋_GB2312" w:hAnsi="仿宋_GB2312" w:eastAsia="仿宋_GB2312" w:cs="仿宋_GB2312"/>
          <w:sz w:val="32"/>
          <w:szCs w:val="32"/>
        </w:rPr>
        <w:t>106</w:t>
      </w:r>
      <w:r>
        <w:rPr>
          <w:rFonts w:hint="eastAsia" w:ascii="仿宋_GB2312" w:hAnsi="仿宋_GB2312" w:eastAsia="仿宋_GB2312" w:cs="仿宋_GB2312"/>
          <w:sz w:val="32"/>
          <w:szCs w:val="32"/>
        </w:rPr>
        <w:t>个一般公共预算项目开展绩效自评，共涉及资金1</w:t>
      </w:r>
      <w:r>
        <w:rPr>
          <w:rFonts w:ascii="仿宋_GB2312" w:hAnsi="仿宋_GB2312" w:eastAsia="仿宋_GB2312" w:cs="仿宋_GB2312"/>
          <w:sz w:val="32"/>
          <w:szCs w:val="32"/>
        </w:rPr>
        <w:t>6392.52</w:t>
      </w:r>
      <w:r>
        <w:rPr>
          <w:rFonts w:hint="eastAsia" w:ascii="仿宋_GB2312" w:hAnsi="仿宋_GB2312" w:eastAsia="仿宋_GB2312" w:cs="仿宋_GB2312"/>
          <w:sz w:val="32"/>
          <w:szCs w:val="32"/>
        </w:rPr>
        <w:t>万元；</w:t>
      </w:r>
      <w:r>
        <w:rPr>
          <w:rFonts w:hint="eastAsia" w:ascii="仿宋_GB2312" w:hAnsi="仿宋_GB2312" w:eastAsia="仿宋_GB2312" w:cs="仿宋_GB2312"/>
          <w:color w:val="000000"/>
          <w:sz w:val="32"/>
          <w:szCs w:val="32"/>
        </w:rPr>
        <w:t>对家庭农场、农民合作社项目、农作物机械化示范项目、病死畜禽无害化处理全覆盖项目等</w:t>
      </w:r>
      <w:r>
        <w:rPr>
          <w:rFonts w:ascii="仿宋_GB2312" w:hAnsi="仿宋_GB2312" w:eastAsia="仿宋_GB2312" w:cs="仿宋_GB2312"/>
          <w:sz w:val="32"/>
          <w:szCs w:val="32"/>
        </w:rPr>
        <w:t>32</w:t>
      </w:r>
      <w:r>
        <w:rPr>
          <w:rFonts w:hint="eastAsia" w:ascii="仿宋_GB2312" w:hAnsi="仿宋_GB2312" w:eastAsia="仿宋_GB2312" w:cs="仿宋_GB2312"/>
          <w:sz w:val="32"/>
          <w:szCs w:val="32"/>
        </w:rPr>
        <w:t>个政府性基金预算项目支出开展绩效自评，共涉及资金</w:t>
      </w:r>
      <w:r>
        <w:rPr>
          <w:rFonts w:ascii="仿宋_GB2312" w:hAnsi="仿宋_GB2312" w:eastAsia="仿宋_GB2312" w:cs="仿宋_GB2312"/>
          <w:sz w:val="32"/>
          <w:szCs w:val="32"/>
        </w:rPr>
        <w:t>37211.71</w:t>
      </w:r>
      <w:r>
        <w:rPr>
          <w:rFonts w:hint="eastAsia" w:ascii="仿宋_GB2312" w:hAnsi="仿宋_GB2312" w:eastAsia="仿宋_GB2312" w:cs="仿宋_GB2312"/>
          <w:sz w:val="32"/>
          <w:szCs w:val="32"/>
        </w:rPr>
        <w:t>万元。</w:t>
      </w:r>
    </w:p>
    <w:p>
      <w:pPr>
        <w:spacing w:line="62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针对年初预算安排，结合我局实际情况，部门整体项目支出绩效评价为优秀。</w:t>
      </w:r>
    </w:p>
    <w:p>
      <w:pPr>
        <w:spacing w:line="62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62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620" w:lineRule="exact"/>
        <w:ind w:firstLine="640" w:firstLineChars="200"/>
        <w:rPr>
          <w:rFonts w:ascii="仿宋" w:hAnsi="仿宋" w:eastAsia="仿宋"/>
          <w:sz w:val="32"/>
          <w:szCs w:val="32"/>
        </w:rPr>
      </w:pPr>
      <w:r>
        <w:rPr>
          <w:rFonts w:ascii="仿宋_GB2312" w:hAnsi="宋体" w:eastAsia="仿宋_GB2312"/>
          <w:sz w:val="32"/>
          <w:szCs w:val="32"/>
        </w:rPr>
        <w:t>1</w:t>
      </w:r>
      <w:r>
        <w:rPr>
          <w:rFonts w:hint="eastAsia" w:ascii="仿宋_GB2312" w:hAnsi="宋体" w:eastAsia="仿宋_GB2312"/>
          <w:sz w:val="32"/>
          <w:szCs w:val="32"/>
        </w:rPr>
        <w:t>、</w:t>
      </w:r>
      <w:r>
        <w:rPr>
          <w:rFonts w:hint="eastAsia" w:ascii="仿宋" w:hAnsi="仿宋" w:eastAsia="仿宋"/>
          <w:sz w:val="32"/>
          <w:szCs w:val="32"/>
        </w:rPr>
        <w:t>我部门按照年初预算设定的绩效目标，较好地完成了项目资金的各项目标任务，取得了较好的经济效益和社会效益。但整体预算执行率偏低。</w:t>
      </w:r>
    </w:p>
    <w:p>
      <w:pPr>
        <w:snapToGrid w:val="0"/>
        <w:spacing w:line="620" w:lineRule="exact"/>
        <w:ind w:firstLine="640" w:firstLineChars="200"/>
        <w:rPr>
          <w:rFonts w:ascii="仿宋_GB2312" w:hAnsi="宋体" w:eastAsia="仿宋_GB2312"/>
          <w:sz w:val="32"/>
          <w:szCs w:val="32"/>
        </w:rPr>
      </w:pPr>
      <w:r>
        <w:rPr>
          <w:rFonts w:ascii="仿宋_GB2312" w:hAnsi="宋体" w:eastAsia="仿宋_GB2312"/>
          <w:sz w:val="32"/>
          <w:szCs w:val="32"/>
        </w:rPr>
        <w:t>2</w:t>
      </w:r>
      <w:r>
        <w:rPr>
          <w:rFonts w:hint="eastAsia" w:ascii="仿宋_GB2312" w:hAnsi="宋体" w:eastAsia="仿宋_GB2312"/>
          <w:sz w:val="32"/>
          <w:szCs w:val="32"/>
        </w:rPr>
        <w:t>、对于如何科学设定绩效目标、考核评价标准不够完善、合理，在一定程度上影响了绩效评价工作质量。</w:t>
      </w:r>
    </w:p>
    <w:p>
      <w:pPr>
        <w:spacing w:line="62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napToGrid w:val="0"/>
        <w:spacing w:line="620" w:lineRule="exact"/>
        <w:ind w:firstLine="640" w:firstLineChars="200"/>
        <w:rPr>
          <w:rFonts w:ascii="仿宋_GB2312" w:hAnsi="宋体" w:eastAsia="仿宋_GB2312"/>
          <w:sz w:val="32"/>
          <w:szCs w:val="32"/>
        </w:rPr>
      </w:pPr>
      <w:r>
        <w:rPr>
          <w:rFonts w:ascii="仿宋_GB2312" w:hAnsi="宋体" w:eastAsia="仿宋_GB2312"/>
          <w:sz w:val="32"/>
          <w:szCs w:val="32"/>
        </w:rPr>
        <w:t>1</w:t>
      </w:r>
      <w:r>
        <w:rPr>
          <w:rFonts w:hint="eastAsia" w:ascii="仿宋_GB2312" w:hAnsi="宋体" w:eastAsia="仿宋_GB2312"/>
          <w:sz w:val="32"/>
          <w:szCs w:val="32"/>
        </w:rPr>
        <w:t>、增强绩效管理。建立健全规范性制度，加强预算实施监督，增加季度性、阶段性绩效填报考察，将预算执行率按阶段划分，加强对每阶段实施情况督促力度。</w:t>
      </w:r>
    </w:p>
    <w:p>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2、重视绩效评价工作。积极总结经验和教训，强化财政资金管理水平、优化财政支出结构和配置效率、提高财政资金使用效益。学习如何科学合理制定绩效目标及考核体系，充分发挥绩效评价作用。</w:t>
      </w:r>
    </w:p>
    <w:p>
      <w:pPr>
        <w:adjustRightInd w:val="0"/>
        <w:snapToGrid w:val="0"/>
        <w:spacing w:line="62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adjustRightInd w:val="0"/>
        <w:snapToGrid w:val="0"/>
        <w:spacing w:line="620" w:lineRule="exact"/>
        <w:ind w:firstLine="640" w:firstLineChars="200"/>
        <w:rPr>
          <w:rFonts w:ascii="黑体" w:hAnsi="黑体" w:eastAsia="黑体"/>
          <w:sz w:val="32"/>
          <w:szCs w:val="32"/>
        </w:rPr>
      </w:pPr>
      <w:r>
        <w:rPr>
          <w:rFonts w:hint="eastAsia" w:ascii="仿宋_GB2312" w:eastAsia="仿宋_GB2312"/>
          <w:sz w:val="32"/>
          <w:szCs w:val="32"/>
        </w:rPr>
        <w:t xml:space="preserve">组  长：任学建  </w:t>
      </w:r>
      <w:r>
        <w:rPr>
          <w:rFonts w:ascii="仿宋_GB2312" w:eastAsia="仿宋_GB2312"/>
          <w:sz w:val="32"/>
          <w:szCs w:val="32"/>
        </w:rPr>
        <w:t xml:space="preserve"> </w:t>
      </w:r>
      <w:r>
        <w:rPr>
          <w:rFonts w:hint="eastAsia" w:ascii="仿宋_GB2312" w:eastAsia="仿宋_GB2312"/>
          <w:sz w:val="32"/>
          <w:szCs w:val="32"/>
        </w:rPr>
        <w:t>局党组书记、局长</w:t>
      </w:r>
    </w:p>
    <w:p>
      <w:pPr>
        <w:adjustRightInd w:val="0"/>
        <w:spacing w:line="620" w:lineRule="exact"/>
        <w:ind w:firstLine="640" w:firstLineChars="200"/>
        <w:rPr>
          <w:rFonts w:ascii="仿宋" w:hAnsi="仿宋" w:eastAsia="仿宋"/>
          <w:sz w:val="32"/>
          <w:szCs w:val="32"/>
        </w:rPr>
      </w:pPr>
      <w:r>
        <w:rPr>
          <w:rFonts w:hint="eastAsia" w:ascii="仿宋_GB2312" w:eastAsia="仿宋_GB2312"/>
          <w:sz w:val="32"/>
          <w:szCs w:val="32"/>
        </w:rPr>
        <w:t xml:space="preserve">副组长：肖泽华  </w:t>
      </w:r>
      <w:r>
        <w:rPr>
          <w:rFonts w:ascii="仿宋_GB2312" w:eastAsia="仿宋_GB2312"/>
          <w:sz w:val="32"/>
          <w:szCs w:val="32"/>
        </w:rPr>
        <w:t xml:space="preserve"> </w:t>
      </w:r>
      <w:r>
        <w:rPr>
          <w:rFonts w:hint="eastAsia" w:ascii="仿宋" w:hAnsi="仿宋" w:eastAsia="仿宋"/>
          <w:sz w:val="32"/>
          <w:szCs w:val="32"/>
        </w:rPr>
        <w:t>局党组成员、农业综合开发中心主任</w:t>
      </w:r>
    </w:p>
    <w:p>
      <w:pPr>
        <w:adjustRightInd w:val="0"/>
        <w:spacing w:line="620" w:lineRule="exact"/>
        <w:ind w:firstLine="640" w:firstLineChars="200"/>
        <w:rPr>
          <w:rFonts w:ascii="仿宋" w:hAnsi="仿宋" w:eastAsia="仿宋"/>
        </w:rPr>
      </w:pPr>
      <w:r>
        <w:rPr>
          <w:rFonts w:hint="eastAsia" w:ascii="仿宋_GB2312" w:eastAsia="仿宋_GB2312"/>
          <w:sz w:val="32"/>
          <w:szCs w:val="32"/>
        </w:rPr>
        <w:t>组  员：各</w:t>
      </w:r>
      <w:r>
        <w:rPr>
          <w:rFonts w:hint="eastAsia" w:ascii="仿宋" w:hAnsi="仿宋" w:eastAsia="仿宋"/>
          <w:sz w:val="32"/>
          <w:szCs w:val="32"/>
        </w:rPr>
        <w:t>业务股室（站、所）</w:t>
      </w:r>
      <w:r>
        <w:rPr>
          <w:rFonts w:hint="eastAsia" w:ascii="仿宋" w:hAnsi="仿宋" w:eastAsia="仿宋" w:cs="Times New Roman"/>
          <w:kern w:val="0"/>
          <w:sz w:val="32"/>
          <w:szCs w:val="32"/>
          <w:lang w:eastAsia="uk-UA"/>
        </w:rPr>
        <w:t>负责人</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diZjhjOGRlMWU3ZWEzM2QzMDU3N2RjYTBjMTgzN2EifQ=="/>
  </w:docVars>
  <w:rsids>
    <w:rsidRoot w:val="0EBD2122"/>
    <w:rsid w:val="000473F6"/>
    <w:rsid w:val="000578E1"/>
    <w:rsid w:val="00086AD6"/>
    <w:rsid w:val="000B0260"/>
    <w:rsid w:val="000D2359"/>
    <w:rsid w:val="000D34AC"/>
    <w:rsid w:val="000E5B7C"/>
    <w:rsid w:val="00123EF0"/>
    <w:rsid w:val="001621C9"/>
    <w:rsid w:val="001D6132"/>
    <w:rsid w:val="00203F05"/>
    <w:rsid w:val="00252A41"/>
    <w:rsid w:val="0026539E"/>
    <w:rsid w:val="00274EA5"/>
    <w:rsid w:val="002779A0"/>
    <w:rsid w:val="002F5E40"/>
    <w:rsid w:val="003311F5"/>
    <w:rsid w:val="00347EDE"/>
    <w:rsid w:val="00480B44"/>
    <w:rsid w:val="00483E35"/>
    <w:rsid w:val="004C0B7C"/>
    <w:rsid w:val="004E1C0B"/>
    <w:rsid w:val="00510288"/>
    <w:rsid w:val="005327BB"/>
    <w:rsid w:val="00587636"/>
    <w:rsid w:val="005C1885"/>
    <w:rsid w:val="005D4E54"/>
    <w:rsid w:val="00611CFB"/>
    <w:rsid w:val="0066648A"/>
    <w:rsid w:val="00667F69"/>
    <w:rsid w:val="0068411D"/>
    <w:rsid w:val="006B7FA5"/>
    <w:rsid w:val="006E1D2B"/>
    <w:rsid w:val="006E4110"/>
    <w:rsid w:val="00704B52"/>
    <w:rsid w:val="00733C56"/>
    <w:rsid w:val="007351A2"/>
    <w:rsid w:val="00756134"/>
    <w:rsid w:val="007A011E"/>
    <w:rsid w:val="007A7452"/>
    <w:rsid w:val="007C6E7B"/>
    <w:rsid w:val="007E6C1F"/>
    <w:rsid w:val="00803752"/>
    <w:rsid w:val="00822E17"/>
    <w:rsid w:val="008470DD"/>
    <w:rsid w:val="00886217"/>
    <w:rsid w:val="00892407"/>
    <w:rsid w:val="008B3989"/>
    <w:rsid w:val="008C3CAD"/>
    <w:rsid w:val="008D4F82"/>
    <w:rsid w:val="00901AAE"/>
    <w:rsid w:val="009238D6"/>
    <w:rsid w:val="00934A81"/>
    <w:rsid w:val="00946082"/>
    <w:rsid w:val="00956A93"/>
    <w:rsid w:val="009578BD"/>
    <w:rsid w:val="00971B52"/>
    <w:rsid w:val="0097700E"/>
    <w:rsid w:val="009B7F64"/>
    <w:rsid w:val="009E575C"/>
    <w:rsid w:val="009F66C0"/>
    <w:rsid w:val="00A34892"/>
    <w:rsid w:val="00A91B78"/>
    <w:rsid w:val="00AA6CB9"/>
    <w:rsid w:val="00AC64BC"/>
    <w:rsid w:val="00AF167E"/>
    <w:rsid w:val="00AF566A"/>
    <w:rsid w:val="00B4754B"/>
    <w:rsid w:val="00B478EA"/>
    <w:rsid w:val="00B6553A"/>
    <w:rsid w:val="00B735D9"/>
    <w:rsid w:val="00B91072"/>
    <w:rsid w:val="00BC6576"/>
    <w:rsid w:val="00BD7BAD"/>
    <w:rsid w:val="00BE0EDD"/>
    <w:rsid w:val="00CE06BA"/>
    <w:rsid w:val="00CF07D4"/>
    <w:rsid w:val="00D0295B"/>
    <w:rsid w:val="00D17B79"/>
    <w:rsid w:val="00DF216F"/>
    <w:rsid w:val="00E2546C"/>
    <w:rsid w:val="00E63044"/>
    <w:rsid w:val="00E85AAB"/>
    <w:rsid w:val="00E94638"/>
    <w:rsid w:val="00F24CD2"/>
    <w:rsid w:val="00F441CC"/>
    <w:rsid w:val="00F45F0C"/>
    <w:rsid w:val="00F876B6"/>
    <w:rsid w:val="00FE251D"/>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C9C27FE"/>
    <w:rsid w:val="512260B4"/>
    <w:rsid w:val="52BD6ACB"/>
    <w:rsid w:val="55537534"/>
    <w:rsid w:val="561A74F1"/>
    <w:rsid w:val="57C142D1"/>
    <w:rsid w:val="597244E8"/>
    <w:rsid w:val="5EB71C30"/>
    <w:rsid w:val="66AF0CE5"/>
    <w:rsid w:val="6AC537CF"/>
    <w:rsid w:val="6E5B14A6"/>
    <w:rsid w:val="6E8B210F"/>
    <w:rsid w:val="711B255E"/>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7">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8">
    <w:name w:val="单元格样式22"/>
    <w:basedOn w:val="1"/>
    <w:qFormat/>
    <w:uiPriority w:val="0"/>
    <w:pPr>
      <w:widowControl/>
      <w:jc w:val="right"/>
    </w:pPr>
    <w:rPr>
      <w:rFonts w:ascii="方正小标宋_GBK" w:hAnsi="方正小标宋_GBK" w:eastAsia="方正小标宋_GBK" w:cs="方正小标宋_GBK"/>
      <w:kern w:val="0"/>
      <w:sz w:val="24"/>
      <w:szCs w:val="24"/>
      <w:lang w:eastAsia="uk-UA"/>
    </w:rPr>
  </w:style>
  <w:style w:type="paragraph" w:customStyle="1" w:styleId="9">
    <w:name w:val="单元格样式20"/>
    <w:basedOn w:val="1"/>
    <w:qFormat/>
    <w:uiPriority w:val="0"/>
    <w:pPr>
      <w:widowControl/>
      <w:jc w:val="left"/>
    </w:pPr>
    <w:rPr>
      <w:rFonts w:ascii="方正小标宋_GBK" w:hAnsi="方正小标宋_GBK" w:eastAsia="方正小标宋_GBK" w:cs="方正小标宋_GBK"/>
      <w:kern w:val="0"/>
      <w:sz w:val="24"/>
      <w:szCs w:val="24"/>
      <w:lang w:eastAsia="uk-UA"/>
    </w:rPr>
  </w:style>
  <w:style w:type="paragraph" w:customStyle="1" w:styleId="10">
    <w:name w:val="单元格样式1"/>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11">
    <w:name w:val="单元格样式4"/>
    <w:basedOn w:val="1"/>
    <w:qFormat/>
    <w:uiPriority w:val="0"/>
    <w:pPr>
      <w:widowControl/>
      <w:jc w:val="right"/>
    </w:pPr>
    <w:rPr>
      <w:rFonts w:ascii="方正书宋_GBK" w:hAnsi="方正书宋_GBK" w:eastAsia="方正书宋_GBK" w:cs="方正书宋_GBK"/>
      <w:kern w:val="0"/>
      <w:szCs w:val="24"/>
      <w:lang w:eastAsia="uk-UA"/>
    </w:rPr>
  </w:style>
  <w:style w:type="paragraph" w:customStyle="1" w:styleId="12">
    <w:name w:val="单元格样式2"/>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13">
    <w:name w:val="单元格样式3"/>
    <w:basedOn w:val="1"/>
    <w:qFormat/>
    <w:uiPriority w:val="0"/>
    <w:pPr>
      <w:widowControl/>
      <w:jc w:val="center"/>
    </w:pPr>
    <w:rPr>
      <w:rFonts w:ascii="方正书宋_GBK" w:hAnsi="方正书宋_GBK" w:eastAsia="方正书宋_GBK" w:cs="方正书宋_GBK"/>
      <w:kern w:val="0"/>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4749</Words>
  <Characters>4956</Characters>
  <Lines>36</Lines>
  <Paragraphs>10</Paragraphs>
  <TotalTime>158</TotalTime>
  <ScaleCrop>false</ScaleCrop>
  <LinksUpToDate>false</LinksUpToDate>
  <CharactersWithSpaces>4975</CharactersWithSpaces>
  <Application>WPS Office_12.1.0.16894_F1E327BC-269C-435d-A152-05C5408002CA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sky</cp:lastModifiedBy>
  <cp:lastPrinted>2022-01-19T07:24:00Z</cp:lastPrinted>
  <dcterms:modified xsi:type="dcterms:W3CDTF">2024-07-30T02:22:49Z</dcterms:modified>
  <dc:title>附件3：</dc:title>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2052-12.1.0.16894</vt:lpwstr>
  </property>
  <property fmtid="{D5CDD505-2E9C-101B-9397-08002B2CF9AE}" pid="3" name="ICV">
    <vt:lpwstr>82AB59FF647747A7BAEEBE97A8E8ED8E_12</vt:lpwstr>
  </property>
</Properties>
</file>