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Default ContentType="image/jpeg" Extension="jpeg"/>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left"/>
      </w:pPr>
      <w:r>
        <w:rPr>
          <w:rFonts w:ascii="Calibri" w:hAnsi="Calibri" w:eastAsia="宋体" w:cs="宋体"/>
          <w:color w:val="auto"/>
          <w:kern w:val="0"/>
          <w:sz w:val="24"/>
          <w:szCs w:val="24"/>
          <w:lang w:val="en-US" w:eastAsia="zh-CN" w:bidi="ar-SA"/>
        </w:rPr>
        <w:pict>
          <v:shape id="https://photo-static-api.fotomore.com/creative/vcg/400/new/VCG211393708916.jpg" o:spid="_x0000_s1031" type="#_x0000_t75" style="position:absolute;left:0;margin-left:-32pt;margin-top:169.6pt;height:103.2pt;width:170pt;rotation:0f;z-index:251664384;" o:ole="f" fillcolor="#FFFFFF" filled="f" o:preferrelative="t" stroked="f" coordorigin="0,0" coordsize="21600,21600">
            <v:fill on="f" color2="#FFFFFF" focus="0%"/>
            <v:imagedata gain="65536f" blacklevel="0f" gamma="0" o:title="" r:id="rId14"/>
            <o:lock v:ext="edit" position="f" selection="f" grouping="f" rotation="f" cropping="f" text="f" aspectratio="t"/>
          </v:shape>
        </w:pict>
      </w:r>
      <w:r>
        <w:rPr>
          <w:rFonts w:ascii="Calibri" w:hAnsi="Calibri" w:eastAsia="宋体" w:cs="宋体"/>
          <w:color w:val="auto"/>
          <w:kern w:val="0"/>
          <w:sz w:val="24"/>
          <w:szCs w:val="24"/>
          <w:lang w:val="en-US" w:eastAsia="zh-CN" w:bidi="ar-SA"/>
        </w:rPr>
        <w:pict>
          <v:shape id="https://photo-static-api.fotomore.com/creative/vcg/400/version23/VCG41520173064.jpg" o:spid="_x0000_s1032" type="#_x0000_t75" style="position:absolute;left:0;margin-left:141.8pt;margin-top:169.6pt;height:103.2pt;width:170.1pt;rotation:0f;z-index:251665408;" o:ole="f" fillcolor="#FFFFFF" filled="f" o:preferrelative="t" stroked="f" coordorigin="0,0" coordsize="21600,21600">
            <v:fill on="f" color2="#FFFFFF" focus="0%"/>
            <v:imagedata gain="65536f" blacklevel="0f" gamma="0" o:title="" r:id="rId15"/>
            <o:lock v:ext="edit" position="f" selection="f" grouping="f" rotation="f" cropping="f" text="f" aspectratio="t"/>
          </v:shape>
        </w:pict>
      </w:r>
      <w:r>
        <w:rPr>
          <w:rFonts w:ascii="Calibri" w:hAnsi="Calibri" w:eastAsia="宋体" w:cs="宋体"/>
          <w:color w:val="auto"/>
          <w:kern w:val="0"/>
          <w:sz w:val="24"/>
          <w:szCs w:val="24"/>
          <w:lang w:val="en-US" w:eastAsia="zh-CN" w:bidi="ar-SA"/>
        </w:rPr>
        <w:pict>
          <v:shape id="https://photo-static-api.fotomore.com/creative/vcg/400/new/VCG41N1489769134.jpg?uid=386&amp;timestamp=1686554386&amp;sign=5f45ccbb5851510551cea00294a903df" o:spid="_x0000_s1030" type="#_x0000_t75" style="position:absolute;left:0;margin-left:317.15pt;margin-top:168.6pt;height:103.2pt;width:170.3pt;rotation:0f;z-index:251663360;" o:ole="f" fillcolor="#FFFFFF" filled="f" o:preferrelative="t" stroked="f" coordorigin="0,0" coordsize="21600,21600">
            <v:fill on="f" color2="#FFFFFF" focus="0%"/>
            <v:imagedata gain="65536f" blacklevel="0f" gamma="0" o:title="" r:id="rId16"/>
            <o:lock v:ext="edit" position="f" selection="f" grouping="f" rotation="f" cropping="f" text="f" aspectratio="t"/>
          </v:shape>
        </w:pict>
      </w:r>
      <w:r>
        <w:rPr>
          <w:rFonts w:ascii="Calibri" w:hAnsi="Calibri" w:eastAsia="宋体" w:cs="宋体"/>
          <w:color w:val="auto"/>
          <w:kern w:val="0"/>
          <w:sz w:val="24"/>
          <w:szCs w:val="24"/>
          <w:lang w:val="en-US" w:eastAsia="zh-CN" w:bidi="ar-SA"/>
        </w:rPr>
        <w:pict>
          <v:group id="组合 1028" o:spid="_x0000_s1028" style="position:absolute;left:0;margin-left:-219.15pt;margin-top:168.4pt;height:113.95pt;width:712.85pt;rotation:0f;z-index:251661312;" coordorigin="-2602,3681" coordsize="14257,2279">
            <o:lock v:ext="edit" position="f" selection="f" grouping="f" rotation="f" cropping="f" text="f" aspectratio="f"/>
            <v:rect id="矩形 1029" o:spid="_x0000_s1038" style="position:absolute;left:-283;top:3681;height:2061;width:1362;rotation:0f;" o:ole="f" fillcolor="#0176AB" filled="t" o:preferrelative="t" stroked="f" coordsize="21600,21600">
              <v:imagedata gain="65536f" blacklevel="0f" gamma="0"/>
              <o:lock v:ext="edit" position="f" selection="f" grouping="f" rotation="f" cropping="f" text="f" aspectratio="f"/>
            </v:rect>
            <v:shape id="未知" o:spid="_x0000_s1039" type="" style="position:absolute;left:-2602;top:5834;height:126;width:8773;rotation:0f;" o:ole="f" fillcolor="#E5AA57" filled="t" o:preferrelative="t" stroked="f" coordorigin="0,0" coordsize="7501732,94593" path="m0,0l7458720,6350,7501732,94593,0,94593,0,0xe">
              <v:path/>
              <v:imagedata gain="65536f" blacklevel="0f" gamma="0"/>
              <o:lock v:ext="edit" position="f" selection="f" grouping="f" rotation="f" cropping="f" text="f" aspectratio="f"/>
            </v:shape>
            <v:shape id="未知" o:spid="_x0000_s1040" type="" style="position:absolute;left:6186;top:5834;height:126;width:5469;rotation:0f;" o:ole="f" fillcolor="#0176AB" filled="t" o:preferrelative="t" stroked="f" coordorigin="0,0" coordsize="4676187,94594" path="m0,0l4676187,0,4676187,94594,57510,94594,0,0xe">
              <v:path/>
              <v:imagedata gain="65536f" blacklevel="0f" gamma="0"/>
              <o:lock v:ext="edit" position="f" selection="f" grouping="f" rotation="f" cropping="f" text="f" aspectratio="f"/>
            </v:shape>
          </v:group>
        </w:pict>
      </w:r>
      <w:r>
        <w:rPr>
          <w:rFonts w:ascii="Calibri" w:hAnsi="Calibri" w:eastAsia="宋体" w:cs="宋体"/>
          <w:color w:val="auto"/>
          <w:kern w:val="0"/>
          <w:sz w:val="24"/>
          <w:szCs w:val="24"/>
          <w:lang w:val="en-US" w:eastAsia="zh-CN" w:bidi="ar-SA"/>
        </w:rPr>
        <w:pict>
          <v:shape id="背景 耗崽" o:spid="_x0000_s1025" type="#_x0000_t75" style="position:absolute;left:0;margin-left:-232.3pt;margin-top:51.45pt;height:617.7pt;width:872.7pt;mso-position-horizontal-relative:margin;mso-position-vertical-relative:margin;rotation:17694720f;z-index:-251658240;" o:ole="f" fillcolor="#FFFFFF" filled="f" o:preferrelative="t" stroked="f" coordorigin="0,0" coordsize="21600,21600">
            <v:fill on="f" color2="#FFFFFF" focus="0%"/>
            <v:imagedata gain="65536f" blacklevel="0f" gamma="0" o:title="" r:id="rId17"/>
            <o:lock v:ext="edit" position="f" selection="f" grouping="f" rotation="f" cropping="f" text="f" aspectratio="t"/>
          </v:shape>
        </w:pict>
      </w:r>
      <w:r>
        <w:rPr>
          <w:rFonts w:ascii="Calibri" w:hAnsi="Calibri" w:eastAsia="宋体" w:cs="宋体"/>
          <w:color w:val="auto"/>
          <w:kern w:val="0"/>
          <w:sz w:val="24"/>
          <w:szCs w:val="24"/>
          <w:lang w:val="en-US" w:eastAsia="zh-CN" w:bidi="ar-SA"/>
        </w:rPr>
        <w:pict>
          <v:group id="组合 1033" o:spid="_x0000_s1027" style="position:absolute;left:0;margin-left:-22.1pt;margin-top:-24.65pt;height:148.45pt;width:468.85pt;rotation:0f;z-index:251660288;" coordorigin="12098,1831" coordsize="9377,2969">
            <o:lock v:ext="edit" position="f" selection="f" grouping="f" rotation="f" cropping="f" text="f" aspectratio="f"/>
            <v:rect id="矩形 1034" o:spid="_x0000_s1041" style="position:absolute;left:13325;top:1831;height:1348;width:4462;rotation:0f;" o:ole="f" fillcolor="#FFFFFF" filled="f" o:preferrelative="t" stroked="f" coordsize="21600,21600">
              <v:fill on="f" color2="#FFFFFF" focus="0%"/>
              <v:imagedata gain="65536f" blacklevel="0f" gamma="0"/>
              <o:lock v:ext="edit" position="f" selection="f" grouping="f" rotation="f" cropping="f" text="f" aspectratio="f"/>
              <v:textbox>
                <w:txbxContent>
                  <w:p>
                    <w:pPr>
                      <w:jc w:val="distribute"/>
                      <w:rPr>
                        <w:rFonts w:ascii="方正魏碑简体" w:hAnsi="Arial" w:eastAsia="方正魏碑简体" w:cs="Arial"/>
                        <w:color w:val="000000"/>
                        <w:kern w:val="0"/>
                        <w:sz w:val="22"/>
                      </w:rPr>
                    </w:pPr>
                    <w:r>
                      <w:rPr>
                        <w:rFonts w:hint="eastAsia" w:ascii="方正魏碑简体" w:hAnsi="Arial" w:eastAsia="方正魏碑简体" w:cs="Arial"/>
                        <w:color w:val="000000"/>
                        <w:spacing w:val="60"/>
                        <w:kern w:val="24"/>
                        <w:sz w:val="72"/>
                        <w:szCs w:val="72"/>
                      </w:rPr>
                      <w:t>2023年度</w:t>
                    </w:r>
                  </w:p>
                </w:txbxContent>
              </v:textbox>
            </v:rect>
            <v:group id="组合 1035" o:spid="_x0000_s1042" style="position:absolute;left:12098;top:3193;height:1607;width:9377;rotation:0f;" coordorigin="6119,2843" coordsize="9377,1607">
              <o:lock v:ext="edit" position="f" selection="f" grouping="f" rotation="f" cropping="f" text="f" aspectratio="f"/>
              <v:rect id="矩形 1036" o:spid="_x0000_s1043" style="position:absolute;left:6119;top:2843;height:1421;width:9377;rotation:0f;" o:ole="f" fillcolor="#FFFFFF" filled="f" o:preferrelative="t" stroked="f" coordsize="21600,21600">
                <v:fill on="f" color2="#FFFFFF" focus="0%"/>
                <v:imagedata gain="65536f" blacklevel="0f" gamma="0"/>
                <o:lock v:ext="edit" position="f" selection="f" grouping="f" rotation="f" cropping="f" text="f" aspectratio="f"/>
                <v:textbox>
                  <w:txbxContent>
                    <w:p>
                      <w:pPr>
                        <w:jc w:val="left"/>
                        <w:rPr>
                          <w:rFonts w:ascii="黑体" w:hAnsi="黑体" w:eastAsia="黑体" w:cs="黑体"/>
                          <w:color w:val="000000"/>
                          <w:kern w:val="0"/>
                          <w:sz w:val="24"/>
                          <w:szCs w:val="24"/>
                        </w:rPr>
                      </w:pPr>
                      <w:r>
                        <w:rPr>
                          <w:rFonts w:hint="eastAsia" w:ascii="黑体" w:hAnsi="黑体" w:eastAsia="黑体" w:cs="黑体"/>
                          <w:color w:val="000000"/>
                          <w:spacing w:val="60"/>
                          <w:kern w:val="24"/>
                          <w:sz w:val="96"/>
                          <w:szCs w:val="96"/>
                        </w:rPr>
                        <w:t>部门决算公开文本</w:t>
                      </w:r>
                    </w:p>
                  </w:txbxContent>
                </v:textbox>
              </v:rect>
              <v:line id="直线 1037" o:spid="_x0000_s1044" style="position:absolute;left:6226;top:4450;height:0;width:8700;rotation:0f;" o:ole="f" fillcolor="#FFFFFF" filled="f" o:preferrelative="t" stroked="t" coordsize="21600,21600">
                <v:fill on="f" color2="#FFFFFF" focus="0%"/>
                <v:stroke weight="2.25pt" color="#345494" color2="#FFFFFF" opacity="100%" miterlimit="2" dashstyle="1 1"/>
                <v:imagedata gain="65536f" blacklevel="0f" gamma="0"/>
                <o:lock v:ext="edit" position="f" selection="f" grouping="f" rotation="f" cropping="f" text="f" aspectratio="f"/>
              </v:line>
            </v:group>
          </v:group>
        </w:pict>
      </w:r>
      <w:r>
        <w:rPr>
          <w:rFonts w:ascii="Calibri" w:hAnsi="Calibri" w:eastAsia="宋体" w:cs="宋体"/>
          <w:color w:val="auto"/>
          <w:kern w:val="0"/>
          <w:sz w:val="24"/>
          <w:szCs w:val="24"/>
          <w:lang w:val="en-US" w:eastAsia="zh-CN" w:bidi="ar-SA"/>
        </w:rPr>
        <w:pict>
          <v:shape id="图片 3" o:spid="_x0000_s1029" type="#_x0000_t75" style="position:absolute;left:0;margin-left:-7.5pt;margin-top:-2.15pt;height:39.85pt;width:39.85pt;mso-position-vertical-relative:margin;rotation:0f;z-index:251662336;" o:ole="f" fillcolor="#FFFFFF" filled="f" o:preferrelative="t" stroked="f" coordorigin="0,0" coordsize="21600,21600">
            <v:fill on="f" color2="#FFFFFF" focus="0%"/>
            <v:imagedata gain="65536f" blacklevel="0f" gamma="0" o:title="" r:id="rId18"/>
            <o:lock v:ext="edit" position="f" selection="f" grouping="f" rotation="f" cropping="f" text="f" aspectratio="t"/>
          </v:shape>
        </w:pict>
      </w:r>
      <w:r>
        <w:rPr>
          <w:rFonts w:ascii="Calibri" w:hAnsi="Calibri" w:eastAsia="宋体" w:cs="宋体"/>
          <w:color w:val="auto"/>
          <w:kern w:val="0"/>
          <w:sz w:val="24"/>
          <w:szCs w:val="24"/>
          <w:lang w:val="en-US" w:eastAsia="zh-CN" w:bidi="ar-SA"/>
        </w:rPr>
        <w:pict>
          <v:rect id="文本框 33" o:spid="_x0000_s1026" style="position:absolute;left:0;margin-left:-19.95pt;margin-top:126.9pt;height:44.9pt;width:432.6pt;rotation:0f;z-index:251659264;" o:ole="f" fillcolor="#FFFFFF" filled="f" o:preferrelative="t" stroked="f" coordsize="21600,21600">
            <v:fill on="f" color2="#FFFFFF" focus="0%"/>
            <v:imagedata gain="65536f" blacklevel="0f" gamma="0"/>
            <o:lock v:ext="edit" position="f" selection="f" grouping="f" rotation="f" cropping="f" text="f" aspectratio="f"/>
            <v:textbox>
              <w:txbxContent>
                <w:p>
                  <w:pPr>
                    <w:jc w:val="distribute"/>
                    <w:rPr>
                      <w:rFonts w:ascii="思源黑体 CN Heavy" w:hAnsi="思源黑体 CN Heavy" w:eastAsia="思源黑体 CN Heavy"/>
                      <w:color w:val="A5A5A5"/>
                      <w:kern w:val="0"/>
                      <w:sz w:val="40"/>
                      <w:szCs w:val="40"/>
                    </w:rPr>
                  </w:pPr>
                </w:p>
              </w:txbxContent>
            </v:textbox>
          </v:rect>
        </w:pic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317003</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：正定县社会保险中心</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r>
        <w:rPr>
          <w:rFonts w:hint="eastAsia" w:ascii="黑体" w:hAnsi="黑体" w:eastAsia="黑体" w:cs="黑体"/>
          <w:b/>
          <w:bCs/>
          <w:sz w:val="72"/>
          <w:szCs w:val="96"/>
        </w:rPr>
        <w:t>2023年度部门决算公开文本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kern w:val="0"/>
          <w:sz w:val="44"/>
          <w:szCs w:val="44"/>
          <w:lang w:eastAsia="zh-CN"/>
        </w:rPr>
      </w:pPr>
      <w:r>
        <w:rPr>
          <w:rFonts w:hint="eastAsia" w:ascii="楷体_GB2312" w:hAnsi="楷体_GB2312" w:eastAsia="楷体_GB2312" w:cs="楷体_GB2312"/>
          <w:color w:val="000000"/>
          <w:kern w:val="0"/>
          <w:sz w:val="44"/>
          <w:szCs w:val="44"/>
          <w:lang w:eastAsia="zh-CN"/>
        </w:rPr>
        <w:t>正定县社会保险中心</w:t>
      </w:r>
    </w:p>
    <w:p>
      <w:pPr>
        <w:snapToGrid w:val="0"/>
        <w:jc w:val="center"/>
        <w:sectPr>
          <w:headerReference r:id="rId5" w:type="first"/>
          <w:footerReference r:id="rId7" w:type="first"/>
          <w:headerReference r:id="rId4" w:type="default"/>
          <w:footerReference r:id="rId6" w:type="default"/>
          <w:pgSz w:w="11906" w:h="16838"/>
          <w:pgMar w:top="2041" w:right="1531" w:bottom="2041" w:left="1531" w:header="851" w:footer="992" w:gutter="0"/>
          <w:cols w:space="720" w:num="1"/>
          <w:titlePg/>
          <w:docGrid w:type="lines" w:linePitch="312"/>
        </w:sectPr>
      </w:pPr>
      <w:r>
        <w:rPr>
          <w:rFonts w:hint="eastAsia" w:ascii="楷体_GB2312" w:hAnsi="楷体_GB2312" w:eastAsia="楷体_GB2312" w:cs="楷体_GB2312"/>
          <w:color w:val="000000"/>
          <w:kern w:val="0"/>
          <w:sz w:val="44"/>
          <w:szCs w:val="44"/>
        </w:rPr>
        <w:t>二〇二四年八月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sectPr>
          <w:headerReference r:id="rId9" w:type="first"/>
          <w:footerReference r:id="rId11" w:type="first"/>
          <w:headerReference r:id="rId8" w:type="default"/>
          <w:footerReference r:id="rId10" w:type="default"/>
          <w:pgSz w:w="11906" w:h="16838"/>
          <w:pgMar w:top="1474" w:right="1531" w:bottom="1474" w:left="1531" w:header="851" w:footer="992" w:gutter="0"/>
          <w:cols w:space="720" w:num="1"/>
          <w:titlePg/>
          <w:docGrid w:type="lines" w:linePitch="312"/>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color="090000" w:fill="FFFFFF"/>
        </w:rPr>
        <w:t xml:space="preserve">第一部分  </w:t>
      </w:r>
      <w:r>
        <w:rPr>
          <w:rFonts w:hint="eastAsia" w:ascii="黑体" w:hAnsi="宋体" w:eastAsia="黑体" w:cs="黑体"/>
          <w:i w:val="0"/>
          <w:iCs w:val="0"/>
          <w:caps w:val="0"/>
          <w:color w:val="000000"/>
          <w:spacing w:val="0"/>
          <w:sz w:val="72"/>
          <w:szCs w:val="72"/>
          <w:highlight w:val="none"/>
          <w:shd w:val="clear" w:color="090000" w:fill="FFFFFF"/>
          <w:lang w:eastAsia="zh-CN"/>
        </w:rPr>
        <w:t>单位</w:t>
      </w:r>
      <w:r>
        <w:rPr>
          <w:rFonts w:hint="eastAsia" w:ascii="黑体" w:hAnsi="宋体" w:eastAsia="黑体" w:cs="黑体"/>
          <w:i w:val="0"/>
          <w:iCs w:val="0"/>
          <w:caps w:val="0"/>
          <w:color w:val="000000"/>
          <w:spacing w:val="0"/>
          <w:sz w:val="72"/>
          <w:szCs w:val="72"/>
          <w:highlight w:val="none"/>
          <w:shd w:val="clear" w:color="090000" w:fill="FFFFFF"/>
        </w:rPr>
        <w:t>概况</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rPr>
          <w:rFonts w:hint="eastAsia" w:ascii="黑体" w:hAnsi="宋体" w:eastAsia="黑体" w:cs="黑体"/>
          <w:i w:val="0"/>
          <w:iCs w:val="0"/>
          <w:caps w:val="0"/>
          <w:color w:val="000000"/>
          <w:spacing w:val="0"/>
          <w:sz w:val="33"/>
          <w:szCs w:val="33"/>
          <w:highlight w:val="none"/>
          <w:shd w:val="clear" w:color="090000" w:fill="FFFFFF"/>
        </w:rPr>
      </w:pPr>
      <w:r>
        <w:rPr>
          <w:rFonts w:hint="eastAsia" w:ascii="黑体" w:hAnsi="宋体" w:eastAsia="黑体" w:cs="黑体"/>
          <w:i w:val="0"/>
          <w:iCs w:val="0"/>
          <w:caps w:val="0"/>
          <w:color w:val="000000"/>
          <w:spacing w:val="0"/>
          <w:sz w:val="33"/>
          <w:szCs w:val="33"/>
          <w:highlight w:val="none"/>
          <w:shd w:val="clear" w:color="090000" w:fill="FFFFFF"/>
        </w:rPr>
        <w:br w:type="page"/>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color="090000" w:fill="FFFFFF"/>
        </w:rPr>
        <w:t>一、</w:t>
      </w:r>
      <w:r>
        <w:rPr>
          <w:rFonts w:hint="eastAsia" w:ascii="黑体" w:hAnsi="宋体" w:eastAsia="黑体" w:cs="黑体"/>
          <w:i w:val="0"/>
          <w:iCs w:val="0"/>
          <w:caps w:val="0"/>
          <w:color w:val="000000"/>
          <w:spacing w:val="0"/>
          <w:sz w:val="32"/>
          <w:szCs w:val="32"/>
          <w:highlight w:val="none"/>
          <w:shd w:val="clear" w:color="090000" w:fill="FFFFFF"/>
          <w:lang w:eastAsia="zh-CN"/>
        </w:rPr>
        <w:t>单位</w:t>
      </w:r>
      <w:r>
        <w:rPr>
          <w:rFonts w:hint="eastAsia" w:ascii="黑体" w:hAnsi="宋体" w:eastAsia="黑体" w:cs="黑体"/>
          <w:i w:val="0"/>
          <w:iCs w:val="0"/>
          <w:caps w:val="0"/>
          <w:color w:val="000000"/>
          <w:spacing w:val="0"/>
          <w:sz w:val="32"/>
          <w:szCs w:val="32"/>
          <w:highlight w:val="none"/>
          <w:shd w:val="clear" w:color="090000" w:fill="FFFFFF"/>
        </w:rPr>
        <w:t>职责</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hint="eastAsia" w:ascii="仿宋" w:hAnsi="仿宋" w:eastAsia="仿宋" w:cs="仿宋"/>
          <w:b w:val="0"/>
          <w:bCs w:val="0"/>
          <w:color w:val="000000"/>
          <w:kern w:val="0"/>
          <w:sz w:val="32"/>
          <w:szCs w:val="32"/>
        </w:rPr>
      </w:pPr>
      <w:r>
        <w:rPr>
          <w:rFonts w:hint="default" w:ascii="Arial" w:hAnsi="Arial" w:eastAsia="Arial" w:cs="Arial"/>
          <w:i w:val="0"/>
          <w:iCs w:val="0"/>
          <w:caps w:val="0"/>
          <w:color w:val="000000"/>
          <w:spacing w:val="0"/>
          <w:sz w:val="18"/>
          <w:szCs w:val="18"/>
          <w:highlight w:val="none"/>
          <w:shd w:val="clear" w:color="090000" w:fill="FFFFFF"/>
        </w:rPr>
        <w:t> </w:t>
      </w:r>
      <w:r>
        <w:rPr>
          <w:rFonts w:hint="eastAsia" w:ascii="Arial" w:hAnsi="Arial" w:eastAsia="宋体" w:cs="Arial"/>
          <w:i w:val="0"/>
          <w:iCs w:val="0"/>
          <w:caps w:val="0"/>
          <w:color w:val="000000"/>
          <w:spacing w:val="0"/>
          <w:sz w:val="18"/>
          <w:szCs w:val="18"/>
          <w:highlight w:val="none"/>
          <w:shd w:val="clear" w:color="090000" w:fill="FFFFFF"/>
          <w:lang w:val="en-US" w:eastAsia="zh-CN"/>
        </w:rPr>
        <w:t xml:space="preserve">      </w:t>
      </w:r>
      <w:r>
        <w:rPr>
          <w:rFonts w:hint="eastAsia" w:ascii="仿宋" w:hAnsi="仿宋" w:eastAsia="仿宋" w:cs="仿宋"/>
          <w:b w:val="0"/>
          <w:bCs w:val="0"/>
          <w:color w:val="000000"/>
          <w:kern w:val="0"/>
          <w:sz w:val="32"/>
          <w:szCs w:val="32"/>
        </w:rPr>
        <w:t>根据中华人民共和国《社会保险法》及国家和省、市有关文件精神，正定县社会保险中心承担以下工作职责：</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1、贯彻落实上级有关养老、工伤保险方面的政策法规。</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2、负责全县参保单位、个体工商户及灵活就业人员养老保险的参保登记、缴费申报、缴费基数的核定、关系转移接续和养老金的发放工作。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3、负责全县城乡居民养老保险的参保登记、基金征缴、个人账户、关系转移接续和养老金发放工作。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4、负责全县参保单位工伤保险的参保登记、缴费申报、缴费基数核定、基金征缴及工伤（亡）职工工伤待遇的审核报批及发放工作。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5、负责全县养老、工伤保险基金的收支及核算工作。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6、负责全县机关事业单位职业年金的征缴、发放工作。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7、负责参加养老保险人员领取待遇资格审核、待遇计算及按时足额发放工作。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8、负责对参保单位养老、工伤保险参保人数、缴费基数及待遇领取情况的稽核稽查。</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9、负责全县企业离退休人员社会化服务。</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10、负责组织全县养老、工伤保险待遇领取人员资格认证工作。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11、负责养老、工伤保险业务档案整理保管工作。</w:t>
      </w:r>
    </w:p>
    <w:p>
      <w:pPr>
        <w:snapToGrid w:val="0"/>
        <w:spacing w:line="520" w:lineRule="exact"/>
        <w:ind w:firstLine="640" w:firstLineChars="200"/>
        <w:rPr>
          <w:rFonts w:hint="eastAsia" w:ascii="仿宋" w:hAnsi="仿宋" w:eastAsia="仿宋" w:cs="仿宋"/>
          <w:b w:val="0"/>
          <w:bCs w:val="0"/>
          <w:color w:val="000000"/>
          <w:kern w:val="0"/>
          <w:sz w:val="32"/>
          <w:szCs w:val="32"/>
        </w:rPr>
      </w:pPr>
      <w:r>
        <w:rPr>
          <w:rFonts w:hint="eastAsia" w:ascii="仿宋" w:hAnsi="仿宋" w:eastAsia="仿宋" w:cs="仿宋"/>
          <w:b w:val="0"/>
          <w:bCs w:val="0"/>
          <w:color w:val="000000"/>
          <w:kern w:val="0"/>
          <w:sz w:val="32"/>
          <w:szCs w:val="32"/>
        </w:rPr>
        <w:t>12、负责全县养老、工伤保险统计和数据应用工作。</w:t>
      </w:r>
    </w:p>
    <w:p>
      <w:pPr>
        <w:snapToGrid w:val="0"/>
        <w:spacing w:line="520" w:lineRule="exact"/>
        <w:ind w:firstLine="640" w:firstLineChars="200"/>
        <w:rPr>
          <w:rFonts w:hint="eastAsia" w:ascii="仿宋" w:hAnsi="仿宋" w:eastAsia="仿宋" w:cs="仿宋"/>
          <w:b w:val="0"/>
          <w:bCs w:val="0"/>
          <w:color w:val="000000"/>
          <w:kern w:val="0"/>
          <w:sz w:val="32"/>
          <w:szCs w:val="32"/>
          <w:lang w:val="en-US" w:eastAsia="zh-CN"/>
        </w:rPr>
      </w:pPr>
      <w:r>
        <w:rPr>
          <w:rFonts w:hint="eastAsia" w:ascii="仿宋" w:hAnsi="仿宋" w:eastAsia="仿宋" w:cs="仿宋"/>
          <w:b w:val="0"/>
          <w:bCs w:val="0"/>
          <w:color w:val="000000"/>
          <w:kern w:val="0"/>
          <w:sz w:val="32"/>
          <w:szCs w:val="32"/>
        </w:rPr>
        <w:t>13、</w:t>
      </w:r>
      <w:r>
        <w:rPr>
          <w:rFonts w:hint="eastAsia" w:ascii="仿宋" w:hAnsi="仿宋" w:eastAsia="仿宋" w:cs="仿宋"/>
          <w:b w:val="0"/>
          <w:bCs w:val="0"/>
          <w:color w:val="000000"/>
          <w:kern w:val="0"/>
          <w:sz w:val="32"/>
          <w:szCs w:val="32"/>
          <w:lang w:eastAsia="zh-CN"/>
        </w:rPr>
        <w:t>负责失业保险相关工作</w:t>
      </w:r>
    </w:p>
    <w:p>
      <w:pPr>
        <w:snapToGrid w:val="0"/>
        <w:spacing w:line="520" w:lineRule="exact"/>
        <w:ind w:firstLine="640" w:firstLineChars="200"/>
        <w:rPr>
          <w:rFonts w:hint="eastAsia" w:ascii="黑体" w:hAnsi="Cambria" w:eastAsia="黑体" w:cs="黑体"/>
          <w:b w:val="0"/>
          <w:bCs w:val="0"/>
          <w:color w:val="000000"/>
          <w:kern w:val="0"/>
          <w:sz w:val="32"/>
          <w:szCs w:val="32"/>
        </w:rPr>
      </w:pPr>
      <w:r>
        <w:rPr>
          <w:rFonts w:hint="eastAsia" w:ascii="仿宋" w:hAnsi="仿宋" w:eastAsia="仿宋" w:cs="仿宋"/>
          <w:b w:val="0"/>
          <w:bCs w:val="0"/>
          <w:color w:val="000000"/>
          <w:kern w:val="0"/>
          <w:sz w:val="32"/>
          <w:szCs w:val="32"/>
        </w:rPr>
        <w:t>1</w:t>
      </w:r>
      <w:r>
        <w:rPr>
          <w:rFonts w:hint="eastAsia" w:ascii="仿宋" w:hAnsi="仿宋" w:eastAsia="仿宋" w:cs="仿宋"/>
          <w:b w:val="0"/>
          <w:bCs w:val="0"/>
          <w:color w:val="000000"/>
          <w:kern w:val="0"/>
          <w:sz w:val="32"/>
          <w:szCs w:val="32"/>
          <w:lang w:val="en-US" w:eastAsia="zh-CN"/>
        </w:rPr>
        <w:t>4</w:t>
      </w:r>
      <w:r>
        <w:rPr>
          <w:rFonts w:hint="eastAsia" w:ascii="仿宋" w:hAnsi="仿宋" w:eastAsia="仿宋" w:cs="仿宋"/>
          <w:b w:val="0"/>
          <w:bCs w:val="0"/>
          <w:color w:val="000000"/>
          <w:kern w:val="0"/>
          <w:sz w:val="32"/>
          <w:szCs w:val="32"/>
        </w:rPr>
        <w:t>、承办上级交办的其他事项。</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color="090000" w:fill="FFFFFF"/>
        </w:rPr>
        <w:t>二、机构设置</w:t>
      </w: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color="090000" w:fill="FFFFFF"/>
        </w:rPr>
      </w:pPr>
      <w:r>
        <w:rPr>
          <w:rFonts w:hint="default" w:ascii="仿宋_GB2312" w:hAnsi="仿宋_GB2312" w:eastAsia="仿宋_GB2312" w:cs="仿宋_GB2312"/>
          <w:i w:val="0"/>
          <w:iCs w:val="0"/>
          <w:caps w:val="0"/>
          <w:color w:val="auto"/>
          <w:spacing w:val="0"/>
          <w:sz w:val="32"/>
          <w:szCs w:val="32"/>
          <w:highlight w:val="none"/>
          <w:shd w:val="clear" w:color="090000" w:fill="FFFFFF"/>
        </w:rPr>
        <w:t>从决算编报</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color="090000" w:fill="FFFFFF"/>
        </w:rPr>
        <w:t>构成看，纳入</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color="090000" w:fill="FFFFFF"/>
        </w:rPr>
        <w:t>年度</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color="090000"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color="090000" w:fill="FFFFFF"/>
        </w:rPr>
        <w:t>（以下简称“</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color="090000" w:fill="FFFFFF"/>
        </w:rPr>
        <w:t>”）共</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color="090000" w:fill="FFFFFF"/>
        </w:rPr>
        <w:t>个，具体情况如下：</w:t>
      </w:r>
    </w:p>
    <w:tbl>
      <w:tblPr>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rPr>
            </w:pPr>
            <w:r>
              <w:rPr>
                <w:rFonts w:hint="eastAsia" w:ascii="仿宋_GB2312" w:hAnsi="Cambria" w:eastAsia="仿宋_GB2312" w:cs="ArialUnicodeMS"/>
                <w:color w:val="000000"/>
                <w:kern w:val="0"/>
                <w:sz w:val="28"/>
                <w:szCs w:val="28"/>
                <w:lang w:val="en-US" w:eastAsia="zh-CN"/>
              </w:rPr>
              <w:t>正定县社会保险中心</w:t>
            </w:r>
          </w:p>
        </w:tc>
        <w:tc>
          <w:tcPr>
            <w:tcW w:w="2445" w:type="dxa"/>
            <w:vAlign w:val="top"/>
          </w:tcPr>
          <w:p>
            <w:pPr>
              <w:spacing w:before="0" w:beforeAutospacing="0" w:after="0" w:afterAutospacing="0" w:line="560" w:lineRule="exact"/>
              <w:ind w:left="0" w:leftChars="0" w:right="0"/>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vAlign w:val="top"/>
          </w:tcPr>
          <w:p>
            <w:pPr>
              <w:spacing w:before="0" w:beforeAutospacing="0" w:after="0" w:afterAutospacing="0" w:line="560" w:lineRule="exact"/>
              <w:ind w:left="0" w:leftChars="0" w:right="0"/>
              <w:jc w:val="center"/>
              <w:rPr>
                <w:rFonts w:ascii="仿宋_GB2312" w:hAnsi="Calibri" w:eastAsia="仿宋_GB2312" w:cs="ArialUnicodeMS"/>
                <w:kern w:val="0"/>
                <w:sz w:val="28"/>
                <w:szCs w:val="28"/>
              </w:rPr>
            </w:pPr>
            <w:r>
              <w:rPr>
                <w:rFonts w:hint="eastAsia" w:ascii="仿宋_GB2312" w:hAnsi="Cambria" w:eastAsia="仿宋_GB2312" w:cs="ArialUnicodeMS"/>
                <w:color w:val="000000"/>
                <w:kern w:val="0"/>
                <w:sz w:val="28"/>
                <w:szCs w:val="28"/>
                <w:lang w:eastAsia="zh-CN"/>
              </w:rPr>
              <w:t>财政性资金基本保证</w:t>
            </w:r>
          </w:p>
        </w:tc>
      </w:tr>
      <w:tr>
        <w:trPr>
          <w:trHeight w:val="606" w:hRule="atLeast"/>
          <w:jc w:val="center"/>
        </w:trPr>
        <w:tc>
          <w:tcPr>
            <w:tcW w:w="9580" w:type="dxa"/>
            <w:gridSpan w:val="4"/>
            <w:tcBorders>
              <w:top w:val="single" w:color="auto" w:sz="4" w:space="0"/>
              <w:left w:val="nil"/>
              <w:bottom w:val="nil"/>
              <w:right w:val="nil"/>
            </w:tcBorders>
            <w:vAlign w:val="top"/>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6"/>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color="0A0000" w:fill="FFFFFF"/>
          <w:lang w:val="en-US" w:eastAsia="zh-CN"/>
        </w:rPr>
      </w:pPr>
    </w:p>
    <w:p>
      <w:pPr>
        <w:widowControl/>
        <w:pBdr>
          <w:top w:val="none" w:color="auto" w:sz="0" w:space="0"/>
          <w:left w:val="none" w:color="auto" w:sz="0" w:space="0"/>
          <w:bottom w:val="none" w:color="auto" w:sz="0" w:space="0"/>
          <w:right w:val="none" w:color="auto" w:sz="0" w:space="0"/>
        </w:pBdr>
        <w:shd w:val="clear" w:color="050000"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color="0A0000" w:fill="FFFFFF"/>
          <w:lang w:val="en-US" w:eastAsia="zh-CN"/>
        </w:rPr>
        <w:t> </w:t>
      </w: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color="090000" w:fill="FFFFFF"/>
        </w:rPr>
        <w:t>第二部分</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color="090000" w:fill="FFFFFF"/>
          <w:lang w:val="en-US" w:eastAsia="zh-CN"/>
        </w:rPr>
        <w:t>2023</w:t>
      </w:r>
      <w:r>
        <w:rPr>
          <w:rFonts w:hint="eastAsia" w:ascii="黑体" w:hAnsi="宋体" w:eastAsia="黑体" w:cs="黑体"/>
          <w:i w:val="0"/>
          <w:iCs w:val="0"/>
          <w:caps w:val="0"/>
          <w:color w:val="000000"/>
          <w:spacing w:val="0"/>
          <w:sz w:val="72"/>
          <w:szCs w:val="72"/>
          <w:highlight w:val="none"/>
          <w:shd w:val="clear" w:color="090000" w:fill="FFFFFF"/>
        </w:rPr>
        <w:t>年</w:t>
      </w:r>
      <w:r>
        <w:rPr>
          <w:rFonts w:hint="eastAsia" w:ascii="黑体" w:hAnsi="宋体" w:eastAsia="黑体" w:cs="黑体"/>
          <w:i w:val="0"/>
          <w:iCs w:val="0"/>
          <w:caps w:val="0"/>
          <w:color w:val="000000"/>
          <w:spacing w:val="0"/>
          <w:sz w:val="72"/>
          <w:szCs w:val="72"/>
          <w:highlight w:val="none"/>
          <w:shd w:val="clear" w:color="090000" w:fill="FFFFFF"/>
          <w:lang w:val="en-US" w:eastAsia="zh-CN"/>
        </w:rPr>
        <w:t>度</w:t>
      </w:r>
      <w:r>
        <w:rPr>
          <w:rFonts w:hint="eastAsia" w:ascii="黑体" w:hAnsi="宋体" w:eastAsia="黑体" w:cs="黑体"/>
          <w:i w:val="0"/>
          <w:iCs w:val="0"/>
          <w:caps w:val="0"/>
          <w:color w:val="000000"/>
          <w:spacing w:val="0"/>
          <w:sz w:val="72"/>
          <w:szCs w:val="72"/>
          <w:highlight w:val="none"/>
          <w:shd w:val="clear" w:color="090000" w:fill="FFFFFF"/>
        </w:rPr>
        <w:t>部门决算报表</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sectPr>
          <w:headerReference r:id="rId12" w:type="default"/>
          <w:pgSz w:w="11906" w:h="16838"/>
          <w:pgMar w:top="1531" w:right="1984" w:bottom="1531" w:left="2098" w:header="851" w:footer="992" w:gutter="0"/>
          <w:cols w:space="720" w:num="1"/>
          <w:docGrid w:type="lines" w:linePitch="312"/>
        </w:sectPr>
      </w:pPr>
    </w:p>
    <w:tbl>
      <w:tblPr>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rPr>
          <w:gridAfter w:val="1"/>
          <w:wAfter w:w="34" w:type="dxa"/>
          <w:trHeight w:val="361" w:hRule="atLeast"/>
        </w:trPr>
        <w:tc>
          <w:tcPr>
            <w:tcW w:w="11625" w:type="dxa"/>
            <w:gridSpan w:val="8"/>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rPr>
          <w:gridAfter w:val="1"/>
          <w:wAfter w:w="34" w:type="dxa"/>
          <w:trHeight w:val="357" w:hRule="atLeast"/>
        </w:trPr>
        <w:tc>
          <w:tcPr>
            <w:tcW w:w="11625" w:type="dxa"/>
            <w:gridSpan w:val="8"/>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trPr>
          <w:gridAfter w:val="1"/>
          <w:wAfter w:w="34"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编制部门（单位）：正定县社会保险中心</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4099"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收入</w:t>
            </w:r>
          </w:p>
        </w:tc>
        <w:tc>
          <w:tcPr>
            <w:tcW w:w="5727"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支出</w:t>
            </w:r>
          </w:p>
        </w:tc>
      </w:tr>
      <w:tr>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928"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c>
          <w:tcPr>
            <w:tcW w:w="317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928"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19,699.67</w:t>
            </w: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63.84</w:t>
            </w: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四、上级补助收入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五、事业收入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六、经营收入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七、附属单位上缴收入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八、其他收入</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19,599.67</w:t>
            </w: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48.84</w:t>
            </w: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624" w:type="dxa"/>
            <w:tcBorders>
              <w:top w:val="nil"/>
              <w:left w:val="nil"/>
              <w:bottom w:val="single" w:color="auto"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58.38</w:t>
            </w:r>
          </w:p>
        </w:tc>
      </w:tr>
      <w:tr>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63.84</w:t>
            </w: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19,763.51</w:t>
            </w:r>
          </w:p>
        </w:tc>
        <w:tc>
          <w:tcPr>
            <w:tcW w:w="317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19,770.73</w:t>
            </w: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使用非财政拨款结余（含专用结余）</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结余分配</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46.43</w:t>
            </w:r>
          </w:p>
        </w:tc>
        <w:tc>
          <w:tcPr>
            <w:tcW w:w="3175"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39.21</w:t>
            </w:r>
          </w:p>
        </w:tc>
      </w:tr>
      <w:tr>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19,809.94</w:t>
            </w:r>
          </w:p>
        </w:tc>
        <w:tc>
          <w:tcPr>
            <w:tcW w:w="317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19,809.94</w:t>
            </w:r>
          </w:p>
        </w:tc>
      </w:tr>
      <w:tr>
        <w:trPr>
          <w:trHeight w:val="308" w:hRule="atLeast"/>
        </w:trPr>
        <w:tc>
          <w:tcPr>
            <w:tcW w:w="11659" w:type="dxa"/>
            <w:gridSpan w:val="9"/>
            <w:tcBorders>
              <w:top w:val="nil"/>
              <w:left w:val="nil"/>
              <w:bottom w:val="nil"/>
              <w:right w:val="nil"/>
            </w:tcBorders>
            <w:vAlign w:val="center"/>
          </w:tcPr>
          <w:p>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注：1.本表反映部门本年度的总收支和年末结转结余情况。2.本套报表金额转换时可能存在尾数误差。</w:t>
            </w:r>
          </w:p>
        </w:tc>
      </w:tr>
    </w:tbl>
    <w:p>
      <w:pPr>
        <w:widowControl w:val="0"/>
        <w:wordWrap/>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widowControl/>
        <w:jc w:val="center"/>
        <w:textAlignment w:val="bottom"/>
        <w:rPr>
          <w:rFonts w:hint="eastAsia" w:ascii="黑体" w:hAnsi="黑体" w:eastAsia="黑体" w:cs="宋体"/>
          <w:bCs/>
          <w:kern w:val="0"/>
          <w:sz w:val="32"/>
          <w:szCs w:val="32"/>
          <w:highlight w:val="none"/>
        </w:rPr>
      </w:pPr>
    </w:p>
    <w:tbl>
      <w:tblPr>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rPr>
          <w:trHeight w:val="550" w:hRule="atLeast"/>
          <w:jc w:val="center"/>
        </w:trPr>
        <w:tc>
          <w:tcPr>
            <w:tcW w:w="9230" w:type="dxa"/>
            <w:gridSpan w:val="10"/>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rPr>
          <w:trHeight w:val="300" w:hRule="atLeast"/>
          <w:jc w:val="center"/>
        </w:trPr>
        <w:tc>
          <w:tcPr>
            <w:tcW w:w="9230" w:type="dxa"/>
            <w:gridSpan w:val="10"/>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编制部门（单位）：正定县社会保险中心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其他收入</w:t>
            </w:r>
          </w:p>
        </w:tc>
      </w:tr>
      <w:tr>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7</w:t>
            </w:r>
          </w:p>
        </w:tc>
      </w:tr>
      <w:tr>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19,763.51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19,763.51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19,592.45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19,592.45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社会保险经办机构</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其他人力资源和社会保障管理事务支出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18,925.57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18,925.57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18,845.76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18,845.76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11.80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11.80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20830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财政代缴社会保险费支出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2083001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财政代缴城乡居民基本养老保险费支出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国有资本经营预算支出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解决历史遗留问题及改革成本支出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2230105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国有企业退休人员社会化管理补助支出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rPr>
          <w:trHeight w:val="308" w:hRule="atLeast"/>
          <w:jc w:val="center"/>
        </w:trPr>
        <w:tc>
          <w:tcPr>
            <w:tcW w:w="9230" w:type="dxa"/>
            <w:gridSpan w:val="10"/>
            <w:tcBorders>
              <w:top w:val="nil"/>
              <w:left w:val="nil"/>
              <w:bottom w:val="nil"/>
              <w:right w:val="nil"/>
            </w:tcBorders>
            <w:vAlign w:val="center"/>
          </w:tcPr>
          <w:p>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widowControl/>
        <w:jc w:val="center"/>
        <w:textAlignment w:val="bottom"/>
        <w:rPr>
          <w:rFonts w:hint="eastAsia" w:ascii="宋体" w:hAnsi="宋体" w:eastAsia="宋体" w:cs="宋体"/>
          <w:spacing w:val="-2"/>
          <w:sz w:val="20"/>
          <w:highlight w:val="none"/>
          <w:lang w:val="en-US" w:eastAsia="zh-CN"/>
        </w:rPr>
      </w:pPr>
    </w:p>
    <w:tbl>
      <w:tblPr>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rPr>
          <w:trHeight w:val="550" w:hRule="atLeast"/>
          <w:jc w:val="center"/>
        </w:trPr>
        <w:tc>
          <w:tcPr>
            <w:tcW w:w="9346" w:type="dxa"/>
            <w:gridSpan w:val="10"/>
            <w:tcBorders>
              <w:top w:val="nil"/>
              <w:left w:val="nil"/>
              <w:bottom w:val="nil"/>
              <w:right w:val="nil"/>
            </w:tcBorders>
            <w:vAlign w:val="bottom"/>
          </w:tcPr>
          <w:p>
            <w:pPr>
              <w:widowControl w:val="0"/>
              <w:wordWrap/>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rPr>
          <w:trHeight w:val="300" w:hRule="atLeast"/>
          <w:jc w:val="center"/>
        </w:trPr>
        <w:tc>
          <w:tcPr>
            <w:tcW w:w="9346" w:type="dxa"/>
            <w:gridSpan w:val="10"/>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宋体" w:cs="Times New Roman"/>
                <w:i w:val="0"/>
                <w:iCs w:val="0"/>
                <w:color w:val="000000"/>
                <w:kern w:val="0"/>
                <w:sz w:val="20"/>
                <w:szCs w:val="20"/>
                <w:highlight w:val="none"/>
                <w:u w:val="none"/>
                <w:lang w:val="en-US" w:eastAsia="zh-CN"/>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trPr>
          <w:trHeight w:val="300" w:hRule="atLeast"/>
          <w:jc w:val="center"/>
        </w:trPr>
        <w:tc>
          <w:tcPr>
            <w:tcW w:w="3481"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编制部门（单位）：正定县社会保险中心 </w:t>
            </w:r>
            <w:r>
              <w:rPr>
                <w:rFonts w:hint="eastAsia" w:ascii="宋体" w:hAnsi="宋体" w:eastAsia="宋体" w:cs="宋体"/>
                <w:i w:val="0"/>
                <w:iCs w:val="0"/>
                <w:color w:val="000000"/>
                <w:kern w:val="0"/>
                <w:sz w:val="20"/>
                <w:szCs w:val="20"/>
                <w:highlight w:val="none"/>
                <w:u w:val="none"/>
                <w:lang w:val="en-US" w:eastAsia="zh-CN"/>
              </w:rPr>
              <w:t xml:space="preserve">                                                                                                         </w:t>
            </w:r>
          </w:p>
        </w:tc>
        <w:tc>
          <w:tcPr>
            <w:tcW w:w="2623" w:type="dxa"/>
            <w:gridSpan w:val="3"/>
            <w:tcBorders>
              <w:top w:val="nil"/>
              <w:left w:val="nil"/>
              <w:bottom w:val="single" w:color="auto" w:sz="4" w:space="0"/>
              <w:right w:val="nil"/>
            </w:tcBorders>
            <w:vAlign w:val="bottom"/>
          </w:tcPr>
          <w:p>
            <w:pPr>
              <w:widowControl/>
              <w:jc w:val="center"/>
              <w:textAlignment w:val="bottom"/>
              <w:rPr>
                <w:rFonts w:hint="eastAsia" w:ascii="宋体" w:hAnsi="宋体" w:eastAsia="宋体" w:cs="宋体"/>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3242"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金额单位：万元</w:t>
            </w:r>
          </w:p>
        </w:tc>
      </w:tr>
      <w:tr>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128"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对附属单位补助支出</w:t>
            </w:r>
          </w:p>
        </w:tc>
      </w:tr>
      <w:tr>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128"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w:t>
            </w:r>
          </w:p>
        </w:tc>
        <w:tc>
          <w:tcPr>
            <w:tcW w:w="1126" w:type="dxa"/>
            <w:gridSpan w:val="2"/>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w:t>
            </w:r>
          </w:p>
        </w:tc>
        <w:tc>
          <w:tcPr>
            <w:tcW w:w="1126"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w:t>
            </w:r>
          </w:p>
        </w:tc>
        <w:tc>
          <w:tcPr>
            <w:tcW w:w="1126" w:type="dxa"/>
            <w:gridSpan w:val="2"/>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w:t>
            </w:r>
          </w:p>
        </w:tc>
        <w:tc>
          <w:tcPr>
            <w:tcW w:w="1126"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w:t>
            </w:r>
          </w:p>
        </w:tc>
        <w:tc>
          <w:tcPr>
            <w:tcW w:w="1487"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w:t>
            </w:r>
          </w:p>
        </w:tc>
      </w:tr>
      <w:tr>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19,770.73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792.59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18,978.14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19,599.67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685.37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18,914.30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629.57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605.57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624.57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605.57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18,925.57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18,845.76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18,845.76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18,845.76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财政代缴社会保险费支出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财政代缴城乡居民基本养老保险费支出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国有资本经营预算支出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解决历史遗留问题及改革成本支出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2230105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国有企业退休人员社会化管理补助支出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jc w:val="center"/>
        </w:trPr>
        <w:tc>
          <w:tcPr>
            <w:tcW w:w="9346" w:type="dxa"/>
            <w:gridSpan w:val="10"/>
            <w:tcBorders>
              <w:top w:val="nil"/>
              <w:left w:val="nil"/>
              <w:bottom w:val="nil"/>
              <w:right w:val="nil"/>
            </w:tcBorders>
            <w:vAlign w:val="center"/>
          </w:tcPr>
          <w:p>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rPr>
          <w:trHeight w:val="550" w:hRule="atLeast"/>
        </w:trPr>
        <w:tc>
          <w:tcPr>
            <w:tcW w:w="11709" w:type="dxa"/>
            <w:gridSpan w:val="11"/>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rPr>
          <w:trHeight w:val="300" w:hRule="atLeast"/>
        </w:trPr>
        <w:tc>
          <w:tcPr>
            <w:tcW w:w="11709" w:type="dxa"/>
            <w:gridSpan w:val="11"/>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公开04表</w:t>
            </w:r>
          </w:p>
        </w:tc>
      </w:tr>
      <w:tr>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编制部门（单位）：正定县社会保险中心 </w:t>
            </w:r>
            <w:r>
              <w:rPr>
                <w:rFonts w:hint="eastAsia" w:ascii="宋体" w:hAnsi="宋体" w:eastAsia="宋体" w:cs="宋体"/>
                <w:i w:val="0"/>
                <w:iCs w:val="0"/>
                <w:color w:val="000000"/>
                <w:kern w:val="0"/>
                <w:sz w:val="20"/>
                <w:szCs w:val="20"/>
                <w:highlight w:val="none"/>
                <w:u w:val="none"/>
                <w:lang w:val="en-US" w:eastAsia="zh-CN"/>
              </w:rPr>
              <w:t xml:space="preserve">                                                                                                   </w:t>
            </w:r>
          </w:p>
        </w:tc>
        <w:tc>
          <w:tcPr>
            <w:tcW w:w="1521" w:type="dxa"/>
            <w:gridSpan w:val="3"/>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4494" w:type="dxa"/>
            <w:gridSpan w:val="4"/>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    目</w:t>
            </w:r>
          </w:p>
        </w:tc>
        <w:tc>
          <w:tcPr>
            <w:tcW w:w="62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427" w:type="dxa"/>
            <w:vMerge w:val="restart"/>
            <w:tcBorders>
              <w:top w:val="nil"/>
              <w:left w:val="nil"/>
              <w:bottom w:val="single" w:color="000000" w:sz="4" w:space="0"/>
              <w:right w:val="single" w:color="000000" w:sz="4" w:space="0"/>
            </w:tcBorders>
            <w:vAlign w:val="center"/>
          </w:tcPr>
          <w:p>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2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295" w:type="dxa"/>
            <w:gridSpan w:val="2"/>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2098"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121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121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4</w:t>
            </w:r>
          </w:p>
        </w:tc>
        <w:tc>
          <w:tcPr>
            <w:tcW w:w="1219" w:type="dxa"/>
            <w:tcBorders>
              <w:top w:val="nil"/>
              <w:left w:val="nil"/>
              <w:bottom w:val="single" w:color="000000" w:sz="4" w:space="0"/>
              <w:right w:val="single" w:color="000000" w:sz="8"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19,699.67</w:t>
            </w: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63.84</w:t>
            </w: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19,592.46</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19,592.46</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48.84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48.84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624" w:type="dxa"/>
            <w:tcBorders>
              <w:top w:val="nil"/>
              <w:left w:val="nil"/>
              <w:bottom w:val="single" w:color="auto"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58.38</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58.38</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63.84</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63.84</w:t>
            </w: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624" w:type="dxa"/>
            <w:tcBorders>
              <w:top w:val="single" w:color="auto" w:sz="4" w:space="0"/>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19,763.51</w:t>
            </w:r>
          </w:p>
        </w:tc>
        <w:tc>
          <w:tcPr>
            <w:tcW w:w="2098"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19,763.52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19,699.68</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63.84</w:t>
            </w: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年初财政拨款结转和结余</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0.01</w:t>
            </w:r>
          </w:p>
        </w:tc>
        <w:tc>
          <w:tcPr>
            <w:tcW w:w="2098"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年末财政拨款结转和结余</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0.01</w:t>
            </w: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984" w:type="dxa"/>
            <w:tcBorders>
              <w:top w:val="nil"/>
              <w:left w:val="single" w:color="000000" w:sz="4" w:space="0"/>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4" w:type="dxa"/>
            <w:tcBorders>
              <w:top w:val="nil"/>
              <w:left w:val="nil"/>
              <w:bottom w:val="single" w:color="000000" w:sz="8"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19,763.52</w:t>
            </w:r>
          </w:p>
        </w:tc>
        <w:tc>
          <w:tcPr>
            <w:tcW w:w="2098" w:type="dxa"/>
            <w:gridSpan w:val="2"/>
            <w:tcBorders>
              <w:top w:val="nil"/>
              <w:left w:val="nil"/>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4" w:type="dxa"/>
            <w:tcBorders>
              <w:top w:val="nil"/>
              <w:left w:val="nil"/>
              <w:bottom w:val="single" w:color="000000" w:sz="8" w:space="0"/>
              <w:right w:val="single" w:color="000000" w:sz="4" w:space="0"/>
            </w:tcBorders>
            <w:vAlign w:val="center"/>
          </w:tcPr>
          <w:p>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19,763.52</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19,699.68</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63.84</w:t>
            </w:r>
          </w:p>
        </w:tc>
      </w:tr>
      <w:tr>
        <w:trPr>
          <w:trHeight w:val="308" w:hRule="atLeast"/>
        </w:trPr>
        <w:tc>
          <w:tcPr>
            <w:tcW w:w="11709" w:type="dxa"/>
            <w:gridSpan w:val="11"/>
            <w:tcBorders>
              <w:top w:val="nil"/>
              <w:left w:val="nil"/>
              <w:bottom w:val="nil"/>
              <w:right w:val="nil"/>
            </w:tcBorders>
            <w:vAlign w:val="center"/>
          </w:tcPr>
          <w:p>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widowControl w:val="0"/>
        <w:wordWrap/>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rPr>
          <w:trHeight w:val="550" w:hRule="atLeast"/>
        </w:trPr>
        <w:tc>
          <w:tcPr>
            <w:tcW w:w="9092" w:type="dxa"/>
            <w:gridSpan w:val="7"/>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rPr>
          <w:trHeight w:val="300" w:hRule="atLeast"/>
        </w:trPr>
        <w:tc>
          <w:tcPr>
            <w:tcW w:w="9092" w:type="dxa"/>
            <w:gridSpan w:val="7"/>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方正仿宋_GB2312" w:cs="Times New Roman"/>
                <w:i w:val="0"/>
                <w:iCs w:val="0"/>
                <w:color w:val="000000"/>
                <w:kern w:val="0"/>
                <w:sz w:val="20"/>
                <w:szCs w:val="20"/>
                <w:highlight w:val="none"/>
                <w:u w:val="none"/>
                <w:lang w:val="en-US" w:eastAsia="zh-CN"/>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trPr>
          <w:trHeight w:val="300" w:hRule="atLeast"/>
        </w:trPr>
        <w:tc>
          <w:tcPr>
            <w:tcW w:w="3113" w:type="dxa"/>
            <w:gridSpan w:val="3"/>
            <w:tcBorders>
              <w:top w:val="nil"/>
              <w:left w:val="nil"/>
              <w:bottom w:val="single" w:color="auto" w:sz="4" w:space="0"/>
              <w:right w:val="nil"/>
            </w:tcBorders>
            <w:vAlign w:val="bottom"/>
          </w:tcPr>
          <w:p>
            <w:pPr>
              <w:widowControl/>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编制部门（单位）：正定县社会保险中心</w:t>
            </w:r>
          </w:p>
        </w:tc>
        <w:tc>
          <w:tcPr>
            <w:tcW w:w="2994" w:type="dxa"/>
            <w:gridSpan w:val="2"/>
            <w:tcBorders>
              <w:top w:val="nil"/>
              <w:left w:val="nil"/>
              <w:bottom w:val="single" w:color="auto" w:sz="4" w:space="0"/>
              <w:right w:val="nil"/>
            </w:tcBorders>
            <w:vAlign w:val="bottom"/>
          </w:tcPr>
          <w:p>
            <w:pPr>
              <w:widowControl/>
              <w:jc w:val="center"/>
              <w:textAlignment w:val="bottom"/>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985" w:type="dxa"/>
            <w:gridSpan w:val="2"/>
            <w:tcBorders>
              <w:top w:val="nil"/>
              <w:left w:val="nil"/>
              <w:bottom w:val="single" w:color="auto" w:sz="4" w:space="0"/>
              <w:right w:val="nil"/>
            </w:tcBorders>
            <w:vAlign w:val="bottom"/>
          </w:tcPr>
          <w:p>
            <w:pPr>
              <w:widowControl/>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768"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r>
      <w:tr>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科目代码</w:t>
            </w:r>
          </w:p>
        </w:tc>
        <w:tc>
          <w:tcPr>
            <w:tcW w:w="143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225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r>
      <w:tr>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19,699.68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792.59</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18,907.09</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19,592.46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685.37</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18,907.09</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622.36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605.57</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16.79</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617.36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605.57</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11.79</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18,925.57</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79.81</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18,845.76</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18,845.76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18,845.76</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68.00</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11.80</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财政代缴社会保险费支出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财政代缴城乡居民基本养老保险费支出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44.54</w:t>
            </w: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9092" w:type="dxa"/>
            <w:gridSpan w:val="7"/>
            <w:tcBorders>
              <w:top w:val="single" w:color="auto" w:sz="4" w:space="0"/>
              <w:left w:val="nil"/>
              <w:bottom w:val="nil"/>
              <w:right w:val="nil"/>
            </w:tcBorders>
            <w:vAlign w:val="center"/>
          </w:tcPr>
          <w:p>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rPr>
          <w:trHeight w:val="624" w:hRule="atLeast"/>
        </w:trPr>
        <w:tc>
          <w:tcPr>
            <w:tcW w:w="11338" w:type="dxa"/>
            <w:gridSpan w:val="11"/>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rPr>
          <w:trHeight w:val="300" w:hRule="atLeast"/>
        </w:trPr>
        <w:tc>
          <w:tcPr>
            <w:tcW w:w="11338" w:type="dxa"/>
            <w:gridSpan w:val="11"/>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hint="default" w:ascii="Times New Roman" w:hAnsi="Times New Roman" w:eastAsia="方正仿宋_GB2312" w:cs="Times New Roman"/>
                <w:i w:val="0"/>
                <w:iCs w:val="0"/>
                <w:color w:val="000000"/>
                <w:kern w:val="0"/>
                <w:sz w:val="18"/>
                <w:szCs w:val="18"/>
                <w:highlight w:val="none"/>
                <w:u w:val="none"/>
                <w:lang w:val="en-US" w:eastAsia="zh-CN"/>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trPr>
          <w:trHeight w:val="90" w:hRule="atLeast"/>
        </w:trPr>
        <w:tc>
          <w:tcPr>
            <w:tcW w:w="5200" w:type="dxa"/>
            <w:gridSpan w:val="5"/>
            <w:tcBorders>
              <w:top w:val="nil"/>
              <w:left w:val="nil"/>
              <w:bottom w:val="single" w:color="auto" w:sz="4" w:space="0"/>
              <w:right w:val="nil"/>
            </w:tcBorders>
            <w:vAlign w:val="bottom"/>
          </w:tcPr>
          <w:p>
            <w:pP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编制部门（单位）：正定县社会保险中心 </w:t>
            </w:r>
            <w:r>
              <w:rPr>
                <w:rFonts w:hint="eastAsia" w:ascii="宋体" w:hAnsi="宋体" w:cs="宋体"/>
                <w:i w:val="0"/>
                <w:iCs w:val="0"/>
                <w:color w:val="000000"/>
                <w:kern w:val="0"/>
                <w:sz w:val="18"/>
                <w:szCs w:val="18"/>
                <w:highlight w:val="none"/>
                <w:u w:val="none"/>
                <w:lang w:val="en-US" w:eastAsia="zh-CN"/>
              </w:rPr>
              <w:t xml:space="preserve">                                                                   </w:t>
            </w:r>
          </w:p>
        </w:tc>
        <w:tc>
          <w:tcPr>
            <w:tcW w:w="1963"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18"/>
                <w:szCs w:val="18"/>
                <w:highlight w:val="none"/>
                <w:u w:val="none"/>
                <w:lang w:val="en-US" w:eastAsia="zh-CN"/>
              </w:rPr>
            </w:pPr>
            <w:r>
              <w:rPr>
                <w:rFonts w:hint="eastAsia" w:ascii="宋体" w:hAnsi="宋体" w:cs="宋体"/>
                <w:i w:val="0"/>
                <w:iCs w:val="0"/>
                <w:color w:val="000000"/>
                <w:kern w:val="0"/>
                <w:sz w:val="18"/>
                <w:szCs w:val="18"/>
                <w:highlight w:val="none"/>
                <w:u w:val="none"/>
                <w:lang w:val="en-US" w:eastAsia="zh-CN"/>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4175" w:type="dxa"/>
            <w:gridSpan w:val="4"/>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w:t>
            </w: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760.27</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32.02</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307</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94.91</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10.70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30701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183.10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4.73</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30702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30103</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211.87</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30106</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30107</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47.39</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30108</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68.90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31003</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11.80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2.23</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31005</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30110</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27.53</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31006</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21.31</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31007</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2.42</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0.10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31008</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30113</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58.84</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30114</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31010</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30199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32.21</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0.30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31013</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30303</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31021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30304</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31022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30305</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31099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30306</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30307</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30308</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6.34</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31203</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0.30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5.61</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31204</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30310</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1.12</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31205</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30311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1.20</w:t>
            </w: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31299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30399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39907</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39908</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39909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39910</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39999</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18"/>
                <w:szCs w:val="18"/>
                <w:highlight w:val="none"/>
                <w:u w:val="none"/>
              </w:rPr>
            </w:pPr>
          </w:p>
        </w:tc>
      </w:tr>
      <w:tr>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eastAsia="宋体" w:cs="Times New Roman"/>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sz w:val="18"/>
                <w:szCs w:val="18"/>
                <w:highlight w:val="none"/>
              </w:rPr>
            </w:pPr>
            <w:r>
              <w:rPr>
                <w:rFonts w:hint="default" w:ascii="Times New Roman" w:hAnsi="Times New Roman" w:eastAsia="宋体" w:cs="Times New Roman"/>
                <w:sz w:val="18"/>
                <w:szCs w:val="18"/>
                <w:highlight w:val="none"/>
              </w:rPr>
              <w:t>760.57</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宋体" w:hAnsi="宋体" w:eastAsia="宋体" w:cs="宋体"/>
                <w:i w:val="0"/>
                <w:iCs w:val="0"/>
                <w:color w:val="000000"/>
                <w:sz w:val="18"/>
                <w:szCs w:val="18"/>
                <w:highlight w:val="none"/>
                <w:u w:val="none"/>
              </w:rPr>
            </w:pPr>
            <w:r>
              <w:rPr>
                <w:rFonts w:hint="default" w:ascii="Times New Roman" w:hAnsi="Times New Roman" w:eastAsia="宋体" w:cs="Times New Roman"/>
                <w:sz w:val="18"/>
                <w:szCs w:val="18"/>
                <w:highlight w:val="none"/>
              </w:rPr>
              <w:t>32.02</w:t>
            </w:r>
          </w:p>
        </w:tc>
      </w:tr>
      <w:tr>
        <w:trPr>
          <w:trHeight w:val="510" w:hRule="atLeast"/>
        </w:trPr>
        <w:tc>
          <w:tcPr>
            <w:tcW w:w="11338" w:type="dxa"/>
            <w:gridSpan w:val="11"/>
            <w:tcBorders>
              <w:top w:val="single" w:color="auto" w:sz="4" w:space="0"/>
              <w:left w:val="nil"/>
              <w:bottom w:val="nil"/>
              <w:right w:val="nil"/>
            </w:tcBorders>
            <w:vAlign w:val="center"/>
          </w:tcPr>
          <w:p>
            <w:pPr>
              <w:widowControl/>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widowControl w:val="0"/>
        <w:wordWrap/>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rPr>
          <w:trHeight w:val="550" w:hRule="atLeast"/>
        </w:trPr>
        <w:tc>
          <w:tcPr>
            <w:tcW w:w="10480" w:type="dxa"/>
            <w:gridSpan w:val="9"/>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rPr>
          <w:trHeight w:val="90" w:hRule="atLeast"/>
        </w:trPr>
        <w:tc>
          <w:tcPr>
            <w:tcW w:w="10480" w:type="dxa"/>
            <w:gridSpan w:val="9"/>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宋体" w:cs="Times New Roman"/>
                <w:i w:val="0"/>
                <w:iCs w:val="0"/>
                <w:color w:val="000000"/>
                <w:kern w:val="0"/>
                <w:sz w:val="20"/>
                <w:szCs w:val="20"/>
                <w:highlight w:val="none"/>
                <w:u w:val="none"/>
                <w:lang w:val="en-US" w:eastAsia="zh-CN"/>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trPr>
          <w:trHeight w:val="300" w:hRule="atLeast"/>
        </w:trPr>
        <w:tc>
          <w:tcPr>
            <w:tcW w:w="4040" w:type="dxa"/>
            <w:gridSpan w:val="3"/>
            <w:tcBorders>
              <w:top w:val="nil"/>
              <w:left w:val="nil"/>
              <w:bottom w:val="single" w:color="auto" w:sz="4" w:space="0"/>
              <w:right w:val="nil"/>
            </w:tcBorders>
            <w:vAlign w:val="bottom"/>
          </w:tcPr>
          <w:p>
            <w:pPr>
              <w:widowControl/>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编制部门（单位）：正定县社会保险中心 </w:t>
            </w:r>
            <w:r>
              <w:rPr>
                <w:rFonts w:hint="eastAsia" w:ascii="宋体" w:hAnsi="宋体" w:eastAsia="宋体" w:cs="宋体"/>
                <w:i w:val="0"/>
                <w:iCs w:val="0"/>
                <w:color w:val="000000"/>
                <w:kern w:val="0"/>
                <w:sz w:val="20"/>
                <w:szCs w:val="20"/>
                <w:highlight w:val="none"/>
                <w:u w:val="none"/>
                <w:lang w:val="en-US" w:eastAsia="zh-CN"/>
              </w:rPr>
              <w:t xml:space="preserve">                                                                                     </w:t>
            </w:r>
          </w:p>
        </w:tc>
        <w:tc>
          <w:tcPr>
            <w:tcW w:w="2552" w:type="dxa"/>
            <w:gridSpan w:val="3"/>
            <w:tcBorders>
              <w:top w:val="nil"/>
              <w:left w:val="nil"/>
              <w:bottom w:val="single" w:color="auto" w:sz="4" w:space="0"/>
              <w:right w:val="nil"/>
            </w:tcBorders>
            <w:vAlign w:val="bottom"/>
          </w:tcPr>
          <w:p>
            <w:pPr>
              <w:widowControl/>
              <w:jc w:val="center"/>
              <w:textAlignment w:val="bottom"/>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3888" w:type="dxa"/>
            <w:gridSpan w:val="3"/>
            <w:tcBorders>
              <w:top w:val="nil"/>
              <w:left w:val="nil"/>
              <w:bottom w:val="single" w:color="auto" w:sz="4" w:space="0"/>
              <w:right w:val="nil"/>
            </w:tcBorders>
            <w:vAlign w:val="bottom"/>
          </w:tcPr>
          <w:p>
            <w:pPr>
              <w:widowControl/>
              <w:jc w:val="right"/>
              <w:textAlignment w:val="bottom"/>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30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w:t>
            </w:r>
          </w:p>
        </w:tc>
        <w:tc>
          <w:tcPr>
            <w:tcW w:w="3373"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c>
          <w:tcPr>
            <w:tcW w:w="2040"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r>
      <w:tr>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1146"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2040" w:type="dxa"/>
            <w:vMerge w:val="continue"/>
            <w:tcBorders>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结转</w:t>
            </w:r>
          </w:p>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结余</w:t>
            </w:r>
          </w:p>
        </w:tc>
      </w:tr>
      <w:tr>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306" w:type="dxa"/>
            <w:tcBorders>
              <w:top w:val="nil"/>
              <w:left w:val="single" w:color="auto" w:sz="4" w:space="0"/>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1</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2</w:t>
            </w:r>
          </w:p>
        </w:tc>
        <w:tc>
          <w:tcPr>
            <w:tcW w:w="1107"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3</w:t>
            </w:r>
          </w:p>
        </w:tc>
        <w:tc>
          <w:tcPr>
            <w:tcW w:w="1120" w:type="dxa"/>
            <w:gridSpan w:val="2"/>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4</w:t>
            </w:r>
          </w:p>
        </w:tc>
        <w:tc>
          <w:tcPr>
            <w:tcW w:w="1146"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5</w:t>
            </w:r>
          </w:p>
        </w:tc>
        <w:tc>
          <w:tcPr>
            <w:tcW w:w="2040"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注：本单位本年度无收支及结转结余情况，按要求以空表列示。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widowControl/>
        <w:jc w:val="center"/>
        <w:textAlignment w:val="bottom"/>
        <w:rPr>
          <w:rFonts w:hint="eastAsia" w:ascii="宋体" w:hAnsi="宋体" w:eastAsia="宋体" w:cs="宋体"/>
          <w:spacing w:val="-2"/>
          <w:sz w:val="20"/>
          <w:highlight w:val="none"/>
          <w:lang w:val="en-US" w:eastAsia="zh-CN"/>
        </w:rPr>
      </w:pPr>
    </w:p>
    <w:tbl>
      <w:tblPr>
        <w:tblW w:w="804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5"/>
        <w:gridCol w:w="726"/>
        <w:gridCol w:w="1296"/>
        <w:gridCol w:w="1332"/>
        <w:gridCol w:w="5"/>
        <w:gridCol w:w="47"/>
        <w:gridCol w:w="1281"/>
        <w:gridCol w:w="10"/>
        <w:gridCol w:w="1322"/>
      </w:tblGrid>
      <w:tr>
        <w:trPr>
          <w:trHeight w:val="550" w:hRule="atLeast"/>
        </w:trPr>
        <w:tc>
          <w:tcPr>
            <w:tcW w:w="8041" w:type="dxa"/>
            <w:gridSpan w:val="10"/>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rPr>
          <w:trHeight w:val="300" w:hRule="atLeast"/>
        </w:trPr>
        <w:tc>
          <w:tcPr>
            <w:tcW w:w="8041" w:type="dxa"/>
            <w:gridSpan w:val="10"/>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方正仿宋_GB2312" w:cs="Times New Roman"/>
                <w:i w:val="0"/>
                <w:iCs w:val="0"/>
                <w:color w:val="000000"/>
                <w:kern w:val="0"/>
                <w:sz w:val="20"/>
                <w:szCs w:val="20"/>
                <w:highlight w:val="none"/>
                <w:u w:val="none"/>
                <w:lang w:val="en-US" w:eastAsia="zh-CN"/>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trPr>
          <w:trHeight w:val="300" w:hRule="atLeast"/>
        </w:trPr>
        <w:tc>
          <w:tcPr>
            <w:tcW w:w="2748" w:type="dxa"/>
            <w:gridSpan w:val="3"/>
            <w:tcBorders>
              <w:top w:val="nil"/>
              <w:left w:val="nil"/>
              <w:bottom w:val="single" w:color="auto" w:sz="4" w:space="0"/>
              <w:right w:val="nil"/>
            </w:tcBorders>
            <w:vAlign w:val="bottom"/>
          </w:tcPr>
          <w:p>
            <w:pPr>
              <w:widowControl/>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编制部门（单位）：正定县社会保险中心</w:t>
            </w:r>
          </w:p>
        </w:tc>
        <w:tc>
          <w:tcPr>
            <w:tcW w:w="2680" w:type="dxa"/>
            <w:gridSpan w:val="4"/>
            <w:tcBorders>
              <w:top w:val="nil"/>
              <w:left w:val="nil"/>
              <w:bottom w:val="single" w:color="auto" w:sz="4" w:space="0"/>
              <w:right w:val="nil"/>
            </w:tcBorders>
            <w:vAlign w:val="bottom"/>
          </w:tcPr>
          <w:p>
            <w:pPr>
              <w:widowControl/>
              <w:jc w:val="center"/>
              <w:textAlignment w:val="bottom"/>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613" w:type="dxa"/>
            <w:gridSpan w:val="3"/>
            <w:tcBorders>
              <w:top w:val="nil"/>
              <w:left w:val="nil"/>
              <w:bottom w:val="single" w:color="auto" w:sz="4" w:space="0"/>
              <w:right w:val="nil"/>
            </w:tcBorders>
            <w:vAlign w:val="bottom"/>
          </w:tcPr>
          <w:p>
            <w:pPr>
              <w:widowControl/>
              <w:jc w:val="right"/>
              <w:textAlignment w:val="bottom"/>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trPr>
          <w:trHeight w:val="312" w:hRule="atLeast"/>
        </w:trPr>
        <w:tc>
          <w:tcPr>
            <w:tcW w:w="4044" w:type="dxa"/>
            <w:gridSpan w:val="4"/>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项目</w:t>
            </w:r>
          </w:p>
        </w:tc>
        <w:tc>
          <w:tcPr>
            <w:tcW w:w="3997" w:type="dxa"/>
            <w:gridSpan w:val="6"/>
            <w:vMerge w:val="restart"/>
            <w:tcBorders>
              <w:top w:val="single" w:color="auto" w:sz="4" w:space="0"/>
              <w:left w:val="single" w:color="auto" w:sz="4" w:space="0"/>
              <w:right w:val="single" w:color="000000" w:sz="4" w:space="0"/>
            </w:tcBorders>
            <w:vAlign w:val="center"/>
          </w:tcPr>
          <w:p>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rPr>
          <w:trHeight w:val="312" w:hRule="atLeast"/>
        </w:trPr>
        <w:tc>
          <w:tcPr>
            <w:tcW w:w="4044"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3"/>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3"/>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rPr>
          <w:trHeight w:val="308" w:hRule="atLeast"/>
        </w:trPr>
        <w:tc>
          <w:tcPr>
            <w:tcW w:w="4044" w:type="dxa"/>
            <w:gridSpan w:val="4"/>
            <w:tcBorders>
              <w:top w:val="single" w:color="auto" w:sz="4" w:space="0"/>
              <w:left w:val="single" w:color="auto" w:sz="4" w:space="0"/>
              <w:bottom w:val="single" w:color="000000" w:sz="4" w:space="0"/>
              <w:right w:val="single" w:color="auto" w:sz="4" w:space="0"/>
            </w:tcBorders>
            <w:vAlign w:val="center"/>
          </w:tcPr>
          <w:p>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rPr>
          <w:trHeight w:val="308" w:hRule="atLeast"/>
        </w:trPr>
        <w:tc>
          <w:tcPr>
            <w:tcW w:w="4044"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63.84</w:t>
            </w: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63.84</w:t>
            </w:r>
          </w:p>
        </w:tc>
      </w:tr>
      <w:tr>
        <w:trPr>
          <w:trHeight w:val="308" w:hRule="atLeast"/>
        </w:trPr>
        <w:tc>
          <w:tcPr>
            <w:tcW w:w="202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eastAsia="宋体" w:cs="Times New Roman"/>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223</w:t>
            </w:r>
          </w:p>
        </w:tc>
        <w:tc>
          <w:tcPr>
            <w:tcW w:w="202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eastAsia="宋体" w:cs="Times New Roman"/>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国有资本经营预算支出</w:t>
            </w:r>
          </w:p>
        </w:tc>
        <w:tc>
          <w:tcPr>
            <w:tcW w:w="1332" w:type="dxa"/>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63.84</w:t>
            </w:r>
          </w:p>
        </w:tc>
        <w:tc>
          <w:tcPr>
            <w:tcW w:w="1333" w:type="dxa"/>
            <w:gridSpan w:val="3"/>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63.84</w:t>
            </w:r>
          </w:p>
        </w:tc>
      </w:tr>
      <w:tr>
        <w:trPr>
          <w:trHeight w:val="308" w:hRule="atLeast"/>
        </w:trPr>
        <w:tc>
          <w:tcPr>
            <w:tcW w:w="202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eastAsia="宋体" w:cs="Times New Roman"/>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22301</w:t>
            </w:r>
          </w:p>
        </w:tc>
        <w:tc>
          <w:tcPr>
            <w:tcW w:w="202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eastAsia="宋体" w:cs="Times New Roman"/>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解决历史遗留问题及改革成本支出</w:t>
            </w:r>
          </w:p>
        </w:tc>
        <w:tc>
          <w:tcPr>
            <w:tcW w:w="1332" w:type="dxa"/>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63.84</w:t>
            </w:r>
          </w:p>
        </w:tc>
        <w:tc>
          <w:tcPr>
            <w:tcW w:w="1333" w:type="dxa"/>
            <w:gridSpan w:val="3"/>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63.84</w:t>
            </w:r>
          </w:p>
        </w:tc>
      </w:tr>
      <w:tr>
        <w:trPr>
          <w:trHeight w:val="308" w:hRule="atLeast"/>
        </w:trPr>
        <w:tc>
          <w:tcPr>
            <w:tcW w:w="202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eastAsia="宋体" w:cs="Times New Roman"/>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2230105</w:t>
            </w:r>
          </w:p>
        </w:tc>
        <w:tc>
          <w:tcPr>
            <w:tcW w:w="202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eastAsia="宋体" w:cs="Times New Roman"/>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国有企业退休人员社会化管理补助支出</w:t>
            </w:r>
          </w:p>
        </w:tc>
        <w:tc>
          <w:tcPr>
            <w:tcW w:w="1332" w:type="dxa"/>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63.84</w:t>
            </w:r>
          </w:p>
        </w:tc>
        <w:tc>
          <w:tcPr>
            <w:tcW w:w="1333" w:type="dxa"/>
            <w:gridSpan w:val="3"/>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63.84</w:t>
            </w:r>
          </w:p>
        </w:tc>
      </w:tr>
      <w:tr>
        <w:trPr>
          <w:trHeight w:val="308" w:hRule="atLeast"/>
        </w:trPr>
        <w:tc>
          <w:tcPr>
            <w:tcW w:w="8041" w:type="dxa"/>
            <w:gridSpan w:val="10"/>
            <w:tcBorders>
              <w:top w:val="nil"/>
              <w:left w:val="nil"/>
              <w:bottom w:val="nil"/>
              <w:right w:val="nil"/>
            </w:tcBorders>
            <w:vAlign w:val="center"/>
          </w:tcPr>
          <w:p>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注：本表反映部门本年度国有资本经营预算财政拨款收入、支出及结转和结余情况。（如无相关数据，则需注明空表列示）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pPr w:leftFromText="180" w:rightFromText="180" w:vertAnchor="text" w:horzAnchor="page" w:tblpX="282" w:tblpY="39"/>
        <w:tblOverlap w:val="never"/>
        <w:tblW w:w="115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rPr>
          <w:trHeight w:val="550" w:hRule="atLeast"/>
        </w:trPr>
        <w:tc>
          <w:tcPr>
            <w:tcW w:w="11596" w:type="dxa"/>
            <w:gridSpan w:val="14"/>
            <w:tcBorders>
              <w:top w:val="nil"/>
              <w:left w:val="nil"/>
              <w:bottom w:val="nil"/>
              <w:right w:val="nil"/>
            </w:tcBorders>
            <w:vAlign w:val="bottom"/>
          </w:tcPr>
          <w:p>
            <w:pPr>
              <w:widowControl/>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rPr>
          <w:trHeight w:val="260" w:hRule="atLeast"/>
        </w:trPr>
        <w:tc>
          <w:tcPr>
            <w:tcW w:w="11596" w:type="dxa"/>
            <w:gridSpan w:val="14"/>
            <w:tcBorders>
              <w:top w:val="nil"/>
              <w:left w:val="nil"/>
              <w:bottom w:val="nil"/>
              <w:right w:val="nil"/>
            </w:tcBorders>
            <w:vAlign w:val="bottom"/>
          </w:tcPr>
          <w:p>
            <w:pPr>
              <w:widowControl/>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hint="default" w:ascii="Times New Roman" w:hAnsi="Times New Roman" w:eastAsia="方正仿宋_GB2312" w:cs="Times New Roman"/>
                <w:i w:val="0"/>
                <w:iCs w:val="0"/>
                <w:color w:val="000000"/>
                <w:kern w:val="0"/>
                <w:sz w:val="18"/>
                <w:szCs w:val="18"/>
                <w:highlight w:val="none"/>
                <w:u w:val="none"/>
                <w:lang w:val="en-US" w:eastAsia="zh-CN"/>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trPr>
          <w:trHeight w:val="260" w:hRule="atLeast"/>
        </w:trPr>
        <w:tc>
          <w:tcPr>
            <w:tcW w:w="4492" w:type="dxa"/>
            <w:gridSpan w:val="5"/>
            <w:tcBorders>
              <w:top w:val="nil"/>
              <w:left w:val="nil"/>
              <w:bottom w:val="single" w:color="auto" w:sz="4" w:space="0"/>
              <w:right w:val="nil"/>
            </w:tcBorders>
            <w:vAlign w:val="bottom"/>
          </w:tcPr>
          <w:p>
            <w:pPr>
              <w:widowControl/>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编制部门（单位）：正定县社会保险中心</w:t>
            </w:r>
          </w:p>
        </w:tc>
        <w:tc>
          <w:tcPr>
            <w:tcW w:w="2166" w:type="dxa"/>
            <w:gridSpan w:val="3"/>
            <w:tcBorders>
              <w:top w:val="nil"/>
              <w:left w:val="nil"/>
              <w:bottom w:val="single" w:color="auto" w:sz="4" w:space="0"/>
              <w:right w:val="nil"/>
            </w:tcBorders>
            <w:vAlign w:val="bottom"/>
          </w:tcPr>
          <w:p>
            <w:pPr>
              <w:widowControl/>
              <w:jc w:val="center"/>
              <w:textAlignment w:val="bottom"/>
              <w:rPr>
                <w:rFonts w:hint="default" w:ascii="宋体" w:hAnsi="宋体" w:eastAsia="宋体" w:cs="宋体"/>
                <w:i w:val="0"/>
                <w:iCs w:val="0"/>
                <w:color w:val="000000"/>
                <w:kern w:val="0"/>
                <w:sz w:val="18"/>
                <w:szCs w:val="18"/>
                <w:highlight w:val="none"/>
                <w:u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4938" w:type="dxa"/>
            <w:gridSpan w:val="6"/>
            <w:tcBorders>
              <w:top w:val="nil"/>
              <w:left w:val="nil"/>
              <w:bottom w:val="single" w:color="auto" w:sz="4" w:space="0"/>
              <w:right w:val="nil"/>
            </w:tcBorders>
            <w:vAlign w:val="bottom"/>
          </w:tcPr>
          <w:p>
            <w:pPr>
              <w:widowControl/>
              <w:jc w:val="right"/>
              <w:textAlignment w:val="bottom"/>
              <w:rPr>
                <w:rFonts w:hint="default" w:ascii="宋体" w:hAns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预算数</w:t>
            </w:r>
          </w:p>
        </w:tc>
        <w:tc>
          <w:tcPr>
            <w:tcW w:w="5783" w:type="dxa"/>
            <w:gridSpan w:val="7"/>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决算数</w:t>
            </w:r>
          </w:p>
        </w:tc>
      </w:tr>
      <w:tr>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1226"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2823"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777"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850"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1133"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2613" w:type="dxa"/>
            <w:gridSpan w:val="3"/>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r>
      <w:tr>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946"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1063"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946"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rPr>
          <w:trHeight w:val="431" w:hRule="atLeast"/>
        </w:trPr>
        <w:tc>
          <w:tcPr>
            <w:tcW w:w="987"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w:t>
            </w:r>
          </w:p>
        </w:tc>
        <w:tc>
          <w:tcPr>
            <w:tcW w:w="1226"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2</w:t>
            </w:r>
          </w:p>
        </w:tc>
        <w:tc>
          <w:tcPr>
            <w:tcW w:w="814"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3</w:t>
            </w:r>
          </w:p>
        </w:tc>
        <w:tc>
          <w:tcPr>
            <w:tcW w:w="946"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4</w:t>
            </w:r>
          </w:p>
        </w:tc>
        <w:tc>
          <w:tcPr>
            <w:tcW w:w="1063" w:type="dxa"/>
            <w:gridSpan w:val="2"/>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5</w:t>
            </w:r>
          </w:p>
        </w:tc>
        <w:tc>
          <w:tcPr>
            <w:tcW w:w="777"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6</w:t>
            </w:r>
          </w:p>
        </w:tc>
        <w:tc>
          <w:tcPr>
            <w:tcW w:w="850" w:type="dxa"/>
            <w:gridSpan w:val="2"/>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7</w:t>
            </w:r>
          </w:p>
        </w:tc>
        <w:tc>
          <w:tcPr>
            <w:tcW w:w="1133"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8</w:t>
            </w:r>
          </w:p>
        </w:tc>
        <w:tc>
          <w:tcPr>
            <w:tcW w:w="640"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9</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10</w:t>
            </w:r>
          </w:p>
        </w:tc>
        <w:tc>
          <w:tcPr>
            <w:tcW w:w="946"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11</w:t>
            </w:r>
          </w:p>
        </w:tc>
        <w:tc>
          <w:tcPr>
            <w:tcW w:w="1187" w:type="dxa"/>
            <w:tcBorders>
              <w:top w:val="nil"/>
              <w:left w:val="nil"/>
              <w:bottom w:val="single" w:color="000000" w:sz="4" w:space="0"/>
              <w:right w:val="single" w:color="000000" w:sz="4" w:space="0"/>
            </w:tcBorders>
            <w:vAlign w:val="center"/>
          </w:tcPr>
          <w:p>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12</w:t>
            </w:r>
          </w:p>
        </w:tc>
      </w:tr>
      <w:tr>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1.14</w:t>
            </w: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1.14</w:t>
            </w: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1.14</w:t>
            </w: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1.12</w:t>
            </w: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1.12</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1.12</w:t>
            </w: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rPr>
          <w:trHeight w:val="431" w:hRule="atLeast"/>
        </w:trPr>
        <w:tc>
          <w:tcPr>
            <w:tcW w:w="11596" w:type="dxa"/>
            <w:gridSpan w:val="14"/>
            <w:tcBorders>
              <w:top w:val="nil"/>
              <w:left w:val="nil"/>
              <w:bottom w:val="nil"/>
              <w:right w:val="nil"/>
            </w:tcBorders>
            <w:vAlign w:val="center"/>
          </w:tcPr>
          <w:p>
            <w:pPr>
              <w:widowControl/>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color="090000" w:fill="FFFFFF"/>
        </w:rPr>
        <w:t>第三部分</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color="090000" w:fill="FFFFFF"/>
        </w:rPr>
        <w:t>202</w:t>
      </w:r>
      <w:r>
        <w:rPr>
          <w:rFonts w:hint="eastAsia" w:ascii="黑体" w:hAnsi="宋体" w:eastAsia="黑体" w:cs="黑体"/>
          <w:i w:val="0"/>
          <w:iCs w:val="0"/>
          <w:caps w:val="0"/>
          <w:color w:val="000000"/>
          <w:spacing w:val="-20"/>
          <w:sz w:val="72"/>
          <w:szCs w:val="72"/>
          <w:highlight w:val="none"/>
          <w:shd w:val="clear" w:color="090000" w:fill="FFFFFF"/>
          <w:lang w:val="en-US" w:eastAsia="zh-CN"/>
        </w:rPr>
        <w:t>3</w:t>
      </w:r>
      <w:r>
        <w:rPr>
          <w:rFonts w:hint="eastAsia" w:ascii="黑体" w:hAnsi="宋体" w:eastAsia="黑体" w:cs="黑体"/>
          <w:i w:val="0"/>
          <w:iCs w:val="0"/>
          <w:caps w:val="0"/>
          <w:color w:val="000000"/>
          <w:spacing w:val="-20"/>
          <w:sz w:val="72"/>
          <w:szCs w:val="72"/>
          <w:highlight w:val="none"/>
          <w:shd w:val="clear" w:color="090000" w:fill="FFFFFF"/>
        </w:rPr>
        <w:t>年</w:t>
      </w:r>
      <w:r>
        <w:rPr>
          <w:rFonts w:hint="eastAsia" w:ascii="黑体" w:hAnsi="宋体" w:eastAsia="黑体" w:cs="黑体"/>
          <w:i w:val="0"/>
          <w:iCs w:val="0"/>
          <w:caps w:val="0"/>
          <w:color w:val="000000"/>
          <w:spacing w:val="-20"/>
          <w:sz w:val="72"/>
          <w:szCs w:val="72"/>
          <w:highlight w:val="none"/>
          <w:shd w:val="clear" w:color="090000" w:fill="FFFFFF"/>
          <w:lang w:val="en-US" w:eastAsia="zh-CN"/>
        </w:rPr>
        <w:t>度</w:t>
      </w:r>
      <w:r>
        <w:rPr>
          <w:rFonts w:hint="eastAsia" w:ascii="黑体" w:hAnsi="宋体" w:eastAsia="黑体" w:cs="黑体"/>
          <w:i w:val="0"/>
          <w:iCs w:val="0"/>
          <w:caps w:val="0"/>
          <w:color w:val="000000"/>
          <w:spacing w:val="-20"/>
          <w:sz w:val="72"/>
          <w:szCs w:val="72"/>
          <w:highlight w:val="none"/>
          <w:shd w:val="clear" w:color="090000" w:fill="FFFFFF"/>
        </w:rPr>
        <w:t>部门决算情况说明</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color="090000" w:fill="FFFFFF"/>
        </w:rPr>
      </w:pPr>
      <w:r>
        <w:rPr>
          <w:rFonts w:hint="default" w:ascii="Arial" w:hAnsi="Arial" w:eastAsia="Arial" w:cs="Arial"/>
          <w:i w:val="0"/>
          <w:iCs w:val="0"/>
          <w:caps w:val="0"/>
          <w:color w:val="000000"/>
          <w:spacing w:val="0"/>
          <w:sz w:val="18"/>
          <w:szCs w:val="18"/>
          <w:highlight w:val="none"/>
          <w:shd w:val="clear" w:color="090000" w:fill="FFFFFF"/>
        </w:rPr>
        <w:t> </w:t>
      </w:r>
    </w:p>
    <w:p>
      <w:pPr>
        <w:rPr>
          <w:rFonts w:hint="default" w:ascii="Arial" w:hAnsi="Arial" w:eastAsia="Arial" w:cs="Arial"/>
          <w:i w:val="0"/>
          <w:iCs w:val="0"/>
          <w:caps w:val="0"/>
          <w:color w:val="000000"/>
          <w:spacing w:val="0"/>
          <w:sz w:val="18"/>
          <w:szCs w:val="18"/>
          <w:highlight w:val="none"/>
          <w:shd w:val="clear" w:color="090000" w:fill="FFFFFF"/>
        </w:rPr>
      </w:pPr>
      <w:r>
        <w:rPr>
          <w:rFonts w:hint="default" w:ascii="Arial" w:hAnsi="Arial" w:eastAsia="Arial" w:cs="Arial"/>
          <w:i w:val="0"/>
          <w:iCs w:val="0"/>
          <w:caps w:val="0"/>
          <w:color w:val="000000"/>
          <w:spacing w:val="0"/>
          <w:sz w:val="18"/>
          <w:szCs w:val="18"/>
          <w:highlight w:val="none"/>
          <w:shd w:val="clear" w:color="090000" w:fill="FFFFFF"/>
        </w:rPr>
        <w:br w:type="page"/>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19,809.94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减少28,190.93万元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降低58.73%，</w:t>
      </w:r>
      <w:r>
        <w:rPr>
          <w:rFonts w:hint="default" w:ascii="Times New Roman" w:hAnsi="Times New Roman" w:eastAsia="仿宋_GB2312" w:cs="Times New Roman"/>
          <w:kern w:val="2"/>
          <w:sz w:val="32"/>
          <w:szCs w:val="32"/>
        </w:rPr>
        <w:t>主要是机关事业单位养老保险制度改革补助经费</w:t>
      </w:r>
      <w:r>
        <w:rPr>
          <w:rFonts w:hint="eastAsia" w:ascii="Times New Roman" w:hAnsi="Times New Roman" w:eastAsia="仿宋_GB2312" w:cs="Times New Roman"/>
          <w:kern w:val="2"/>
          <w:sz w:val="32"/>
          <w:szCs w:val="32"/>
          <w:lang w:eastAsia="zh-CN"/>
        </w:rPr>
        <w:t>，城乡居民养老保险财政补助资金等由财政代列支，造成今年与去年相比大幅下降</w:t>
      </w:r>
      <w:r>
        <w:rPr>
          <w:rFonts w:hint="default" w:ascii="Times New Roman" w:hAnsi="Times New Roman" w:eastAsia="仿宋_GB2312" w:cs="Times New Roman"/>
          <w:kern w:val="2"/>
          <w:sz w:val="32"/>
          <w:szCs w:val="32"/>
          <w:lang w:val="en-US" w:eastAsia="zh-CN" w:bidi="ar-SA"/>
        </w:rPr>
        <w:t>。</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r>
        <w:rPr>
          <w:rFonts w:hint="eastAsia" w:ascii="仿宋_GB2312" w:hAnsi="Times New Roman" w:eastAsia="仿宋_GB2312" w:cs="Wingdings"/>
          <w:color w:val="auto"/>
          <w:kern w:val="0"/>
          <w:sz w:val="32"/>
          <w:szCs w:val="32"/>
          <w:lang w:val="en-US" w:eastAsia="zh-CN"/>
        </w:rPr>
        <w:pict>
          <v:shape id="图表 27" o:spid="_x0000_s1033" type="" style="position:absolute;left:0;margin-left:34.4pt;margin-top:0.25pt;height:212.7pt;width:343.9pt;rotation:0f;z-index:-251650048;" o:ole="f" fillcolor="#FFFFFF" filled="t" o:preferrelative="t" stroked="t" coordorigin="0,0" coordsize="21600,21600">
            <v:stroke color="#000000" color2="#FFFFFF" miterlimit="2"/>
            <v:imagedata gain="65536f" blacklevel="0f" gamma="0"/>
            <o:lock v:ext="edit" position="f" selection="f" grouping="f" rotation="f" cropping="f" text="f" aspectratio="f"/>
          </v:shape>
        </w:pic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i w:val="0"/>
          <w:iCs w:val="0"/>
          <w:caps w:val="0"/>
          <w:color w:val="000000"/>
          <w:spacing w:val="0"/>
          <w:sz w:val="18"/>
          <w:szCs w:val="18"/>
          <w:highlight w:val="none"/>
          <w:shd w:val="clear" w:color="090000" w:fill="FFFFFF"/>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default" w:ascii="Times New Roman" w:hAnsi="Times New Roman" w:eastAsia="Arial" w:cs="Times New Roman"/>
          <w:i w:val="0"/>
          <w:iCs w:val="0"/>
          <w:caps w:val="0"/>
          <w:color w:val="000000"/>
          <w:spacing w:val="0"/>
          <w:sz w:val="18"/>
          <w:szCs w:val="18"/>
          <w:highlight w:val="none"/>
          <w:shd w:val="clear" w:color="090000" w:fill="FFFFFF"/>
        </w:rPr>
        <w:t> </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19,763.51</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19,763.51</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19,770.73万元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792.59万元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占4.01%；</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18,978.14万元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占95.99%；</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hint="eastAsia" w:ascii="仿宋_GB2312" w:hAnsi="Times New Roman" w:eastAsia="仿宋_GB2312" w:cs="DengXian-Regular"/>
          <w:color w:val="auto"/>
          <w:kern w:val="0"/>
          <w:sz w:val="32"/>
          <w:szCs w:val="32"/>
          <w:lang w:val="en-US" w:eastAsia="zh-CN" w:bidi="ar-SA"/>
        </w:rPr>
        <w:pict>
          <v:shape id="图表 5" o:spid="_x0000_s1034" type="" style="position:absolute;left:0;margin-left:21.6pt;margin-top:19.2pt;height:179.6pt;width:329.45pt;mso-wrap-distance-bottom:0pt;mso-wrap-distance-left:9pt;mso-wrap-distance-right:9pt;mso-wrap-distance-top:0pt;rotation:0f;z-index:251667456;" o:ole="f" fillcolor="#FFFFFF" filled="t" o:preferrelative="t" stroked="t" coordorigin="0,0" coordsize="21600,21600">
            <v:stroke color="#000000" color2="#FFFFFF" miterlimit="2"/>
            <v:imagedata gain="65536f" blacklevel="0f" gamma="0"/>
            <o:lock v:ext="edit" position="f" selection="f" grouping="f" rotation="f" cropping="f" text="f" aspectratio="f"/>
            <w10:wrap type="square"/>
          </v:shape>
        </w:pic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adjustRightInd w:val="0"/>
        <w:snapToGrid w:val="0"/>
        <w:spacing w:after="160" w:line="560" w:lineRule="exact"/>
        <w:jc w:val="center"/>
        <w:rPr>
          <w:rFonts w:hint="eastAsia" w:ascii="仿宋_GB2312" w:hAnsi="Times New Roman" w:eastAsia="仿宋_GB2312" w:cs="DengXian-Regular"/>
          <w:sz w:val="32"/>
          <w:szCs w:val="32"/>
          <w:lang w:eastAsia="zh-CN"/>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2</w:t>
      </w:r>
      <w:r>
        <w:rPr>
          <w:rFonts w:hint="eastAsia" w:ascii="仿宋_GB2312" w:hAnsi="Times New Roman" w:eastAsia="仿宋_GB2312" w:cs="Wingdings"/>
          <w:sz w:val="28"/>
          <w:szCs w:val="28"/>
        </w:rPr>
        <w:t>：支出决算构成情况（按支出性质）</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年度财政拨款本年收入19,763.51</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减少28,170.83万元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降低58.77%，</w:t>
      </w:r>
      <w:r>
        <w:rPr>
          <w:rFonts w:hint="default" w:ascii="Times New Roman" w:hAnsi="Times New Roman" w:eastAsia="仿宋_GB2312" w:cs="Times New Roman"/>
          <w:color w:val="auto"/>
          <w:kern w:val="2"/>
          <w:sz w:val="32"/>
          <w:szCs w:val="32"/>
          <w:lang w:val="zh-CN" w:eastAsia="zh-CN" w:bidi="ar-SA"/>
        </w:rPr>
        <w:t>主要是机关事业单位养老保险制度改革补助经费</w:t>
      </w:r>
      <w:r>
        <w:rPr>
          <w:rFonts w:hint="eastAsia" w:ascii="Times New Roman" w:hAnsi="Times New Roman" w:eastAsia="仿宋_GB2312" w:cs="Times New Roman"/>
          <w:color w:val="auto"/>
          <w:kern w:val="2"/>
          <w:sz w:val="32"/>
          <w:szCs w:val="32"/>
          <w:lang w:val="zh-CN" w:eastAsia="zh-CN" w:bidi="ar-SA"/>
        </w:rPr>
        <w:t>，城乡居民养老保险财政补助资金等由财政代列收入，造成今年与去年相比大幅下降</w:t>
      </w:r>
      <w:r>
        <w:rPr>
          <w:rFonts w:hint="default" w:ascii="Times New Roman" w:hAnsi="Times New Roman" w:eastAsia="仿宋_GB2312" w:cs="Times New Roman"/>
          <w:color w:val="auto"/>
          <w:kern w:val="2"/>
          <w:sz w:val="32"/>
          <w:szCs w:val="32"/>
          <w:lang w:val="zh-CN" w:eastAsia="zh-CN" w:bidi="ar-SA"/>
        </w:rPr>
        <w:t>；本年支出 19,763.52元，比上年</w:t>
      </w:r>
      <w:r>
        <w:rPr>
          <w:rFonts w:hint="eastAsia" w:ascii="Times New Roman" w:hAnsi="Times New Roman" w:eastAsia="仿宋_GB2312" w:cs="Times New Roman"/>
          <w:color w:val="auto"/>
          <w:kern w:val="2"/>
          <w:sz w:val="32"/>
          <w:szCs w:val="32"/>
          <w:lang w:val="zh-CN" w:eastAsia="zh-CN" w:bidi="ar-SA"/>
        </w:rPr>
        <w:t>减少28,170.82万元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降低58.77%，</w:t>
      </w:r>
      <w:r>
        <w:rPr>
          <w:rFonts w:hint="default" w:ascii="Times New Roman" w:hAnsi="Times New Roman" w:eastAsia="仿宋_GB2312" w:cs="Times New Roman"/>
          <w:color w:val="auto"/>
          <w:kern w:val="2"/>
          <w:sz w:val="32"/>
          <w:szCs w:val="32"/>
          <w:lang w:val="zh-CN" w:eastAsia="zh-CN" w:bidi="ar-SA"/>
        </w:rPr>
        <w:t>主要是机关事业单位养老保险制度改革补助经费</w:t>
      </w:r>
      <w:r>
        <w:rPr>
          <w:rFonts w:hint="eastAsia" w:ascii="Times New Roman" w:hAnsi="Times New Roman" w:eastAsia="仿宋_GB2312" w:cs="Times New Roman"/>
          <w:color w:val="auto"/>
          <w:kern w:val="2"/>
          <w:sz w:val="32"/>
          <w:szCs w:val="32"/>
          <w:lang w:val="zh-CN" w:eastAsia="zh-CN" w:bidi="ar-SA"/>
        </w:rPr>
        <w:t>，城乡居民养老保险财政补助资金等由财政代列支出，造成今年与去年相比大幅下降</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一般公共预算财政拨款本年收入19,699.67</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减少28,209.97万元，降低58.88%，</w:t>
      </w:r>
      <w:r>
        <w:rPr>
          <w:rFonts w:hint="default" w:ascii="Times New Roman" w:hAnsi="Times New Roman" w:eastAsia="仿宋_GB2312" w:cs="Times New Roman"/>
          <w:kern w:val="2"/>
          <w:sz w:val="32"/>
          <w:szCs w:val="32"/>
          <w:lang w:val="zh-CN"/>
        </w:rPr>
        <w:t>主要是</w:t>
      </w:r>
      <w:r>
        <w:rPr>
          <w:rFonts w:hint="default" w:ascii="Times New Roman" w:hAnsi="Times New Roman" w:eastAsia="仿宋_GB2312" w:cs="Times New Roman"/>
          <w:color w:val="auto"/>
          <w:kern w:val="2"/>
          <w:sz w:val="32"/>
          <w:szCs w:val="32"/>
          <w:lang w:val="zh-CN" w:eastAsia="zh-CN" w:bidi="ar-SA"/>
        </w:rPr>
        <w:t>机关事业单位养老保险制度改革补助经费</w:t>
      </w:r>
      <w:r>
        <w:rPr>
          <w:rFonts w:hint="eastAsia" w:ascii="Times New Roman" w:hAnsi="Times New Roman" w:eastAsia="仿宋_GB2312" w:cs="Times New Roman"/>
          <w:color w:val="auto"/>
          <w:kern w:val="2"/>
          <w:sz w:val="32"/>
          <w:szCs w:val="32"/>
          <w:lang w:val="zh-CN" w:eastAsia="zh-CN" w:bidi="ar-SA"/>
        </w:rPr>
        <w:t>，城乡居民养老保险财政补助资金等由财政代列收入，造成今年与去年相比大幅下降</w:t>
      </w:r>
      <w:r>
        <w:rPr>
          <w:rFonts w:hint="default" w:ascii="Times New Roman" w:hAnsi="Times New Roman" w:eastAsia="仿宋_GB2312" w:cs="Times New Roman"/>
          <w:kern w:val="2"/>
          <w:sz w:val="32"/>
          <w:szCs w:val="32"/>
          <w:lang w:val="zh-CN"/>
        </w:rPr>
        <w:t>；本年支出 19,699.68</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减少28,209.96万元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降低58.88%，</w:t>
      </w:r>
      <w:r>
        <w:rPr>
          <w:rFonts w:hint="default" w:ascii="Times New Roman" w:hAnsi="Times New Roman" w:eastAsia="仿宋_GB2312" w:cs="Times New Roman"/>
          <w:kern w:val="2"/>
          <w:sz w:val="32"/>
          <w:szCs w:val="32"/>
          <w:lang w:val="zh-CN"/>
        </w:rPr>
        <w:t>主要是</w:t>
      </w:r>
      <w:r>
        <w:rPr>
          <w:rFonts w:hint="default" w:ascii="Times New Roman" w:hAnsi="Times New Roman" w:eastAsia="仿宋_GB2312" w:cs="Times New Roman"/>
          <w:color w:val="auto"/>
          <w:kern w:val="2"/>
          <w:sz w:val="32"/>
          <w:szCs w:val="32"/>
          <w:lang w:val="zh-CN" w:eastAsia="zh-CN" w:bidi="ar-SA"/>
        </w:rPr>
        <w:t>机关事业单位养老保险制度改革补助经费</w:t>
      </w:r>
      <w:r>
        <w:rPr>
          <w:rFonts w:hint="eastAsia" w:ascii="Times New Roman" w:hAnsi="Times New Roman" w:eastAsia="仿宋_GB2312" w:cs="Times New Roman"/>
          <w:color w:val="auto"/>
          <w:kern w:val="2"/>
          <w:sz w:val="32"/>
          <w:szCs w:val="32"/>
          <w:lang w:val="zh-CN" w:eastAsia="zh-CN" w:bidi="ar-SA"/>
        </w:rPr>
        <w:t>，城乡居民养老保险财政补助资金等由财政代列支出</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国有资本经营预算财政拨款本年收入63.84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增加39.13万元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增长158.41%，</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受疫情影响较往年小，正常开展社会化管理活动</w:t>
      </w:r>
      <w:r>
        <w:rPr>
          <w:rFonts w:hint="default" w:ascii="Times New Roman" w:hAnsi="Times New Roman" w:eastAsia="仿宋_GB2312" w:cs="Times New Roman"/>
          <w:kern w:val="2"/>
          <w:sz w:val="32"/>
          <w:szCs w:val="32"/>
          <w:lang w:val="zh-CN"/>
        </w:rPr>
        <w:t>；本年支出63.84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增加39.13万元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增长158.41%，</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受疫情影响较往年小，正常开展社会化管理活动</w:t>
      </w:r>
      <w:r>
        <w:rPr>
          <w:rFonts w:hint="default" w:ascii="Times New Roman" w:hAnsi="Times New Roman" w:eastAsia="仿宋_GB2312" w:cs="Times New Roman"/>
          <w:kern w:val="2"/>
          <w:sz w:val="32"/>
          <w:szCs w:val="32"/>
          <w:lang w:val="zh-CN"/>
        </w:rPr>
        <w:t>。</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eastAsia" w:ascii="仿宋_GB2312" w:hAnsi="Times New Roman" w:eastAsia="仿宋_GB2312" w:cs="DengXian-Regular"/>
          <w:color w:val="auto"/>
          <w:kern w:val="0"/>
          <w:sz w:val="32"/>
          <w:szCs w:val="32"/>
          <w:highlight w:val="yellow"/>
          <w:lang w:val="en-US" w:eastAsia="zh-CN"/>
        </w:rPr>
        <w:pict>
          <v:shape id="图表 32" o:spid="_x0000_s1035" type="" style="position:absolute;left:0;margin-left:67.85pt;margin-top:44pt;height:256.4pt;width:344.8pt;mso-wrap-distance-bottom:0pt;mso-wrap-distance-left:9pt;mso-wrap-distance-right:9pt;mso-wrap-distance-top:0pt;rotation:0f;z-index:251668480;" o:ole="f" fillcolor="#FFFFFF" filled="t" o:preferrelative="t" stroked="t" coordorigin="0,0" coordsize="21600,21600">
            <v:stroke color="#000000" color2="#FFFFFF" miterlimit="2"/>
            <v:imagedata gain="65536f" blacklevel="0f" gamma="0"/>
            <o:lock v:ext="edit" position="f" selection="f" grouping="f" rotation="f" cropping="f" text="f" aspectratio="f"/>
            <w10:wrap type="square"/>
          </v:shape>
        </w:pic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adjustRightInd w:val="0"/>
        <w:snapToGrid w:val="0"/>
        <w:spacing w:after="160" w:line="560" w:lineRule="exact"/>
        <w:jc w:val="center"/>
        <w:rPr>
          <w:rFonts w:hint="eastAsia" w:ascii="仿宋_GB2312" w:hAnsi="Times New Roman" w:eastAsia="仿宋_GB2312" w:cs="Wingdings"/>
          <w:sz w:val="28"/>
          <w:szCs w:val="28"/>
          <w:lang w:eastAsia="zh-CN"/>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w:t>
      </w:r>
      <w:r>
        <w:rPr>
          <w:rFonts w:hint="eastAsia" w:ascii="仿宋_GB2312" w:hAnsi="Times New Roman" w:eastAsia="仿宋_GB2312" w:cs="Wingdings"/>
          <w:sz w:val="32"/>
          <w:szCs w:val="32"/>
        </w:rPr>
        <w:t>政拨款</w:t>
      </w:r>
      <w:r>
        <w:rPr>
          <w:rFonts w:hint="eastAsia" w:ascii="仿宋_GB2312" w:hAnsi="Times New Roman" w:eastAsia="仿宋_GB2312" w:cs="Wingdings"/>
          <w:sz w:val="32"/>
          <w:szCs w:val="32"/>
          <w:lang w:eastAsia="zh-CN"/>
        </w:rPr>
        <w:t>收支与上年对比</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年度财政拨款本年收入19,763.51万元，完成年初预算的98.84%，比年初预算</w:t>
      </w:r>
      <w:r>
        <w:rPr>
          <w:rFonts w:hint="eastAsia" w:ascii="Times New Roman" w:hAnsi="Times New Roman" w:eastAsia="仿宋_GB2312" w:cs="Times New Roman"/>
          <w:sz w:val="30"/>
          <w:szCs w:val="30"/>
          <w:highlight w:val="none"/>
          <w:lang w:val="zh-CN"/>
        </w:rPr>
        <w:t>减少231.77万元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en-US" w:eastAsia="zh-CN" w:bidi="ar-SA"/>
        </w:rPr>
        <w:t>机关事业单位统筹外养老金在2023年下半年逐渐由各单位发放</w:t>
      </w:r>
      <w:r>
        <w:rPr>
          <w:rFonts w:hint="default" w:ascii="Times New Roman" w:hAnsi="Times New Roman" w:eastAsia="仿宋_GB2312" w:cs="Times New Roman"/>
          <w:color w:val="auto"/>
          <w:kern w:val="2"/>
          <w:sz w:val="32"/>
          <w:szCs w:val="32"/>
          <w:lang w:val="zh-CN" w:eastAsia="zh-CN" w:bidi="ar-SA"/>
        </w:rPr>
        <w:t>；本年支出19,763.52万元，完成年初预算的98.84%，比年初预算</w:t>
      </w:r>
      <w:r>
        <w:rPr>
          <w:rFonts w:hint="eastAsia" w:ascii="Times New Roman" w:hAnsi="Times New Roman" w:eastAsia="仿宋_GB2312" w:cs="Times New Roman"/>
          <w:sz w:val="30"/>
          <w:szCs w:val="30"/>
          <w:highlight w:val="none"/>
          <w:lang w:val="zh-CN"/>
        </w:rPr>
        <w:t>减少231.76万元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color w:val="auto"/>
          <w:kern w:val="2"/>
          <w:sz w:val="32"/>
          <w:szCs w:val="32"/>
          <w:lang w:val="en-US" w:eastAsia="zh-CN" w:bidi="ar-SA"/>
        </w:rPr>
        <w:t>机关事业单位统筹外养老金在2023年下半年逐渐由各单位发放</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收入19,699.67万元，完成年初预算的 98.95%，比年初预算</w:t>
      </w:r>
      <w:r>
        <w:rPr>
          <w:rFonts w:hint="eastAsia" w:ascii="Times New Roman" w:hAnsi="Times New Roman" w:eastAsia="仿宋_GB2312" w:cs="Times New Roman"/>
          <w:sz w:val="30"/>
          <w:szCs w:val="30"/>
          <w:highlight w:val="none"/>
          <w:lang w:val="zh-CN"/>
        </w:rPr>
        <w:t>减少208.31万元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机关事业单位统筹外养老金在2023年下半年逐渐由各单位发放</w:t>
      </w:r>
      <w:r>
        <w:rPr>
          <w:rFonts w:hint="default" w:ascii="Times New Roman" w:hAnsi="Times New Roman" w:eastAsia="仿宋_GB2312" w:cs="Times New Roman"/>
          <w:kern w:val="2"/>
          <w:sz w:val="32"/>
          <w:szCs w:val="32"/>
          <w:lang w:val="zh-CN"/>
        </w:rPr>
        <w:t>；本年支出19,699.68万元，完成年初预算的98.95%，比年初预算</w:t>
      </w:r>
      <w:r>
        <w:rPr>
          <w:rFonts w:hint="eastAsia" w:ascii="Times New Roman" w:hAnsi="Times New Roman" w:eastAsia="仿宋_GB2312" w:cs="Times New Roman"/>
          <w:sz w:val="30"/>
          <w:szCs w:val="30"/>
          <w:highlight w:val="none"/>
          <w:lang w:val="zh-CN"/>
        </w:rPr>
        <w:t>减少208.3万元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color w:val="auto"/>
          <w:kern w:val="2"/>
          <w:sz w:val="32"/>
          <w:szCs w:val="32"/>
          <w:lang w:val="en-US" w:eastAsia="zh-CN" w:bidi="ar-SA"/>
        </w:rPr>
        <w:t>机关事业单位统筹外养老金在2023年下半年逐渐由各单位发放</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color="090000" w:fill="FFFFFF"/>
        </w:rPr>
      </w:pPr>
      <w:r>
        <w:rPr>
          <w:rFonts w:hint="default" w:ascii="Times New Roman" w:hAnsi="Times New Roman" w:eastAsia="仿宋_GB2312" w:cs="Times New Roman"/>
          <w:kern w:val="2"/>
          <w:sz w:val="32"/>
          <w:szCs w:val="32"/>
          <w:lang w:val="zh-CN"/>
        </w:rPr>
        <w:t>3. 国有资本经营预算财政拨款本年收入63.84万元，完成年初预算的73.13%，</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减少23.46万元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部分社会化管理活动资金等待</w:t>
      </w:r>
      <w:r>
        <w:rPr>
          <w:rFonts w:hint="eastAsia" w:ascii="Times New Roman" w:hAnsi="Times New Roman" w:eastAsia="仿宋_GB2312" w:cs="Times New Roman"/>
          <w:kern w:val="2"/>
          <w:sz w:val="32"/>
          <w:szCs w:val="32"/>
          <w:lang w:val="en-US" w:eastAsia="zh-CN"/>
        </w:rPr>
        <w:t>2024年拨付</w:t>
      </w:r>
      <w:r>
        <w:rPr>
          <w:rFonts w:hint="default" w:ascii="Times New Roman" w:hAnsi="Times New Roman" w:eastAsia="仿宋_GB2312" w:cs="Times New Roman"/>
          <w:kern w:val="2"/>
          <w:sz w:val="32"/>
          <w:szCs w:val="32"/>
          <w:lang w:val="zh-CN"/>
        </w:rPr>
        <w:t>；本年支出63.84万元，完成年初预算的73.13%，比年初预算</w:t>
      </w:r>
      <w:r>
        <w:rPr>
          <w:rFonts w:hint="eastAsia" w:ascii="Times New Roman" w:hAnsi="Times New Roman" w:eastAsia="仿宋_GB2312" w:cs="Times New Roman"/>
          <w:sz w:val="30"/>
          <w:szCs w:val="30"/>
          <w:highlight w:val="none"/>
          <w:lang w:val="zh-CN"/>
        </w:rPr>
        <w:t>减少23.46万元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部分社会化管理活动资金等待</w:t>
      </w:r>
      <w:r>
        <w:rPr>
          <w:rFonts w:hint="eastAsia" w:ascii="Times New Roman" w:hAnsi="Times New Roman" w:eastAsia="仿宋_GB2312" w:cs="Times New Roman"/>
          <w:kern w:val="2"/>
          <w:sz w:val="32"/>
          <w:szCs w:val="32"/>
          <w:lang w:val="en-US" w:eastAsia="zh-CN"/>
        </w:rPr>
        <w:t>2024年拨付</w:t>
      </w:r>
      <w:r>
        <w:rPr>
          <w:rFonts w:hint="default" w:ascii="Times New Roman" w:hAnsi="Times New Roman" w:eastAsia="仿宋_GB2312" w:cs="Times New Roman"/>
          <w:kern w:val="2"/>
          <w:sz w:val="32"/>
          <w:szCs w:val="32"/>
          <w:lang w:val="zh-CN"/>
        </w:rPr>
        <w:t>。</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eastAsia" w:ascii="仿宋_GB2312" w:hAnsi="Times New Roman" w:eastAsia="仿宋_GB2312" w:cs="DengXian-Regular"/>
          <w:color w:val="auto"/>
          <w:kern w:val="0"/>
          <w:sz w:val="32"/>
          <w:szCs w:val="32"/>
          <w:highlight w:val="yellow"/>
          <w:lang w:val="en-US" w:eastAsia="zh-CN"/>
        </w:rPr>
        <w:pict>
          <v:shape id="图表 7" o:spid="_x0000_s1036" type="" style="position:absolute;left:0;margin-left:-20.25pt;margin-top:25.15pt;height:219.9pt;width:376.65pt;mso-wrap-distance-bottom:0pt;mso-wrap-distance-left:9pt;mso-wrap-distance-right:9pt;mso-wrap-distance-top:0pt;rotation:0f;z-index:251669504;" o:ole="f" fillcolor="#FFFFFF" filled="t" o:preferrelative="t" stroked="t" coordorigin="0,0" coordsize="21600,21600">
            <v:stroke color="#000000" color2="#FFFFFF" miterlimit="2"/>
            <v:imagedata gain="65536f" blacklevel="0f" gamma="0"/>
            <o:lock v:ext="edit" position="f" selection="f" grouping="f" rotation="f" cropping="f" text="f" aspectratio="f"/>
            <w10:wrap type="square"/>
          </v:shape>
        </w:pic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adjustRightInd w:val="0"/>
        <w:snapToGrid w:val="0"/>
        <w:spacing w:after="160" w:line="560" w:lineRule="exact"/>
        <w:ind w:firstLine="1680" w:firstLineChars="600"/>
        <w:jc w:val="both"/>
        <w:rPr>
          <w:rFonts w:hint="eastAsia" w:ascii="仿宋_GB2312" w:hAnsi="Times New Roman" w:eastAsia="仿宋_GB2312" w:cs="DengXian-Regular"/>
          <w:sz w:val="32"/>
          <w:szCs w:val="32"/>
          <w:highlight w:val="yellow"/>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4</w:t>
      </w:r>
      <w:r>
        <w:rPr>
          <w:rFonts w:hint="eastAsia" w:ascii="仿宋_GB2312" w:hAnsi="Times New Roman" w:eastAsia="仿宋_GB2312" w:cs="Wingdings"/>
          <w:sz w:val="28"/>
          <w:szCs w:val="28"/>
        </w:rPr>
        <w:t>：</w:t>
      </w:r>
      <w:r>
        <w:rPr>
          <w:rFonts w:hint="eastAsia" w:ascii="仿宋_GB2312" w:hAnsi="Times New Roman" w:eastAsia="仿宋_GB2312" w:cs="Wingdings"/>
          <w:sz w:val="32"/>
          <w:szCs w:val="32"/>
        </w:rPr>
        <w:t>财政拨款</w:t>
      </w:r>
      <w:r>
        <w:rPr>
          <w:rFonts w:hint="eastAsia" w:ascii="仿宋_GB2312" w:hAnsi="Times New Roman" w:eastAsia="仿宋_GB2312" w:cs="Wingdings"/>
          <w:sz w:val="32"/>
          <w:szCs w:val="32"/>
          <w:lang w:eastAsia="zh-CN"/>
        </w:rPr>
        <w:t>收支预决算对比</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adjustRightInd w:val="0"/>
        <w:snapToGrid w:val="0"/>
        <w:spacing w:line="580" w:lineRule="exact"/>
        <w:ind w:firstLine="660" w:firstLineChars="200"/>
        <w:rPr>
          <w:rFonts w:ascii="仿宋_GB2312" w:hAnsi="Times New Roman" w:eastAsia="仿宋_GB2312" w:cs="DengXian-Regular"/>
          <w:sz w:val="32"/>
          <w:szCs w:val="32"/>
        </w:rPr>
      </w:pPr>
      <w:r>
        <w:rPr>
          <w:rFonts w:hint="default" w:ascii="Times New Roman" w:hAnsi="Times New Roman" w:eastAsia="仿宋_GB2312" w:cs="Times New Roman"/>
          <w:i w:val="0"/>
          <w:iCs w:val="0"/>
          <w:caps w:val="0"/>
          <w:color w:val="000000"/>
          <w:spacing w:val="0"/>
          <w:sz w:val="33"/>
          <w:szCs w:val="33"/>
          <w:highlight w:val="none"/>
          <w:shd w:val="clear" w:color="090000"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年度财政拨款支出19,763.52万元，主要用于以下方面：</w:t>
      </w:r>
      <w:r>
        <w:rPr>
          <w:rFonts w:hint="default" w:ascii="Times New Roman" w:hAnsi="Times New Roman" w:eastAsia="仿宋_GB2312" w:cs="Times New Roman"/>
          <w:color w:val="auto"/>
          <w:kern w:val="2"/>
          <w:sz w:val="32"/>
          <w:szCs w:val="32"/>
          <w:lang w:val="zh-CN" w:eastAsia="zh-CN" w:bidi="ar-SA"/>
        </w:rPr>
        <w:t>社会保障和就业 （类）支出19,592.46万元，占99.13%；</w:t>
      </w:r>
      <w:r>
        <w:rPr>
          <w:rFonts w:hint="eastAsia" w:ascii="仿宋_GB2312" w:hAnsi="Times New Roman" w:eastAsia="仿宋_GB2312" w:cs="Wingdings"/>
          <w:sz w:val="32"/>
          <w:szCs w:val="32"/>
          <w:lang w:eastAsia="zh-CN"/>
        </w:rPr>
        <w:t>主要用于城乡居民养老、机关事业养老等养老保险支出。</w:t>
      </w:r>
      <w:r>
        <w:rPr>
          <w:rFonts w:hint="default" w:ascii="Times New Roman" w:hAnsi="Times New Roman" w:eastAsia="仿宋_GB2312" w:cs="Times New Roman"/>
          <w:color w:val="auto"/>
          <w:kern w:val="2"/>
          <w:sz w:val="32"/>
          <w:szCs w:val="32"/>
          <w:lang w:val="zh-CN" w:eastAsia="zh-CN" w:bidi="ar-SA"/>
        </w:rPr>
        <w:t>卫生健康（类）支出48.84万元，占0.25%；</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单位职工医保缴纳</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eastAsia="zh-CN"/>
        </w:rPr>
        <w:t>。</w:t>
      </w:r>
      <w:r>
        <w:rPr>
          <w:rFonts w:hint="default" w:ascii="Times New Roman" w:hAnsi="Times New Roman" w:eastAsia="仿宋_GB2312" w:cs="Times New Roman"/>
          <w:color w:val="auto"/>
          <w:kern w:val="2"/>
          <w:sz w:val="32"/>
          <w:szCs w:val="32"/>
          <w:lang w:val="zh-CN" w:eastAsia="zh-CN" w:bidi="ar-SA"/>
        </w:rPr>
        <w:t>住房保障（类）支出58.38万元，占0.3%；</w:t>
      </w:r>
      <w:r>
        <w:rPr>
          <w:rFonts w:hint="eastAsia" w:ascii="Times New Roman" w:hAnsi="Times New Roman" w:eastAsia="仿宋_GB2312" w:cs="Times New Roman"/>
          <w:color w:val="auto"/>
          <w:kern w:val="2"/>
          <w:sz w:val="32"/>
          <w:szCs w:val="32"/>
          <w:lang w:val="zh-CN" w:eastAsia="zh-CN" w:bidi="ar-SA"/>
        </w:rPr>
        <w:t>用于单位职工住房公积金缴纳。</w:t>
      </w:r>
      <w:r>
        <w:rPr>
          <w:rFonts w:hint="default" w:ascii="Times New Roman" w:hAnsi="Times New Roman" w:eastAsia="仿宋_GB2312" w:cs="Times New Roman"/>
          <w:color w:val="auto"/>
          <w:kern w:val="2"/>
          <w:sz w:val="32"/>
          <w:szCs w:val="32"/>
          <w:lang w:val="zh-CN" w:eastAsia="zh-CN" w:bidi="ar-SA"/>
        </w:rPr>
        <w:t>国有资本经营预算支出63.84万元，占0.32%；</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企业退休人员社会化管理</w:t>
      </w:r>
      <w:r>
        <w:rPr>
          <w:rFonts w:hint="eastAsia" w:ascii="仿宋_GB2312" w:hAnsi="Times New Roman" w:eastAsia="仿宋_GB2312" w:cs="DengXian-Regular"/>
          <w:sz w:val="32"/>
          <w:szCs w:val="32"/>
        </w:rPr>
        <w:t>等支出。</w:t>
      </w:r>
    </w:p>
    <w:p>
      <w:pPr>
        <w:pStyle w:val="16"/>
        <w:widowControl/>
        <w:numPr>
          <w:ilvl w:val="0"/>
          <w:numId w:val="2"/>
        </w:numPr>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6"/>
        <w:widowControl/>
        <w:numPr>
          <w:numId w:val="0"/>
        </w:numPr>
        <w:pBdr>
          <w:top w:val="none" w:color="auto" w:sz="0" w:space="0"/>
          <w:left w:val="none" w:color="auto" w:sz="0" w:space="0"/>
          <w:bottom w:val="none" w:color="auto" w:sz="0" w:space="0"/>
          <w:right w:val="none" w:color="auto" w:sz="0" w:space="0"/>
        </w:pBdr>
        <w:spacing w:before="0" w:beforeAutospacing="0" w:after="0" w:afterAutospacing="0"/>
        <w:ind w:right="0"/>
        <w:jc w:val="both"/>
        <w:outlineLvl w:val="2"/>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eastAsia"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年度财政拨款基本支出792.59万元，其中：</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人员经费760.57万元，主要包括</w:t>
      </w:r>
      <w:r>
        <w:rPr>
          <w:rFonts w:hint="eastAsia" w:ascii="仿宋_GB2312" w:hAnsi="Times New Roman" w:eastAsia="仿宋_GB2312" w:cs="DengXian-Regular"/>
          <w:sz w:val="32"/>
          <w:szCs w:val="32"/>
        </w:rPr>
        <w:t>基本工资、津贴补贴、奖金、绩效工资、机关事业单位基本养老保险缴费、职业年金缴费、职工基本医疗保险缴费、公务员医疗补助缴费、住房公积金、医疗费、其他社会保障缴费、其他工资福利支出</w:t>
      </w:r>
      <w:r>
        <w:rPr>
          <w:rFonts w:hint="eastAsia" w:ascii="仿宋_GB2312" w:hAnsi="Times New Roman" w:eastAsia="仿宋_GB2312" w:cs="DengXian-Regular"/>
          <w:sz w:val="32"/>
          <w:szCs w:val="32"/>
          <w:lang w:eastAsia="zh-CN"/>
        </w:rPr>
        <w:t>、奖励金。</w:t>
      </w:r>
    </w:p>
    <w:p>
      <w:pPr>
        <w:adjustRightInd w:val="0"/>
        <w:snapToGrid w:val="0"/>
        <w:spacing w:line="580" w:lineRule="exact"/>
        <w:ind w:firstLine="660" w:firstLineChars="200"/>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公用经费32.02万元，</w:t>
      </w:r>
      <w:r>
        <w:rPr>
          <w:rFonts w:hint="eastAsia" w:ascii="仿宋_GB2312" w:hAnsi="Times New Roman" w:eastAsia="仿宋_GB2312" w:cs="DengXian-Regular"/>
          <w:sz w:val="32"/>
          <w:szCs w:val="32"/>
        </w:rPr>
        <w:t>主要包括办公费、</w:t>
      </w:r>
      <w:r>
        <w:rPr>
          <w:rFonts w:hint="eastAsia" w:ascii="仿宋_GB2312" w:hAnsi="Times New Roman" w:eastAsia="仿宋_GB2312" w:cs="DengXian-Regular"/>
          <w:sz w:val="32"/>
          <w:szCs w:val="32"/>
          <w:lang w:eastAsia="zh-CN"/>
        </w:rPr>
        <w:t>印刷费，</w:t>
      </w:r>
      <w:r>
        <w:rPr>
          <w:rFonts w:hint="eastAsia" w:ascii="仿宋_GB2312" w:hAnsi="Times New Roman" w:eastAsia="仿宋_GB2312" w:cs="DengXian-Regular"/>
          <w:sz w:val="32"/>
          <w:szCs w:val="32"/>
        </w:rPr>
        <w:t>邮电费、差旅费、工会经费、福利费、公务用车运行维护费、其他交通费用</w:t>
      </w:r>
      <w:r>
        <w:rPr>
          <w:rFonts w:hint="eastAsia" w:ascii="仿宋_GB2312" w:hAnsi="Times New Roman" w:eastAsia="仿宋_GB2312" w:cs="DengXian-Regular"/>
          <w:sz w:val="32"/>
          <w:szCs w:val="32"/>
          <w:lang w:eastAsia="zh-CN"/>
        </w:rPr>
        <w:t>。</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年度“三公”经费财政拨款支出预算为1.14万元，支出决算为 1.12万元，完成预算的 98.25%，较预算</w:t>
      </w:r>
      <w:r>
        <w:rPr>
          <w:rFonts w:hint="eastAsia" w:ascii="Times New Roman" w:hAnsi="Times New Roman" w:eastAsia="仿宋_GB2312" w:cs="Times New Roman"/>
          <w:color w:val="auto"/>
          <w:kern w:val="2"/>
          <w:sz w:val="32"/>
          <w:szCs w:val="32"/>
          <w:lang w:val="zh-CN" w:eastAsia="zh-CN" w:bidi="ar-SA"/>
        </w:rPr>
        <w:t>减少0.02万元，减少1.75%，</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公务用车减少</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减少0.03%，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公务用车减少</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adjustRightInd w:val="0"/>
        <w:snapToGrid w:val="0"/>
        <w:spacing w:line="580" w:lineRule="exact"/>
        <w:rPr>
          <w:rFonts w:ascii="仿宋_GB2312" w:hAnsi="Times New Roman" w:eastAsia="仿宋_GB2312" w:cs="DengXian-Regular"/>
          <w:sz w:val="32"/>
          <w:szCs w:val="32"/>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r>
        <w:rPr>
          <w:rFonts w:hint="eastAsia" w:ascii="仿宋_GB2312" w:hAnsi="Times New Roman" w:eastAsia="仿宋_GB2312" w:cs="DengXian-Regular"/>
          <w:sz w:val="32"/>
          <w:szCs w:val="32"/>
          <w:lang w:eastAsia="zh-CN"/>
        </w:rPr>
        <w:t>未发生此类支出。</w:t>
      </w:r>
      <w:r>
        <w:rPr>
          <w:rFonts w:hint="eastAsia" w:ascii="仿宋_GB2312" w:hAnsi="Times New Roman" w:eastAsia="仿宋_GB2312" w:cs="DengXian-Regular"/>
          <w:sz w:val="32"/>
          <w:szCs w:val="32"/>
        </w:rPr>
        <w:t>较202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eastAsia="zh-CN"/>
        </w:rPr>
        <w:t>无增减变化，与上年持平。</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color w:val="auto"/>
          <w:kern w:val="2"/>
          <w:sz w:val="32"/>
          <w:szCs w:val="32"/>
          <w:lang w:val="en-US" w:eastAsia="zh-CN" w:bidi="ar-SA"/>
        </w:rPr>
      </w:pPr>
    </w:p>
    <w:p>
      <w:pPr>
        <w:wordWrap/>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年度公务用车购置及运行维护费预算为1.14万元，支出决算 1.12万元，完成预算的98.25%,较预算</w:t>
      </w:r>
      <w:r>
        <w:rPr>
          <w:rFonts w:hint="eastAsia" w:ascii="Times New Roman" w:hAnsi="Times New Roman" w:eastAsia="仿宋_GB2312" w:cs="Times New Roman"/>
          <w:color w:val="auto"/>
          <w:kern w:val="2"/>
          <w:sz w:val="32"/>
          <w:szCs w:val="32"/>
          <w:lang w:val="zh-CN" w:eastAsia="zh-CN" w:bidi="ar-SA"/>
        </w:rPr>
        <w:t>减少0.02万元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减少1.75%，</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减少0.03%，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公务用车减少</w:t>
      </w:r>
      <w:r>
        <w:rPr>
          <w:rFonts w:hint="default" w:ascii="Times New Roman" w:hAnsi="Times New Roman" w:eastAsia="仿宋_GB2312" w:cs="Times New Roman"/>
          <w:color w:val="auto"/>
          <w:kern w:val="2"/>
          <w:sz w:val="32"/>
          <w:szCs w:val="32"/>
          <w:lang w:val="zh-CN" w:eastAsia="zh-CN" w:bidi="ar-SA"/>
        </w:rPr>
        <w:t>。</w:t>
      </w:r>
    </w:p>
    <w:p>
      <w:pPr>
        <w:pStyle w:val="16"/>
        <w:widowControl/>
        <w:pBdr>
          <w:top w:val="none" w:color="auto" w:sz="0" w:space="0"/>
          <w:left w:val="none" w:color="auto" w:sz="0" w:space="0"/>
          <w:bottom w:val="none" w:color="auto" w:sz="0" w:space="0"/>
          <w:right w:val="none" w:color="auto" w:sz="0" w:space="0"/>
        </w:pBdr>
        <w:wordWrap/>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DengXian-Regular"/>
          <w:sz w:val="32"/>
          <w:szCs w:val="32"/>
          <w:lang w:eastAsia="zh-CN"/>
        </w:rPr>
        <w:t>未发生此类支出。</w:t>
      </w:r>
      <w:r>
        <w:rPr>
          <w:rFonts w:hint="eastAsia" w:ascii="仿宋_GB2312" w:hAnsi="Times New Roman" w:eastAsia="仿宋_GB2312" w:cs="DengXian-Regular"/>
          <w:sz w:val="32"/>
          <w:szCs w:val="32"/>
        </w:rPr>
        <w:t>较202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eastAsia="zh-CN"/>
        </w:rPr>
        <w:t>无增减变化，与上年持平。</w:t>
      </w:r>
    </w:p>
    <w:p>
      <w:pPr>
        <w:widowControl w:val="0"/>
        <w:wordWrap/>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1.12</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年度单位公务用车保有量1辆，发生运行维护费支出1.12万元。公车运行维护费支出较预算</w:t>
      </w:r>
      <w:r>
        <w:rPr>
          <w:rFonts w:hint="eastAsia" w:ascii="Times New Roman" w:hAnsi="Times New Roman" w:eastAsia="仿宋_GB2312" w:cs="Times New Roman"/>
          <w:color w:val="auto"/>
          <w:kern w:val="2"/>
          <w:sz w:val="32"/>
          <w:szCs w:val="32"/>
          <w:lang w:val="zh-CN" w:eastAsia="zh-CN" w:bidi="ar-SA"/>
        </w:rPr>
        <w:t>减少0.02万元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减少1.75%，</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减少0.03%，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公务用车减少</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hAnsi="Times New Roman" w:eastAsia="仿宋_GB2312" w:cs="DengXian-Regular"/>
          <w:sz w:val="32"/>
          <w:szCs w:val="32"/>
          <w:lang w:eastAsia="zh-CN"/>
        </w:rPr>
        <w:t>未发生此类支出。</w:t>
      </w:r>
      <w:r>
        <w:rPr>
          <w:rFonts w:hint="eastAsia" w:ascii="仿宋_GB2312" w:hAnsi="Times New Roman" w:eastAsia="仿宋_GB2312" w:cs="DengXian-Regular"/>
          <w:sz w:val="32"/>
          <w:szCs w:val="32"/>
        </w:rPr>
        <w:t>较202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eastAsia="zh-CN"/>
        </w:rPr>
        <w:t>无增减变化，与上年持平。</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color="090000" w:fill="FFFFFF"/>
          <w:lang w:eastAsia="zh-CN"/>
        </w:rPr>
      </w:pPr>
      <w:r>
        <w:rPr>
          <w:rFonts w:hint="default" w:ascii="Times New Roman" w:hAnsi="Times New Roman" w:eastAsia="黑体" w:cs="Times New Roman"/>
          <w:i w:val="0"/>
          <w:iCs w:val="0"/>
          <w:caps w:val="0"/>
          <w:color w:val="333333"/>
          <w:spacing w:val="0"/>
          <w:sz w:val="33"/>
          <w:szCs w:val="33"/>
          <w:highlight w:val="none"/>
          <w:shd w:val="clear" w:color="090000" w:fill="FFFFFF"/>
        </w:rPr>
        <w:t>六、</w:t>
      </w:r>
      <w:r>
        <w:rPr>
          <w:rFonts w:hint="default" w:ascii="Times New Roman" w:hAnsi="Times New Roman" w:eastAsia="黑体" w:cs="Times New Roman"/>
          <w:sz w:val="32"/>
          <w:szCs w:val="32"/>
        </w:rPr>
        <w:t>机关运行经费支出说明</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仿宋_GB2312" w:hAnsi="Times New Roman" w:eastAsia="仿宋_GB2312" w:cs="DengXian-Regular"/>
          <w:color w:val="auto"/>
          <w:kern w:val="0"/>
          <w:sz w:val="32"/>
          <w:szCs w:val="32"/>
          <w:lang w:val="en-US" w:eastAsia="zh-CN" w:bidi="ar-SA"/>
        </w:rPr>
      </w:pPr>
      <w:r>
        <w:rPr>
          <w:rFonts w:hint="default" w:ascii="仿宋_GB2312" w:hAnsi="Times New Roman" w:eastAsia="仿宋_GB2312" w:cs="DengXian-Regular"/>
          <w:color w:val="auto"/>
          <w:kern w:val="0"/>
          <w:sz w:val="32"/>
          <w:szCs w:val="32"/>
          <w:lang w:val="en-US" w:eastAsia="zh-CN" w:bidi="ar-SA"/>
        </w:rPr>
        <w:t xml:space="preserve">  </w:t>
      </w:r>
      <w:r>
        <w:rPr>
          <w:rFonts w:hint="eastAsia" w:ascii="仿宋_GB2312" w:hAnsi="Times New Roman" w:eastAsia="仿宋_GB2312" w:cs="DengXian-Regular"/>
          <w:color w:val="auto"/>
          <w:kern w:val="0"/>
          <w:sz w:val="32"/>
          <w:szCs w:val="32"/>
          <w:lang w:val="en-US" w:eastAsia="zh-CN" w:bidi="ar-SA"/>
        </w:rPr>
        <w:t>无</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color="090000" w:fill="FFFFFF"/>
        </w:rPr>
        <w:t>七、</w:t>
      </w:r>
      <w:r>
        <w:rPr>
          <w:rFonts w:hint="default" w:ascii="Times New Roman" w:hAnsi="Times New Roman" w:eastAsia="黑体" w:cs="Times New Roman"/>
          <w:sz w:val="32"/>
          <w:szCs w:val="32"/>
        </w:rPr>
        <w:t>政府采购支出说明</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color="090000"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color="090000" w:fill="FFFFFF"/>
        </w:rPr>
        <w:t>八、</w:t>
      </w:r>
      <w:r>
        <w:rPr>
          <w:rFonts w:hint="default" w:ascii="Times New Roman" w:hAnsi="Times New Roman" w:eastAsia="黑体" w:cs="Times New Roman"/>
          <w:sz w:val="32"/>
          <w:szCs w:val="32"/>
        </w:rPr>
        <w:t>国有资产占用情况说明</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年12月31日，1共有车辆本单位辆，比上年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用车0辆，机要通信用车0辆，应急保障用车0辆，执法执勤用车0辆，特种专业技术用车0辆，离退休干部用车0辆，其他用车1辆。单位价值100万元（含）以上设备（不含车辆）0台（套）。</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18907.09</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组织对202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国有企业退休人员社会化管理补助支出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63.84</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pPr>
        <w:adjustRightInd w:val="0"/>
        <w:snapToGrid w:val="0"/>
        <w:spacing w:line="580" w:lineRule="exact"/>
        <w:ind w:firstLine="660" w:firstLineChars="200"/>
        <w:rPr>
          <w:rFonts w:ascii="仿宋_GB2312" w:hAnsi="仿宋_GB2312" w:eastAsia="仿宋_GB2312" w:cs="仿宋_GB2312"/>
          <w:sz w:val="32"/>
          <w:szCs w:val="32"/>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eastAsia"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w:t>
      </w:r>
      <w:r>
        <w:rPr>
          <w:rFonts w:hint="eastAsia" w:ascii="仿宋_GB2312" w:hAnsi="仿宋_GB2312" w:eastAsia="仿宋_GB2312" w:cs="仿宋_GB2312"/>
          <w:sz w:val="32"/>
          <w:szCs w:val="32"/>
          <w:lang w:eastAsia="zh-CN"/>
        </w:rPr>
        <w:t>反映提前下达</w:t>
      </w:r>
      <w:r>
        <w:rPr>
          <w:rFonts w:hint="eastAsia" w:ascii="仿宋_GB2312" w:hAnsi="仿宋_GB2312" w:eastAsia="仿宋_GB2312" w:cs="仿宋_GB2312"/>
          <w:sz w:val="32"/>
          <w:szCs w:val="32"/>
          <w:lang w:val="en-US" w:eastAsia="zh-CN"/>
        </w:rPr>
        <w:t>2023年省级城乡居民基本养老保险补助资金</w:t>
      </w:r>
      <w:r>
        <w:rPr>
          <w:rFonts w:hint="eastAsia" w:ascii="仿宋_GB2312" w:hAnsi="仿宋_GB2312" w:eastAsia="仿宋_GB2312" w:cs="仿宋_GB2312"/>
          <w:sz w:val="32"/>
          <w:szCs w:val="32"/>
        </w:rPr>
        <w:t>项目绩效自评结果。</w:t>
      </w:r>
    </w:p>
    <w:p>
      <w:pPr>
        <w:numPr>
          <w:numId w:val="0"/>
        </w:num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提前下达</w:t>
      </w:r>
      <w:r>
        <w:rPr>
          <w:rFonts w:hint="eastAsia" w:ascii="仿宋_GB2312" w:hAnsi="仿宋_GB2312" w:eastAsia="仿宋_GB2312" w:cs="仿宋_GB2312"/>
          <w:sz w:val="32"/>
          <w:szCs w:val="32"/>
          <w:lang w:val="en-US" w:eastAsia="zh-CN"/>
        </w:rPr>
        <w:t>2023年省级城乡居民基本养老保险补助资金</w:t>
      </w:r>
      <w:r>
        <w:rPr>
          <w:rFonts w:hint="eastAsia" w:ascii="仿宋_GB2312" w:hAnsi="仿宋_GB2312" w:eastAsia="仿宋_GB2312" w:cs="仿宋_GB2312"/>
          <w:sz w:val="32"/>
          <w:szCs w:val="32"/>
        </w:rPr>
        <w:t>项目</w:t>
      </w:r>
      <w:r>
        <w:rPr>
          <w:rFonts w:hint="default" w:ascii="Times New Roman" w:hAnsi="Times New Roman" w:eastAsia="仿宋_GB2312" w:cs="Times New Roman"/>
          <w:color w:val="auto"/>
          <w:kern w:val="2"/>
          <w:sz w:val="32"/>
          <w:szCs w:val="32"/>
          <w:lang w:val="zh-CN" w:eastAsia="zh-CN" w:bidi="ar-SA"/>
        </w:rPr>
        <w:t>自评情况</w:t>
      </w:r>
      <w:r>
        <w:rPr>
          <w:rFonts w:hint="eastAsia" w:ascii="仿宋_GB2312" w:hAnsi="仿宋_GB2312" w:eastAsia="仿宋_GB2312" w:cs="仿宋_GB2312"/>
          <w:sz w:val="32"/>
          <w:szCs w:val="32"/>
        </w:rPr>
        <w:t>：根据年初设定的绩效目标，202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省级城乡居民基本养老保险补助资金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。项目绩效目标完成情况：通过项目实施，完成了年初设定的各项绩效目标，</w:t>
      </w:r>
      <w:r>
        <w:rPr>
          <w:rFonts w:hint="eastAsia" w:ascii="仿宋_GB2312" w:hAnsi="仿宋_GB2312" w:eastAsia="仿宋_GB2312" w:cs="仿宋_GB2312"/>
          <w:sz w:val="32"/>
          <w:szCs w:val="32"/>
          <w:lang w:eastAsia="zh-CN"/>
        </w:rPr>
        <w:t>及时拨付财政下达资金，保障群众切身利益，</w:t>
      </w:r>
      <w:r>
        <w:rPr>
          <w:rFonts w:hint="eastAsia" w:ascii="仿宋_GB2312" w:hAnsi="仿宋_GB2312" w:eastAsia="仿宋_GB2312" w:cs="仿宋_GB2312"/>
          <w:sz w:val="32"/>
          <w:szCs w:val="32"/>
        </w:rPr>
        <w:t>未发现问题</w:t>
      </w:r>
      <w:r>
        <w:rPr>
          <w:rFonts w:hint="eastAsia" w:ascii="仿宋_GB2312" w:hAnsi="仿宋_GB2312" w:eastAsia="仿宋_GB2312" w:cs="仿宋_GB2312"/>
          <w:sz w:val="32"/>
          <w:szCs w:val="32"/>
          <w:lang w:eastAsia="zh-CN"/>
        </w:rPr>
        <w:t>。</w:t>
      </w:r>
    </w:p>
    <w:tbl>
      <w:tblPr>
        <w:tblpPr w:leftFromText="180" w:rightFromText="180" w:vertAnchor="text" w:horzAnchor="page" w:tblpX="800" w:tblpY="-578"/>
        <w:tblOverlap w:val="never"/>
        <w:tblW w:w="10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960"/>
        <w:gridCol w:w="942"/>
        <w:gridCol w:w="960"/>
        <w:gridCol w:w="994"/>
        <w:gridCol w:w="595"/>
        <w:gridCol w:w="400"/>
        <w:gridCol w:w="1767"/>
        <w:gridCol w:w="487"/>
        <w:gridCol w:w="363"/>
        <w:gridCol w:w="1848"/>
        <w:gridCol w:w="1330"/>
      </w:tblGrid>
      <w:tr>
        <w:trPr>
          <w:trHeight w:val="420" w:hRule="atLeast"/>
        </w:trPr>
        <w:tc>
          <w:tcPr>
            <w:tcW w:w="10646" w:type="dxa"/>
            <w:gridSpan w:val="11"/>
            <w:vAlign w:val="center"/>
          </w:tcPr>
          <w:p>
            <w:pPr>
              <w:widowControl/>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rPr>
              <w:t>县级</w:t>
            </w:r>
            <w:r>
              <w:rPr>
                <w:rFonts w:hint="eastAsia" w:ascii="方正小标宋_GBK" w:hAnsi="方正小标宋_GBK" w:eastAsia="方正小标宋_GBK" w:cs="方正小标宋_GBK"/>
                <w:i w:val="0"/>
                <w:color w:val="000000"/>
                <w:kern w:val="0"/>
                <w:sz w:val="40"/>
                <w:szCs w:val="40"/>
                <w:u w:val="none"/>
                <w:lang w:val="en-US" w:eastAsia="zh-CN"/>
              </w:rPr>
              <w:t>单位</w:t>
            </w:r>
            <w:r>
              <w:rPr>
                <w:rFonts w:hint="default" w:ascii="方正小标宋_GBK" w:hAnsi="方正小标宋_GBK" w:eastAsia="方正小标宋_GBK" w:cs="方正小标宋_GBK"/>
                <w:i w:val="0"/>
                <w:color w:val="000000"/>
                <w:kern w:val="0"/>
                <w:sz w:val="40"/>
                <w:szCs w:val="40"/>
                <w:u w:val="none"/>
                <w:lang w:val="en-US" w:eastAsia="zh-CN"/>
              </w:rPr>
              <w:t>预算项目绩效自评表</w:t>
            </w:r>
          </w:p>
        </w:tc>
      </w:tr>
      <w:tr>
        <w:trPr>
          <w:trHeight w:val="241" w:hRule="atLeast"/>
        </w:trPr>
        <w:tc>
          <w:tcPr>
            <w:tcW w:w="10646" w:type="dxa"/>
            <w:gridSpan w:val="11"/>
            <w:vAlign w:val="bottom"/>
          </w:tcPr>
          <w:p>
            <w:pPr>
              <w:widowControl/>
              <w:jc w:val="center"/>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20223 年度）</w:t>
            </w:r>
          </w:p>
        </w:tc>
      </w:tr>
      <w:tr>
        <w:trPr>
          <w:trHeight w:val="271" w:hRule="atLeast"/>
        </w:trPr>
        <w:tc>
          <w:tcPr>
            <w:tcW w:w="2862" w:type="dxa"/>
            <w:gridSpan w:val="3"/>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填报单位：正定县社会保险中心</w:t>
            </w:r>
          </w:p>
        </w:tc>
        <w:tc>
          <w:tcPr>
            <w:tcW w:w="994" w:type="dxa"/>
            <w:vAlign w:val="center"/>
          </w:tcPr>
          <w:p>
            <w:pPr>
              <w:jc w:val="center"/>
              <w:rPr>
                <w:rFonts w:hint="eastAsia" w:ascii="宋体" w:hAnsi="宋体" w:eastAsia="宋体" w:cs="宋体"/>
                <w:i w:val="0"/>
                <w:color w:val="000000"/>
                <w:sz w:val="20"/>
                <w:szCs w:val="20"/>
                <w:u w:val="none"/>
              </w:rPr>
            </w:pPr>
          </w:p>
        </w:tc>
        <w:tc>
          <w:tcPr>
            <w:tcW w:w="595" w:type="dxa"/>
            <w:vAlign w:val="center"/>
          </w:tcPr>
          <w:p>
            <w:pPr>
              <w:jc w:val="center"/>
              <w:rPr>
                <w:rFonts w:hint="eastAsia" w:ascii="宋体" w:hAnsi="宋体" w:eastAsia="宋体" w:cs="宋体"/>
                <w:i w:val="0"/>
                <w:color w:val="000000"/>
                <w:sz w:val="20"/>
                <w:szCs w:val="20"/>
                <w:u w:val="none"/>
              </w:rPr>
            </w:pPr>
          </w:p>
        </w:tc>
        <w:tc>
          <w:tcPr>
            <w:tcW w:w="2654" w:type="dxa"/>
            <w:gridSpan w:val="3"/>
            <w:vAlign w:val="center"/>
          </w:tcPr>
          <w:p>
            <w:pPr>
              <w:jc w:val="center"/>
              <w:rPr>
                <w:rFonts w:hint="eastAsia" w:ascii="宋体" w:hAnsi="宋体" w:eastAsia="宋体" w:cs="宋体"/>
                <w:i w:val="0"/>
                <w:color w:val="000000"/>
                <w:sz w:val="20"/>
                <w:szCs w:val="20"/>
                <w:u w:val="none"/>
              </w:rPr>
            </w:pPr>
          </w:p>
        </w:tc>
        <w:tc>
          <w:tcPr>
            <w:tcW w:w="2211" w:type="dxa"/>
            <w:gridSpan w:val="2"/>
            <w:vAlign w:val="center"/>
          </w:tcPr>
          <w:p>
            <w:pPr>
              <w:jc w:val="center"/>
              <w:rPr>
                <w:rFonts w:hint="eastAsia" w:ascii="宋体" w:hAnsi="宋体" w:eastAsia="宋体" w:cs="宋体"/>
                <w:i w:val="0"/>
                <w:color w:val="000000"/>
                <w:sz w:val="20"/>
                <w:szCs w:val="20"/>
                <w:u w:val="none"/>
              </w:rPr>
            </w:pPr>
          </w:p>
        </w:tc>
        <w:tc>
          <w:tcPr>
            <w:tcW w:w="1330" w:type="dxa"/>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rPr>
          <w:trHeight w:val="450" w:hRule="atLeast"/>
        </w:trPr>
        <w:tc>
          <w:tcPr>
            <w:tcW w:w="960" w:type="dxa"/>
            <w:tcBorders>
              <w:top w:val="single" w:color="000000" w:sz="4" w:space="0"/>
              <w:left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Style w:val="23"/>
                <w:sz w:val="20"/>
                <w:szCs w:val="20"/>
                <w:lang w:val="en-US" w:eastAsia="zh-CN"/>
              </w:rPr>
              <w:t>一、</w:t>
            </w:r>
            <w:r>
              <w:rPr>
                <w:rFonts w:ascii="Calibri" w:hAnsi="Calibri" w:eastAsia="宋体" w:cs="Calibri"/>
                <w:i w:val="0"/>
                <w:color w:val="000000"/>
                <w:kern w:val="0"/>
                <w:sz w:val="20"/>
                <w:szCs w:val="20"/>
                <w:u w:val="none"/>
                <w:lang w:val="en-US" w:eastAsia="zh-CN"/>
              </w:rPr>
              <w:t xml:space="preserve"> </w:t>
            </w:r>
            <w:r>
              <w:rPr>
                <w:rStyle w:val="23"/>
                <w:sz w:val="20"/>
                <w:szCs w:val="20"/>
                <w:lang w:val="en-US" w:eastAsia="zh-CN"/>
              </w:rPr>
              <w:t>基本情况</w:t>
            </w:r>
          </w:p>
        </w:tc>
        <w:tc>
          <w:tcPr>
            <w:tcW w:w="9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项目名称</w:t>
            </w:r>
          </w:p>
        </w:tc>
        <w:tc>
          <w:tcPr>
            <w:tcW w:w="1954"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提前下达2023年省级城乡居民基本养老保险补助资金</w:t>
            </w:r>
          </w:p>
        </w:tc>
        <w:tc>
          <w:tcPr>
            <w:tcW w:w="59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实施(主管）单位</w:t>
            </w:r>
          </w:p>
        </w:tc>
        <w:tc>
          <w:tcPr>
            <w:tcW w:w="6195"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正定县人力资源</w:t>
            </w:r>
            <w:r>
              <w:rPr>
                <w:rFonts w:hint="eastAsia" w:ascii="宋体" w:hAnsi="宋体" w:cs="宋体"/>
                <w:i w:val="0"/>
                <w:color w:val="000000"/>
                <w:kern w:val="0"/>
                <w:sz w:val="20"/>
                <w:szCs w:val="20"/>
                <w:u w:val="none"/>
                <w:lang w:val="en-US" w:eastAsia="zh-CN"/>
              </w:rPr>
              <w:t>和</w:t>
            </w:r>
            <w:r>
              <w:rPr>
                <w:rFonts w:hint="eastAsia" w:ascii="宋体" w:hAnsi="宋体" w:eastAsia="宋体" w:cs="宋体"/>
                <w:i w:val="0"/>
                <w:color w:val="000000"/>
                <w:kern w:val="0"/>
                <w:sz w:val="20"/>
                <w:szCs w:val="20"/>
                <w:u w:val="none"/>
                <w:lang w:val="en-US" w:eastAsia="zh-CN"/>
              </w:rPr>
              <w:t>社会保障局</w:t>
            </w:r>
            <w:bookmarkStart w:id="0" w:name="_GoBack"/>
            <w:bookmarkEnd w:id="0"/>
          </w:p>
        </w:tc>
      </w:tr>
      <w:tr>
        <w:trPr>
          <w:trHeight w:val="286" w:hRule="atLeast"/>
        </w:trPr>
        <w:tc>
          <w:tcPr>
            <w:tcW w:w="96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二、预算执行情况</w:t>
            </w:r>
          </w:p>
        </w:tc>
        <w:tc>
          <w:tcPr>
            <w:tcW w:w="190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预算安排情况（调整后）</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资金到位情况</w:t>
            </w:r>
          </w:p>
        </w:tc>
        <w:tc>
          <w:tcPr>
            <w:tcW w:w="301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资金执行情况</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预算执行进度</w:t>
            </w:r>
          </w:p>
        </w:tc>
      </w:tr>
      <w:tr>
        <w:trPr>
          <w:trHeight w:val="286" w:hRule="atLeast"/>
        </w:trPr>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预算数：</w:t>
            </w:r>
          </w:p>
        </w:tc>
        <w:tc>
          <w:tcPr>
            <w:tcW w:w="96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w:t>
            </w:r>
          </w:p>
        </w:tc>
        <w:tc>
          <w:tcPr>
            <w:tcW w:w="99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到位数：</w:t>
            </w:r>
          </w:p>
        </w:tc>
        <w:tc>
          <w:tcPr>
            <w:tcW w:w="595"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w:t>
            </w: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执行数：</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default" w:ascii="Calibri" w:hAnsi="Calibri" w:eastAsia="宋体" w:cs="Calibri"/>
                <w:i w:val="0"/>
                <w:color w:val="000000"/>
                <w:sz w:val="24"/>
                <w:szCs w:val="24"/>
                <w:u w:val="none"/>
              </w:rPr>
            </w:pPr>
            <w:r>
              <w:rPr>
                <w:rFonts w:hint="eastAsia" w:ascii="宋体" w:hAnsi="宋体" w:eastAsia="宋体" w:cs="宋体"/>
                <w:i w:val="0"/>
                <w:color w:val="000000"/>
                <w:kern w:val="0"/>
                <w:sz w:val="20"/>
                <w:szCs w:val="20"/>
                <w:u w:val="none"/>
                <w:lang w:val="en-US" w:eastAsia="zh-CN"/>
              </w:rPr>
              <w:t>16</w:t>
            </w:r>
          </w:p>
        </w:tc>
        <w:tc>
          <w:tcPr>
            <w:tcW w:w="3178"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w:t>
            </w:r>
          </w:p>
        </w:tc>
      </w:tr>
      <w:tr>
        <w:trPr>
          <w:trHeight w:val="420" w:hRule="atLeast"/>
        </w:trPr>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其中：财政资金</w:t>
            </w:r>
          </w:p>
        </w:tc>
        <w:tc>
          <w:tcPr>
            <w:tcW w:w="96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w:t>
            </w:r>
          </w:p>
        </w:tc>
        <w:tc>
          <w:tcPr>
            <w:tcW w:w="994"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其中：财政资金</w:t>
            </w:r>
          </w:p>
        </w:tc>
        <w:tc>
          <w:tcPr>
            <w:tcW w:w="595"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w:t>
            </w: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其中：财政资金</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w:t>
            </w:r>
          </w:p>
        </w:tc>
        <w:tc>
          <w:tcPr>
            <w:tcW w:w="3178"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r>
      <w:tr>
        <w:trPr>
          <w:trHeight w:val="286" w:hRule="atLeast"/>
        </w:trPr>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其他</w:t>
            </w:r>
          </w:p>
        </w:tc>
        <w:tc>
          <w:tcPr>
            <w:tcW w:w="960" w:type="dxa"/>
            <w:tcBorders>
              <w:top w:val="single" w:color="000000" w:sz="4" w:space="0"/>
              <w:left w:val="single" w:color="000000" w:sz="4" w:space="0"/>
              <w:bottom w:val="single" w:color="000000" w:sz="4" w:space="0"/>
              <w:right w:val="single" w:color="000000" w:sz="4" w:space="0"/>
            </w:tcBorders>
            <w:vAlign w:val="center"/>
          </w:tcPr>
          <w:p>
            <w:pPr>
              <w:rPr>
                <w:rFonts w:hint="default" w:ascii="Calibri" w:hAnsi="Calibri" w:eastAsia="宋体" w:cs="Calibri"/>
                <w:i w:val="0"/>
                <w:color w:val="000000"/>
                <w:sz w:val="24"/>
                <w:szCs w:val="24"/>
                <w:u w:val="none"/>
              </w:rPr>
            </w:pPr>
          </w:p>
        </w:tc>
        <w:tc>
          <w:tcPr>
            <w:tcW w:w="994"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其他</w:t>
            </w:r>
          </w:p>
        </w:tc>
        <w:tc>
          <w:tcPr>
            <w:tcW w:w="595" w:type="dxa"/>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其他</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rPr>
                <w:rFonts w:hint="eastAsia" w:ascii="宋体" w:hAnsi="宋体" w:eastAsia="宋体" w:cs="宋体"/>
                <w:i w:val="0"/>
                <w:color w:val="000000"/>
                <w:sz w:val="20"/>
                <w:szCs w:val="20"/>
                <w:u w:val="none"/>
              </w:rPr>
            </w:pPr>
          </w:p>
        </w:tc>
        <w:tc>
          <w:tcPr>
            <w:tcW w:w="3178"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r>
      <w:tr>
        <w:trPr>
          <w:trHeight w:val="286" w:hRule="atLeast"/>
        </w:trPr>
        <w:tc>
          <w:tcPr>
            <w:tcW w:w="96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三、目标完成情况</w:t>
            </w:r>
          </w:p>
        </w:tc>
        <w:tc>
          <w:tcPr>
            <w:tcW w:w="289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年度预期目标</w:t>
            </w:r>
          </w:p>
        </w:tc>
        <w:tc>
          <w:tcPr>
            <w:tcW w:w="3612"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具体完成情况</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总体完成率</w:t>
            </w:r>
          </w:p>
        </w:tc>
      </w:tr>
      <w:tr>
        <w:trPr>
          <w:trHeight w:val="285" w:hRule="atLeast"/>
        </w:trPr>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289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保证城居保待遇</w:t>
            </w:r>
          </w:p>
        </w:tc>
        <w:tc>
          <w:tcPr>
            <w:tcW w:w="3612" w:type="dxa"/>
            <w:gridSpan w:val="5"/>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每月按时发放</w:t>
            </w:r>
          </w:p>
        </w:tc>
        <w:tc>
          <w:tcPr>
            <w:tcW w:w="3178"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w:t>
            </w:r>
          </w:p>
        </w:tc>
      </w:tr>
      <w:tr>
        <w:trPr>
          <w:trHeight w:val="60" w:hRule="atLeast"/>
        </w:trPr>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289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3612" w:type="dxa"/>
            <w:gridSpan w:val="5"/>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3178"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r>
      <w:tr>
        <w:trPr>
          <w:trHeight w:val="286" w:hRule="atLeast"/>
        </w:trPr>
        <w:tc>
          <w:tcPr>
            <w:tcW w:w="960"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Style w:val="23"/>
                <w:sz w:val="20"/>
                <w:szCs w:val="20"/>
                <w:lang w:val="en-US" w:eastAsia="zh-CN"/>
              </w:rPr>
              <w:t>四、</w:t>
            </w:r>
            <w:r>
              <w:rPr>
                <w:rFonts w:ascii="Calibri" w:hAnsi="Calibri" w:eastAsia="宋体" w:cs="Calibri"/>
                <w:i w:val="0"/>
                <w:color w:val="000000"/>
                <w:kern w:val="0"/>
                <w:sz w:val="20"/>
                <w:szCs w:val="20"/>
                <w:u w:val="none"/>
                <w:lang w:val="en-US" w:eastAsia="zh-CN"/>
              </w:rPr>
              <w:t xml:space="preserve"> </w:t>
            </w:r>
            <w:r>
              <w:rPr>
                <w:rStyle w:val="23"/>
                <w:sz w:val="20"/>
                <w:szCs w:val="20"/>
                <w:lang w:val="en-US" w:eastAsia="zh-CN"/>
              </w:rPr>
              <w:t>年度绩效指标完成情况</w:t>
            </w:r>
          </w:p>
        </w:tc>
        <w:tc>
          <w:tcPr>
            <w:tcW w:w="9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一级指标</w:t>
            </w:r>
          </w:p>
        </w:tc>
        <w:tc>
          <w:tcPr>
            <w:tcW w:w="96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二级指标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三级指标</w:t>
            </w: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预期指标值</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实际完成值</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自评得分</w:t>
            </w:r>
          </w:p>
        </w:tc>
      </w:tr>
      <w:tr>
        <w:trPr>
          <w:trHeight w:val="30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产出指标（50）</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数量指标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发放补助人数</w:t>
            </w:r>
          </w:p>
        </w:tc>
        <w:tc>
          <w:tcPr>
            <w:tcW w:w="2167" w:type="dxa"/>
            <w:gridSpan w:val="2"/>
            <w:vAlign w:val="top"/>
          </w:tcPr>
          <w:p>
            <w:pPr>
              <w:widowControl/>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实发人数占应发人数≥90%</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rPr>
              <w:t>100%</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iCs w:val="0"/>
                <w:color w:val="000000"/>
                <w:kern w:val="0"/>
                <w:sz w:val="16"/>
                <w:szCs w:val="16"/>
                <w:u w:val="none"/>
                <w:lang w:val="en-US" w:eastAsia="zh-CN"/>
              </w:rPr>
              <w:t>20</w:t>
            </w:r>
          </w:p>
        </w:tc>
      </w:tr>
      <w:tr>
        <w:trPr>
          <w:trHeight w:val="21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0"/>
                <w:szCs w:val="20"/>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r>
      <w:tr>
        <w:trPr>
          <w:trHeight w:val="30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质量指标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补助资金发放完成率</w:t>
            </w:r>
          </w:p>
        </w:tc>
        <w:tc>
          <w:tcPr>
            <w:tcW w:w="2167" w:type="dxa"/>
            <w:gridSpan w:val="2"/>
            <w:vAlign w:val="top"/>
          </w:tcPr>
          <w:p>
            <w:pPr>
              <w:widowControl/>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补助资金发放完成率（</w:t>
            </w:r>
            <w:r>
              <w:rPr>
                <w:rFonts w:ascii="Calibri" w:hAnsi="Calibri" w:eastAsia="宋体" w:cs="Calibri"/>
                <w:i w:val="0"/>
                <w:color w:val="000000"/>
                <w:kern w:val="0"/>
                <w:sz w:val="20"/>
                <w:szCs w:val="20"/>
                <w:u w:val="none"/>
                <w:lang w:val="en-US" w:eastAsia="zh-CN"/>
              </w:rPr>
              <w:t>%</w:t>
            </w:r>
            <w:r>
              <w:rPr>
                <w:rFonts w:hint="eastAsia" w:ascii="宋体" w:hAnsi="宋体" w:eastAsia="宋体" w:cs="宋体"/>
                <w:i w:val="0"/>
                <w:color w:val="000000"/>
                <w:kern w:val="0"/>
                <w:sz w:val="20"/>
                <w:szCs w:val="20"/>
                <w:u w:val="none"/>
                <w:lang w:val="en-US" w:eastAsia="zh-CN"/>
              </w:rPr>
              <w:t>）≥90%</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rPr>
              <w:t>100%</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iCs w:val="0"/>
                <w:color w:val="000000"/>
                <w:kern w:val="0"/>
                <w:sz w:val="21"/>
                <w:szCs w:val="21"/>
                <w:u w:val="none"/>
                <w:lang w:val="en-US" w:eastAsia="zh-CN"/>
              </w:rPr>
              <w:t>20</w:t>
            </w:r>
          </w:p>
        </w:tc>
      </w:tr>
      <w:tr>
        <w:trPr>
          <w:trHeight w:val="24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0"/>
                <w:szCs w:val="20"/>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r>
      <w:tr>
        <w:trPr>
          <w:trHeight w:val="30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时效指标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发放及时性</w:t>
            </w:r>
          </w:p>
        </w:tc>
        <w:tc>
          <w:tcPr>
            <w:tcW w:w="2167" w:type="dxa"/>
            <w:gridSpan w:val="2"/>
            <w:vAlign w:val="top"/>
          </w:tcPr>
          <w:p>
            <w:pPr>
              <w:widowControl/>
              <w:jc w:val="center"/>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发放及时性</w:t>
            </w:r>
            <w:r>
              <w:rPr>
                <w:rFonts w:ascii="Calibri" w:hAnsi="Calibri" w:eastAsia="宋体" w:cs="Calibri"/>
                <w:i w:val="0"/>
                <w:color w:val="000000"/>
                <w:kern w:val="0"/>
                <w:sz w:val="20"/>
                <w:szCs w:val="20"/>
                <w:u w:val="none"/>
                <w:lang w:val="en-US" w:eastAsia="zh-CN"/>
              </w:rPr>
              <w:t>≥</w:t>
            </w:r>
            <w:r>
              <w:rPr>
                <w:rFonts w:hint="eastAsia" w:ascii="宋体" w:hAnsi="宋体" w:eastAsia="宋体" w:cs="宋体"/>
                <w:i w:val="0"/>
                <w:color w:val="000000"/>
                <w:kern w:val="0"/>
                <w:sz w:val="20"/>
                <w:szCs w:val="20"/>
                <w:u w:val="none"/>
                <w:lang w:val="en-US" w:eastAsia="zh-CN"/>
              </w:rPr>
              <w:t>90%</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rPr>
              <w:t>100%</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iCs w:val="0"/>
                <w:color w:val="000000"/>
                <w:kern w:val="0"/>
                <w:sz w:val="21"/>
                <w:szCs w:val="21"/>
                <w:u w:val="none"/>
                <w:lang w:val="en-US" w:eastAsia="zh-CN"/>
              </w:rPr>
              <w:t>20</w:t>
            </w:r>
          </w:p>
        </w:tc>
      </w:tr>
      <w:tr>
        <w:trPr>
          <w:trHeight w:val="18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0"/>
                <w:szCs w:val="20"/>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r>
      <w:tr>
        <w:trPr>
          <w:trHeight w:val="21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成本指标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按预算资金完成率</w:t>
            </w: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按预算资金完成率≥90%</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rPr>
              <w:t>100%</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r>
      <w:tr>
        <w:trPr>
          <w:trHeight w:val="19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0"/>
                <w:szCs w:val="20"/>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r>
      <w:tr>
        <w:trPr>
          <w:trHeight w:val="30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tcBorders>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预算执行率</w:t>
            </w:r>
          </w:p>
        </w:tc>
        <w:tc>
          <w:tcPr>
            <w:tcW w:w="1589" w:type="dxa"/>
            <w:gridSpan w:val="2"/>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15"/>
                <w:szCs w:val="15"/>
                <w:u w:val="none"/>
              </w:rPr>
            </w:pPr>
          </w:p>
        </w:tc>
        <w:tc>
          <w:tcPr>
            <w:tcW w:w="2167" w:type="dxa"/>
            <w:gridSpan w:val="2"/>
            <w:tcBorders>
              <w:top w:val="single" w:color="000000" w:sz="4" w:space="0"/>
              <w:left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850" w:type="dxa"/>
            <w:gridSpan w:val="2"/>
            <w:tcBorders>
              <w:top w:val="single" w:color="000000" w:sz="4" w:space="0"/>
              <w:left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iCs w:val="0"/>
                <w:color w:val="000000"/>
                <w:kern w:val="0"/>
                <w:sz w:val="21"/>
                <w:szCs w:val="21"/>
                <w:u w:val="none"/>
                <w:lang w:val="en-US" w:eastAsia="zh-CN"/>
              </w:rPr>
              <w:t>20</w:t>
            </w:r>
          </w:p>
        </w:tc>
      </w:tr>
      <w:tr>
        <w:trPr>
          <w:trHeight w:val="28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效益指标（50）</w:t>
            </w:r>
          </w:p>
        </w:tc>
        <w:tc>
          <w:tcPr>
            <w:tcW w:w="96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经济效益指标</w:t>
            </w:r>
          </w:p>
        </w:tc>
        <w:tc>
          <w:tcPr>
            <w:tcW w:w="1589" w:type="dxa"/>
            <w:gridSpan w:val="2"/>
            <w:tcBorders>
              <w:top w:val="single" w:color="000000" w:sz="4" w:space="0"/>
              <w:left w:val="single" w:color="000000" w:sz="4" w:space="0"/>
              <w:bottom w:val="single" w:color="000000" w:sz="4" w:space="0"/>
              <w:right w:val="single" w:color="000000" w:sz="4" w:space="0"/>
            </w:tcBorders>
            <w:vAlign w:val="bottom"/>
          </w:tcPr>
          <w:p>
            <w:pPr>
              <w:jc w:val="center"/>
              <w:rPr>
                <w:rFonts w:hint="eastAsia" w:ascii="宋体" w:hAnsi="宋体" w:eastAsia="宋体" w:cs="宋体"/>
                <w:i w:val="0"/>
                <w:color w:val="000000"/>
                <w:sz w:val="28"/>
                <w:szCs w:val="28"/>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bottom"/>
          </w:tcPr>
          <w:p>
            <w:pPr>
              <w:rPr>
                <w:rFonts w:hint="eastAsia" w:ascii="宋体" w:hAnsi="宋体" w:eastAsia="宋体" w:cs="宋体"/>
                <w:i w:val="0"/>
                <w:color w:val="000000"/>
                <w:sz w:val="28"/>
                <w:szCs w:val="28"/>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bottom"/>
          </w:tcPr>
          <w:p>
            <w:pPr>
              <w:rPr>
                <w:rFonts w:hint="eastAsia" w:ascii="宋体" w:hAnsi="宋体" w:eastAsia="宋体" w:cs="宋体"/>
                <w:i w:val="0"/>
                <w:color w:val="000000"/>
                <w:sz w:val="28"/>
                <w:szCs w:val="28"/>
                <w:u w:val="none"/>
              </w:rPr>
            </w:pPr>
          </w:p>
        </w:tc>
        <w:tc>
          <w:tcPr>
            <w:tcW w:w="3178" w:type="dxa"/>
            <w:gridSpan w:val="2"/>
            <w:tcBorders>
              <w:top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r>
      <w:tr>
        <w:trPr>
          <w:trHeight w:val="19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15"/>
                <w:szCs w:val="15"/>
                <w:u w:val="none"/>
              </w:rPr>
            </w:pPr>
          </w:p>
        </w:tc>
        <w:tc>
          <w:tcPr>
            <w:tcW w:w="2167" w:type="dxa"/>
            <w:gridSpan w:val="2"/>
            <w:tcBorders>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850" w:type="dxa"/>
            <w:gridSpan w:val="2"/>
            <w:tcBorders>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15"/>
                <w:szCs w:val="15"/>
                <w:u w:val="none"/>
              </w:rPr>
            </w:pPr>
          </w:p>
        </w:tc>
      </w:tr>
      <w:tr>
        <w:trPr>
          <w:trHeight w:val="28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社会效益指标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rPr>
              <w:t>服务的改善与提升</w:t>
            </w: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不断提升服务水平</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rPr>
              <w:t>提高</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iCs w:val="0"/>
                <w:color w:val="000000"/>
                <w:kern w:val="0"/>
                <w:sz w:val="21"/>
                <w:szCs w:val="21"/>
                <w:u w:val="none"/>
                <w:lang w:val="en-US" w:eastAsia="zh-CN"/>
              </w:rPr>
              <w:t>10</w:t>
            </w:r>
          </w:p>
        </w:tc>
      </w:tr>
      <w:tr>
        <w:trPr>
          <w:trHeight w:val="18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r>
      <w:tr>
        <w:trPr>
          <w:trHeight w:val="28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生态效益指标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r>
      <w:tr>
        <w:trPr>
          <w:trHeight w:val="18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r>
      <w:tr>
        <w:trPr>
          <w:trHeight w:val="28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可持续影响指标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r>
      <w:tr>
        <w:trPr>
          <w:trHeight w:val="15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r>
      <w:tr>
        <w:trPr>
          <w:trHeight w:val="28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满意度指标</w:t>
            </w:r>
          </w:p>
        </w:tc>
        <w:tc>
          <w:tcPr>
            <w:tcW w:w="1589"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服务满意度</w:t>
            </w:r>
          </w:p>
        </w:tc>
        <w:tc>
          <w:tcPr>
            <w:tcW w:w="216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服务满意度≥90%</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Calibri" w:hAnsi="Calibri" w:eastAsia="宋体" w:cs="Calibri"/>
                <w:i w:val="0"/>
                <w:color w:val="000000"/>
                <w:sz w:val="15"/>
                <w:szCs w:val="15"/>
                <w:u w:val="none"/>
              </w:rPr>
            </w:pPr>
            <w:r>
              <w:rPr>
                <w:rFonts w:hint="default" w:ascii="Calibri" w:hAnsi="Calibri" w:eastAsia="宋体" w:cs="Calibri"/>
                <w:i w:val="0"/>
                <w:color w:val="000000"/>
                <w:kern w:val="0"/>
                <w:sz w:val="15"/>
                <w:szCs w:val="15"/>
                <w:u w:val="none"/>
                <w:lang w:val="en-US" w:eastAsia="zh-CN"/>
              </w:rPr>
              <w:t>100%</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Calibri" w:hAnsi="Calibri" w:eastAsia="宋体" w:cs="Calibri"/>
                <w:i w:val="0"/>
                <w:color w:val="000000"/>
                <w:sz w:val="24"/>
                <w:szCs w:val="24"/>
                <w:u w:val="none"/>
                <w:lang w:val="en-US" w:eastAsia="zh-CN"/>
              </w:rPr>
            </w:pPr>
            <w:r>
              <w:rPr>
                <w:rFonts w:hint="eastAsia" w:ascii="Calibri" w:hAnsi="Calibri" w:eastAsia="宋体" w:cs="Calibri"/>
                <w:i w:val="0"/>
                <w:color w:val="000000"/>
                <w:sz w:val="24"/>
                <w:szCs w:val="24"/>
                <w:u w:val="none"/>
                <w:lang w:val="en-US" w:eastAsia="zh-CN"/>
              </w:rPr>
              <w:t>10</w:t>
            </w:r>
          </w:p>
        </w:tc>
      </w:tr>
      <w:tr>
        <w:trPr>
          <w:trHeight w:val="211"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942" w:type="dxa"/>
            <w:vMerge w:val="continue"/>
            <w:tcBorders>
              <w:top w:val="single" w:color="000000" w:sz="4" w:space="0"/>
              <w:left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960" w:type="dxa"/>
            <w:vMerge w:val="continue"/>
            <w:tcBorders>
              <w:top w:val="single" w:color="000000" w:sz="4" w:space="0"/>
              <w:bottom w:val="single" w:color="000000" w:sz="4" w:space="0"/>
              <w:right w:val="single" w:color="000000" w:sz="4" w:space="0"/>
            </w:tcBorders>
            <w:vAlign w:val="center"/>
          </w:tcPr>
          <w:p>
            <w:pPr>
              <w:jc w:val="center"/>
              <w:rPr>
                <w:rFonts w:hint="eastAsia" w:ascii="宋体" w:hAnsi="宋体" w:eastAsia="宋体" w:cs="宋体"/>
                <w:i w:val="0"/>
                <w:color w:val="000000"/>
                <w:sz w:val="20"/>
                <w:szCs w:val="20"/>
                <w:u w:val="none"/>
              </w:rPr>
            </w:pPr>
          </w:p>
        </w:tc>
        <w:tc>
          <w:tcPr>
            <w:tcW w:w="1589" w:type="dxa"/>
            <w:gridSpan w:val="2"/>
            <w:tcBorders>
              <w:top w:val="single" w:color="000000" w:sz="4" w:space="0"/>
              <w:left w:val="single" w:color="000000" w:sz="4" w:space="0"/>
              <w:right w:val="single" w:color="000000" w:sz="4" w:space="0"/>
            </w:tcBorders>
            <w:vAlign w:val="center"/>
          </w:tcPr>
          <w:p>
            <w:pPr>
              <w:jc w:val="left"/>
              <w:rPr>
                <w:rFonts w:hint="eastAsia" w:ascii="宋体" w:hAnsi="宋体" w:eastAsia="宋体" w:cs="宋体"/>
                <w:i w:val="0"/>
                <w:color w:val="000000"/>
                <w:sz w:val="20"/>
                <w:szCs w:val="20"/>
                <w:u w:val="none"/>
              </w:rPr>
            </w:pPr>
          </w:p>
        </w:tc>
        <w:tc>
          <w:tcPr>
            <w:tcW w:w="2167" w:type="dxa"/>
            <w:gridSpan w:val="2"/>
            <w:tcBorders>
              <w:top w:val="single" w:color="000000" w:sz="4" w:space="0"/>
              <w:left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850" w:type="dxa"/>
            <w:gridSpan w:val="2"/>
            <w:tcBorders>
              <w:top w:val="single" w:color="000000" w:sz="4" w:space="0"/>
              <w:left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c>
          <w:tcPr>
            <w:tcW w:w="3178" w:type="dxa"/>
            <w:gridSpan w:val="2"/>
            <w:tcBorders>
              <w:top w:val="single" w:color="000000" w:sz="4" w:space="0"/>
              <w:left w:val="single" w:color="000000" w:sz="4" w:space="0"/>
              <w:right w:val="single" w:color="000000" w:sz="4" w:space="0"/>
            </w:tcBorders>
            <w:vAlign w:val="center"/>
          </w:tcPr>
          <w:p>
            <w:pPr>
              <w:jc w:val="center"/>
              <w:rPr>
                <w:rFonts w:hint="default" w:ascii="Calibri" w:hAnsi="Calibri" w:eastAsia="宋体" w:cs="Calibri"/>
                <w:i w:val="0"/>
                <w:color w:val="000000"/>
                <w:sz w:val="24"/>
                <w:szCs w:val="24"/>
                <w:u w:val="none"/>
              </w:rPr>
            </w:pPr>
          </w:p>
        </w:tc>
      </w:tr>
      <w:tr>
        <w:trPr>
          <w:trHeight w:val="196" w:hRule="atLeast"/>
        </w:trPr>
        <w:tc>
          <w:tcPr>
            <w:tcW w:w="960" w:type="dxa"/>
            <w:vMerge w:val="continue"/>
            <w:tcBorders>
              <w:top w:val="single" w:color="000000" w:sz="4" w:space="0"/>
              <w:left w:val="single" w:color="000000" w:sz="4" w:space="0"/>
              <w:bottom w:val="single" w:color="000000" w:sz="4" w:space="0"/>
            </w:tcBorders>
            <w:vAlign w:val="center"/>
          </w:tcPr>
          <w:p>
            <w:pPr>
              <w:jc w:val="center"/>
              <w:rPr>
                <w:rFonts w:hint="eastAsia" w:ascii="宋体" w:hAnsi="宋体" w:eastAsia="宋体" w:cs="宋体"/>
                <w:i w:val="0"/>
                <w:color w:val="000000"/>
                <w:sz w:val="20"/>
                <w:szCs w:val="20"/>
                <w:u w:val="none"/>
              </w:rPr>
            </w:pPr>
          </w:p>
        </w:tc>
        <w:tc>
          <w:tcPr>
            <w:tcW w:w="6508" w:type="dxa"/>
            <w:gridSpan w:val="8"/>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总分</w:t>
            </w:r>
          </w:p>
        </w:tc>
        <w:tc>
          <w:tcPr>
            <w:tcW w:w="317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eastAsia" w:ascii="Calibri" w:hAnsi="Calibri" w:eastAsia="宋体" w:cs="Calibri"/>
                <w:i w:val="0"/>
                <w:color w:val="000000"/>
                <w:sz w:val="24"/>
                <w:szCs w:val="24"/>
                <w:u w:val="none"/>
                <w:lang w:val="en-US" w:eastAsia="zh-CN"/>
              </w:rPr>
            </w:pPr>
            <w:r>
              <w:rPr>
                <w:rFonts w:hint="eastAsia" w:ascii="Calibri" w:hAnsi="Calibri" w:eastAsia="宋体" w:cs="Calibri"/>
                <w:i w:val="0"/>
                <w:color w:val="000000"/>
                <w:sz w:val="24"/>
                <w:szCs w:val="24"/>
                <w:u w:val="none"/>
                <w:lang w:val="en-US" w:eastAsia="zh-CN"/>
              </w:rPr>
              <w:t>100</w:t>
            </w:r>
          </w:p>
        </w:tc>
      </w:tr>
      <w:tr>
        <w:trPr>
          <w:trHeight w:val="615" w:hRule="atLeast"/>
        </w:trPr>
        <w:tc>
          <w:tcPr>
            <w:tcW w:w="960"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rPr>
              <w:t>五、</w:t>
            </w:r>
            <w:r>
              <w:rPr>
                <w:rFonts w:ascii="Calibri" w:hAnsi="Calibri" w:eastAsia="宋体" w:cs="Calibri"/>
                <w:i w:val="0"/>
                <w:color w:val="000000"/>
                <w:kern w:val="0"/>
                <w:sz w:val="16"/>
                <w:szCs w:val="16"/>
                <w:u w:val="none"/>
                <w:lang w:val="en-US" w:eastAsia="zh-CN"/>
              </w:rPr>
              <w:t xml:space="preserve"> </w:t>
            </w:r>
            <w:r>
              <w:rPr>
                <w:rFonts w:hint="eastAsia" w:ascii="宋体" w:hAnsi="宋体" w:eastAsia="宋体" w:cs="宋体"/>
                <w:i w:val="0"/>
                <w:color w:val="000000"/>
                <w:kern w:val="0"/>
                <w:sz w:val="16"/>
                <w:szCs w:val="16"/>
                <w:u w:val="none"/>
                <w:lang w:val="en-US" w:eastAsia="zh-CN"/>
              </w:rPr>
              <w:t>存在问题、原因及下一步整改措施</w:t>
            </w:r>
          </w:p>
        </w:tc>
        <w:tc>
          <w:tcPr>
            <w:tcW w:w="9686" w:type="dxa"/>
            <w:gridSpan w:val="10"/>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rPr>
              <w:t>无</w:t>
            </w:r>
          </w:p>
        </w:tc>
      </w:tr>
      <w:tr>
        <w:trPr>
          <w:trHeight w:val="286" w:hRule="atLeast"/>
        </w:trPr>
        <w:tc>
          <w:tcPr>
            <w:tcW w:w="960" w:type="dxa"/>
            <w:vAlign w:val="center"/>
          </w:tcPr>
          <w:p>
            <w:pPr>
              <w:widowControl/>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rPr>
              <w:t>填报人：</w:t>
            </w:r>
          </w:p>
        </w:tc>
        <w:tc>
          <w:tcPr>
            <w:tcW w:w="942" w:type="dxa"/>
            <w:vAlign w:val="center"/>
          </w:tcPr>
          <w:p>
            <w:pPr>
              <w:widowControl/>
              <w:jc w:val="center"/>
              <w:textAlignment w:val="center"/>
              <w:rPr>
                <w:rFonts w:hint="eastAsia" w:ascii="宋体" w:hAnsi="宋体" w:eastAsia="宋体" w:cs="宋体"/>
                <w:i w:val="0"/>
                <w:color w:val="000000"/>
                <w:sz w:val="16"/>
                <w:szCs w:val="16"/>
                <w:u w:val="none"/>
              </w:rPr>
            </w:pPr>
          </w:p>
        </w:tc>
        <w:tc>
          <w:tcPr>
            <w:tcW w:w="960" w:type="dxa"/>
            <w:vAlign w:val="center"/>
          </w:tcPr>
          <w:p>
            <w:pPr>
              <w:jc w:val="center"/>
              <w:rPr>
                <w:rFonts w:hint="eastAsia" w:ascii="宋体" w:hAnsi="宋体" w:eastAsia="宋体" w:cs="宋体"/>
                <w:i w:val="0"/>
                <w:color w:val="000000"/>
                <w:sz w:val="16"/>
                <w:szCs w:val="16"/>
                <w:u w:val="none"/>
              </w:rPr>
            </w:pPr>
          </w:p>
        </w:tc>
        <w:tc>
          <w:tcPr>
            <w:tcW w:w="994" w:type="dxa"/>
            <w:vAlign w:val="center"/>
          </w:tcPr>
          <w:p>
            <w:pPr>
              <w:jc w:val="center"/>
              <w:rPr>
                <w:rFonts w:hint="eastAsia" w:ascii="宋体" w:hAnsi="宋体" w:eastAsia="宋体" w:cs="宋体"/>
                <w:i w:val="0"/>
                <w:color w:val="000000"/>
                <w:sz w:val="16"/>
                <w:szCs w:val="16"/>
                <w:u w:val="none"/>
              </w:rPr>
            </w:pPr>
          </w:p>
        </w:tc>
        <w:tc>
          <w:tcPr>
            <w:tcW w:w="995" w:type="dxa"/>
            <w:gridSpan w:val="2"/>
            <w:vAlign w:val="center"/>
          </w:tcPr>
          <w:p>
            <w:pPr>
              <w:jc w:val="center"/>
              <w:rPr>
                <w:rFonts w:hint="eastAsia" w:ascii="宋体" w:hAnsi="宋体" w:eastAsia="宋体" w:cs="宋体"/>
                <w:i w:val="0"/>
                <w:color w:val="000000"/>
                <w:sz w:val="16"/>
                <w:szCs w:val="16"/>
                <w:u w:val="none"/>
              </w:rPr>
            </w:pPr>
          </w:p>
        </w:tc>
        <w:tc>
          <w:tcPr>
            <w:tcW w:w="2254" w:type="dxa"/>
            <w:gridSpan w:val="2"/>
            <w:vAlign w:val="center"/>
          </w:tcPr>
          <w:p>
            <w:pPr>
              <w:jc w:val="center"/>
              <w:rPr>
                <w:rFonts w:hint="eastAsia" w:ascii="宋体" w:hAnsi="宋体" w:eastAsia="宋体" w:cs="宋体"/>
                <w:i w:val="0"/>
                <w:color w:val="000000"/>
                <w:sz w:val="16"/>
                <w:szCs w:val="16"/>
                <w:u w:val="none"/>
              </w:rPr>
            </w:pPr>
          </w:p>
        </w:tc>
        <w:tc>
          <w:tcPr>
            <w:tcW w:w="2211" w:type="dxa"/>
            <w:gridSpan w:val="2"/>
            <w:vAlign w:val="center"/>
          </w:tcPr>
          <w:p>
            <w:pPr>
              <w:widowControl/>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rPr>
              <w:t>联系电话：</w:t>
            </w:r>
          </w:p>
        </w:tc>
        <w:tc>
          <w:tcPr>
            <w:tcW w:w="1330" w:type="dxa"/>
            <w:vAlign w:val="center"/>
          </w:tcPr>
          <w:p>
            <w:pPr>
              <w:widowControl/>
              <w:jc w:val="center"/>
              <w:textAlignment w:val="center"/>
              <w:rPr>
                <w:rFonts w:hint="eastAsia" w:ascii="宋体" w:hAnsi="宋体" w:eastAsia="宋体" w:cs="宋体"/>
                <w:i w:val="0"/>
                <w:color w:val="000000"/>
                <w:sz w:val="16"/>
                <w:szCs w:val="16"/>
                <w:u w:val="none"/>
              </w:rPr>
            </w:pPr>
          </w:p>
        </w:tc>
      </w:tr>
    </w:tbl>
    <w:p>
      <w:pPr>
        <w:numPr>
          <w:numId w:val="0"/>
        </w:numPr>
        <w:adjustRightInd w:val="0"/>
        <w:snapToGrid w:val="0"/>
        <w:spacing w:line="580" w:lineRule="exact"/>
        <w:ind w:firstLine="320" w:firstLineChars="100"/>
        <w:rPr>
          <w:rFonts w:hint="eastAsia" w:ascii="仿宋_GB2312" w:hAnsi="仿宋_GB2312" w:eastAsia="仿宋_GB2312" w:cs="仿宋_GB2312"/>
          <w:sz w:val="32"/>
          <w:szCs w:val="32"/>
          <w:lang w:eastAsia="zh-CN"/>
        </w:rPr>
      </w:pPr>
    </w:p>
    <w:p>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pPr>
        <w:numPr>
          <w:numId w:val="0"/>
        </w:numPr>
        <w:adjustRightInd w:val="0"/>
        <w:snapToGrid w:val="0"/>
        <w:spacing w:line="580" w:lineRule="exact"/>
        <w:ind w:leftChars="300"/>
        <w:rPr>
          <w:rFonts w:hint="eastAsia"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无</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default" w:ascii="Times New Roman" w:hAnsi="Times New Roman" w:eastAsia="仿宋_GB2312" w:cs="Times New Roman"/>
          <w:sz w:val="32"/>
          <w:szCs w:val="32"/>
        </w:rPr>
        <w:t>1. 本部门2023年度</w:t>
      </w:r>
      <w:r>
        <w:rPr>
          <w:rFonts w:hint="eastAsia" w:ascii="仿宋_GB2312" w:hAnsi="仿宋_GB2312" w:eastAsia="仿宋_GB2312" w:cs="仿宋_GB2312"/>
          <w:sz w:val="32"/>
          <w:szCs w:val="32"/>
        </w:rPr>
        <w:t>政府性基金预算</w:t>
      </w:r>
      <w:r>
        <w:rPr>
          <w:rFonts w:hint="eastAsia" w:ascii="仿宋_GB2312" w:hAnsi="Times New Roman" w:eastAsia="仿宋_GB2312" w:cs="DengXian-Regular"/>
          <w:sz w:val="32"/>
          <w:szCs w:val="32"/>
        </w:rPr>
        <w:t>无收支及结转结余情况，故</w:t>
      </w:r>
      <w:r>
        <w:rPr>
          <w:rFonts w:hint="eastAsia" w:ascii="仿宋_GB2312" w:hAnsi="仿宋_GB2312" w:eastAsia="仿宋_GB2312" w:cs="仿宋_GB2312"/>
          <w:sz w:val="32"/>
          <w:szCs w:val="32"/>
        </w:rPr>
        <w:t>政府性基金预算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sz w:val="44"/>
          <w:szCs w:val="44"/>
        </w:rPr>
      </w:pPr>
    </w:p>
    <w:p>
      <w:pPr>
        <w:widowControl/>
        <w:jc w:val="center"/>
        <w:rPr>
          <w:rFonts w:hint="default" w:ascii="Times New Roman" w:hAnsi="Times New Roman" w:eastAsia="黑体" w:cs="Times New Roman"/>
          <w:color w:val="000000"/>
          <w:sz w:val="44"/>
          <w:szCs w:val="44"/>
        </w:rPr>
      </w:pPr>
      <w:r>
        <w:rPr>
          <w:rFonts w:hint="default" w:ascii="Times New Roman" w:hAnsi="Times New Roman" w:eastAsia="黑体" w:cs="Times New Roman"/>
          <w:color w:val="000000"/>
          <w:sz w:val="44"/>
          <w:szCs w:val="44"/>
        </w:rPr>
        <w:t>第四部分 相关名词解释</w:t>
      </w:r>
    </w:p>
    <w:p>
      <w:pPr>
        <w:rPr>
          <w:rFonts w:hint="default" w:ascii="Times New Roman" w:hAnsi="Times New Roman" w:eastAsia="黑体" w:cs="Times New Roman"/>
          <w:color w:val="000000"/>
          <w:sz w:val="44"/>
          <w:szCs w:val="44"/>
        </w:rPr>
      </w:pPr>
      <w:r>
        <w:rPr>
          <w:rFonts w:hint="default" w:ascii="Times New Roman" w:hAnsi="Times New Roman" w:eastAsia="黑体" w:cs="Times New Roman"/>
          <w:color w:val="000000"/>
          <w:sz w:val="44"/>
          <w:szCs w:val="44"/>
        </w:rPr>
        <w:br w:type="page"/>
      </w:r>
    </w:p>
    <w:p>
      <w:pPr>
        <w:widowControl/>
        <w:jc w:val="center"/>
        <w:rPr>
          <w:rFonts w:hint="default" w:ascii="Times New Roman" w:hAnsi="Times New Roman" w:eastAsia="黑体" w:cs="Times New Roman"/>
          <w:color w:val="000000"/>
          <w:sz w:val="44"/>
          <w:szCs w:val="44"/>
        </w:rPr>
      </w:pP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6"/>
        <w:widowControl/>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color="090000" w:fill="FFFFFF"/>
        </w:rPr>
      </w:pPr>
    </w:p>
    <w:p>
      <w:pP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pPr>
    </w:p>
    <w:sectPr>
      <w:pgSz w:w="11906" w:h="16838"/>
      <w:pgMar w:top="1440" w:right="1800" w:bottom="1440" w:left="1800"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auto"/>
    <w:pitch w:val="default"/>
    <w:sig w:usb0="00000000" w:usb1="00000000" w:usb2="00000016" w:usb3="00000000" w:csb0="00060107"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auto"/>
    <w:pitch w:val="default"/>
    <w:sig w:usb0="E00002FF" w:usb1="400004FF" w:usb2="00000000" w:usb3="00000000" w:csb0="2000019F" w:csb1="00000000"/>
  </w:font>
  <w:font w:name="ArialUnicodeMS">
    <w:altName w:val="Times New Roman"/>
    <w:panose1 w:val="00000000000000000000"/>
    <w:charset w:val="81"/>
    <w:family w:val="auto"/>
    <w:pitch w:val="default"/>
    <w:sig w:usb0="00000000" w:usb1="00000000" w:usb2="00000010" w:usb3="00000000" w:csb0="00080001" w:csb1="00000000"/>
  </w:font>
  <w:font w:name="方正仿宋_GB2312">
    <w:altName w:val="仿宋"/>
    <w:panose1 w:val="02000000000000000000"/>
    <w:charset w:val="86"/>
    <w:family w:val="auto"/>
    <w:pitch w:val="default"/>
    <w:sig w:usb0="A00002BF" w:usb1="184F6CFA" w:usb2="00000012"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Malgun Gothic">
    <w:altName w:val="Times New Roman"/>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0">
    <w:nsid w:val="0000000A"/>
    <w:multiLevelType w:val="singleLevel"/>
    <w:tmpl w:val="0000000A"/>
    <w:lvl w:ilvl="0" w:tentative="1">
      <w:start w:val="3"/>
      <w:numFmt w:val="chineseCounting"/>
      <w:suff w:val="nothing"/>
      <w:lvlText w:val="（%1）"/>
      <w:lvlJc w:val="left"/>
    </w:lvl>
  </w:abstractNum>
  <w:abstractNum w:abstractNumId="11">
    <w:nsid w:val="0000000B"/>
    <w:multiLevelType w:val="multilevel"/>
    <w:tmpl w:val="0000000B"/>
    <w:lvl w:ilvl="0" w:tentative="1">
      <w:start w:val="1"/>
      <w:numFmt w:val="decimal"/>
      <w:pStyle w:val="2"/>
      <w:lvlText w:val="%1."/>
      <w:lvlJc w:val="left"/>
      <w:pPr>
        <w:ind w:left="425" w:hanging="425"/>
      </w:pPr>
      <w:rPr>
        <w:rFonts w:hint="default"/>
      </w:rPr>
    </w:lvl>
    <w:lvl w:ilvl="1" w:tentative="1">
      <w:start w:val="1"/>
      <w:numFmt w:val="decimal"/>
      <w:pStyle w:val="3"/>
      <w:lvlText w:val="%1.%2."/>
      <w:lvlJc w:val="left"/>
      <w:pPr>
        <w:ind w:left="567" w:hanging="567"/>
      </w:pPr>
      <w:rPr>
        <w:rFonts w:hint="default"/>
      </w:rPr>
    </w:lvl>
    <w:lvl w:ilvl="2" w:tentative="1">
      <w:start w:val="1"/>
      <w:numFmt w:val="decimal"/>
      <w:pStyle w:val="5"/>
      <w:lvlText w:val="%1.%2.%3."/>
      <w:lvlJc w:val="left"/>
      <w:pPr>
        <w:ind w:left="709" w:hanging="709"/>
      </w:pPr>
      <w:rPr>
        <w:rFonts w:hint="default"/>
      </w:rPr>
    </w:lvl>
    <w:lvl w:ilvl="3" w:tentative="1">
      <w:start w:val="1"/>
      <w:numFmt w:val="decimal"/>
      <w:pStyle w:val="6"/>
      <w:lvlText w:val="%1.%2.%3.%4."/>
      <w:lvlJc w:val="left"/>
      <w:pPr>
        <w:ind w:left="850" w:hanging="850"/>
      </w:pPr>
      <w:rPr>
        <w:rFonts w:hint="default"/>
      </w:rPr>
    </w:lvl>
    <w:lvl w:ilvl="4" w:tentative="1">
      <w:start w:val="1"/>
      <w:numFmt w:val="decimal"/>
      <w:lvlText w:val="%1.%2.%3.%4.%5."/>
      <w:lvlJc w:val="left"/>
      <w:pPr>
        <w:ind w:left="991" w:hanging="991"/>
      </w:pPr>
      <w:rPr>
        <w:rFonts w:hint="default"/>
      </w:rPr>
    </w:lvl>
    <w:lvl w:ilvl="5" w:tentative="1">
      <w:start w:val="1"/>
      <w:numFmt w:val="decimal"/>
      <w:lvlText w:val="%1.%2.%3.%4.%5.%6."/>
      <w:lvlJc w:val="left"/>
      <w:pPr>
        <w:ind w:left="1134" w:hanging="1134"/>
      </w:pPr>
      <w:rPr>
        <w:rFonts w:hint="default"/>
      </w:rPr>
    </w:lvl>
    <w:lvl w:ilvl="6" w:tentative="1">
      <w:start w:val="1"/>
      <w:numFmt w:val="decimal"/>
      <w:lvlText w:val="%1.%2.%3.%4.%5.%6.%7."/>
      <w:lvlJc w:val="left"/>
      <w:pPr>
        <w:ind w:left="1275" w:hanging="1275"/>
      </w:pPr>
      <w:rPr>
        <w:rFonts w:hint="default"/>
      </w:rPr>
    </w:lvl>
    <w:lvl w:ilvl="7" w:tentative="1">
      <w:start w:val="1"/>
      <w:numFmt w:val="decimal"/>
      <w:lvlText w:val="%1.%2.%3.%4.%5.%6.%7.%8."/>
      <w:lvlJc w:val="left"/>
      <w:pPr>
        <w:ind w:left="1418" w:hanging="1418"/>
      </w:pPr>
      <w:rPr>
        <w:rFonts w:hint="default"/>
      </w:rPr>
    </w:lvl>
    <w:lvl w:ilvl="8" w:tentative="1">
      <w:start w:val="1"/>
      <w:numFmt w:val="decimal"/>
      <w:lvlText w:val="%1.%2.%3.%4.%5.%6.%7.%8.%9."/>
      <w:lvlJc w:val="left"/>
      <w:pPr>
        <w:ind w:left="1558" w:hanging="1558"/>
      </w:pPr>
      <w:rPr>
        <w:rFonts w:hint="default"/>
      </w:rPr>
    </w:lvl>
  </w:abstractNum>
  <w:abstractNum w:abstractNumId="12">
    <w:nsid w:val="0000000C"/>
    <w:multiLevelType w:val="singleLevel"/>
    <w:tmpl w:val="0000000C"/>
    <w:lvl w:ilvl="0" w:tentative="1">
      <w:start w:val="4"/>
      <w:numFmt w:val="chineseCounting"/>
      <w:suff w:val="nothing"/>
      <w:lvlText w:val="（%1）"/>
      <w:lvlJc w:val="left"/>
      <w:rPr>
        <w:rFonts w:hint="eastAsia"/>
      </w:rPr>
    </w:lvl>
  </w:abstractNum>
  <w:num w:numId="1">
    <w:abstractNumId w:val="11"/>
  </w:num>
  <w:num w:numId="2">
    <w:abstractNumId w:val="12"/>
  </w:num>
  <w:num w:numId="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宋体"/>
      <w:color w:val="auto"/>
      <w:kern w:val="0"/>
      <w:sz w:val="24"/>
      <w:szCs w:val="24"/>
      <w:lang w:val="en-US" w:eastAsia="zh-CN" w:bidi="ar-SA"/>
    </w:rPr>
  </w:style>
  <w:style w:type="paragraph" w:styleId="2">
    <w:name w:val="heading 1"/>
    <w:basedOn w:val="1"/>
    <w:next w:val="1"/>
    <w:pPr>
      <w:keepNext/>
      <w:keepLines/>
      <w:numPr>
        <w:ilvl w:val="0"/>
        <w:numId w:val="1"/>
      </w:numPr>
      <w:adjustRightInd w:val="0"/>
      <w:snapToGrid w:val="0"/>
      <w:spacing w:before="34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4"/>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pPr>
      <w:keepNext/>
      <w:keepLines/>
      <w:numPr>
        <w:ilvl w:val="2"/>
        <w:numId w:val="1"/>
      </w:numPr>
      <w:spacing w:beforeLines="50" w:afterLines="50" w:line="416" w:lineRule="auto"/>
      <w:outlineLvl w:val="2"/>
    </w:pPr>
    <w:rPr>
      <w:rFonts w:ascii="宋体" w:hAnsi="宋体" w:eastAsia="宋体" w:cs="宋体"/>
      <w:b/>
      <w:bCs/>
      <w:sz w:val="32"/>
    </w:rPr>
  </w:style>
  <w:style w:type="paragraph" w:styleId="6">
    <w:name w:val="heading 4"/>
    <w:basedOn w:val="1"/>
    <w:next w:val="1"/>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0">
    <w:name w:val="Default Paragraph Font"/>
  </w:style>
  <w:style w:type="character" w:customStyle="1" w:styleId="4">
    <w:name w:val="标题 2 Char"/>
    <w:link w:val="3"/>
    <w:semiHidden/>
    <w:rPr>
      <w:rFonts w:ascii="Calibri Light" w:hAnsi="Calibri Light" w:eastAsia="宋体" w:cs="Times New Roman"/>
      <w:b/>
      <w:bCs/>
      <w:sz w:val="28"/>
      <w:szCs w:val="32"/>
    </w:rPr>
  </w:style>
  <w:style w:type="paragraph" w:styleId="7">
    <w:name w:val="annotation text"/>
    <w:basedOn w:val="1"/>
    <w:pPr>
      <w:jc w:val="left"/>
    </w:pPr>
  </w:style>
  <w:style w:type="paragraph" w:styleId="8">
    <w:name w:val="批注框文本"/>
    <w:basedOn w:val="1"/>
    <w:link w:val="9"/>
    <w:rPr>
      <w:rFonts w:ascii="Calibri" w:hAnsi="Calibri" w:eastAsia="宋体" w:cs="黑体"/>
      <w:sz w:val="18"/>
      <w:szCs w:val="18"/>
      <w:lang w:val="en-US" w:eastAsia="zh-CN" w:bidi="ar-SA"/>
    </w:rPr>
  </w:style>
  <w:style w:type="character" w:customStyle="1" w:styleId="9">
    <w:name w:val="批注框文本 Char"/>
    <w:basedOn w:val="10"/>
    <w:link w:val="8"/>
    <w:semiHidden/>
    <w:rPr>
      <w:rFonts w:ascii="Calibri" w:hAnsi="Calibri" w:eastAsia="宋体" w:cs="黑体"/>
      <w:sz w:val="18"/>
      <w:szCs w:val="18"/>
      <w:lang w:val="en-US" w:eastAsia="zh-CN" w:bidi="ar-SA"/>
    </w:rPr>
  </w:style>
  <w:style w:type="paragraph" w:styleId="11">
    <w:name w:val="footer"/>
    <w:basedOn w:val="1"/>
    <w:link w:val="12"/>
    <w:pPr>
      <w:tabs>
        <w:tab w:val="center" w:pos="4153"/>
        <w:tab w:val="right" w:pos="8306"/>
      </w:tabs>
      <w:snapToGrid w:val="0"/>
      <w:jc w:val="left"/>
    </w:pPr>
    <w:rPr>
      <w:rFonts w:ascii="Calibri" w:hAnsi="Calibri" w:eastAsia="宋体" w:cs="黑体"/>
      <w:sz w:val="18"/>
      <w:szCs w:val="18"/>
      <w:lang w:val="en-US" w:eastAsia="zh-CN" w:bidi="ar-SA"/>
    </w:rPr>
  </w:style>
  <w:style w:type="character" w:customStyle="1" w:styleId="12">
    <w:name w:val="页脚 Char"/>
    <w:basedOn w:val="10"/>
    <w:link w:val="11"/>
    <w:semiHidden/>
    <w:rPr>
      <w:rFonts w:ascii="Calibri" w:hAnsi="Calibri" w:eastAsia="宋体" w:cs="黑体"/>
      <w:sz w:val="18"/>
      <w:szCs w:val="18"/>
      <w:lang w:val="en-US" w:eastAsia="zh-CN" w:bidi="ar-SA"/>
    </w:rPr>
  </w:style>
  <w:style w:type="paragraph" w:styleId="13">
    <w:name w:val="header"/>
    <w:basedOn w:val="1"/>
    <w:link w:val="14"/>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ascii="Calibri" w:hAnsi="Calibri" w:eastAsia="宋体" w:cs="黑体"/>
      <w:sz w:val="18"/>
      <w:szCs w:val="18"/>
      <w:lang w:val="en-US" w:eastAsia="zh-CN" w:bidi="ar-SA"/>
    </w:rPr>
  </w:style>
  <w:style w:type="character" w:customStyle="1" w:styleId="14">
    <w:name w:val="页眉 Char"/>
    <w:basedOn w:val="10"/>
    <w:link w:val="13"/>
    <w:semiHidden/>
    <w:rPr>
      <w:rFonts w:ascii="Calibri" w:hAnsi="Calibri" w:eastAsia="宋体" w:cs="黑体"/>
      <w:sz w:val="18"/>
      <w:szCs w:val="18"/>
      <w:lang w:val="en-US" w:eastAsia="zh-CN" w:bidi="ar-SA"/>
    </w:rPr>
  </w:style>
  <w:style w:type="character" w:styleId="15">
    <w:name w:val="Strong"/>
    <w:basedOn w:val="10"/>
    <w:rPr>
      <w:b/>
    </w:rPr>
  </w:style>
  <w:style w:type="paragraph" w:customStyle="1" w:styleId="16">
    <w:name w:val="Normal (Web)"/>
    <w:basedOn w:val="1"/>
    <w:pPr>
      <w:spacing w:before="0" w:beforeAutospacing="1" w:after="0" w:afterAutospacing="1"/>
      <w:ind w:left="0" w:right="0"/>
      <w:jc w:val="left"/>
    </w:pPr>
    <w:rPr>
      <w:kern w:val="0"/>
      <w:sz w:val="24"/>
      <w:lang w:val="en-US" w:eastAsia="zh-CN"/>
    </w:rPr>
  </w:style>
  <w:style w:type="character" w:customStyle="1" w:styleId="17">
    <w:name w:val="font11"/>
    <w:basedOn w:val="10"/>
    <w:rPr>
      <w:rFonts w:hint="eastAsia" w:ascii="宋体" w:hAnsi="宋体" w:eastAsia="宋体" w:cs="宋体"/>
      <w:color w:val="000000"/>
      <w:sz w:val="20"/>
      <w:szCs w:val="20"/>
      <w:u w:val="none"/>
      <w:lang w:val="en-US" w:eastAsia="zh-CN" w:bidi="ar-SA"/>
    </w:rPr>
  </w:style>
  <w:style w:type="character" w:customStyle="1" w:styleId="18">
    <w:name w:val="font01"/>
    <w:basedOn w:val="10"/>
    <w:rPr>
      <w:rFonts w:hint="eastAsia" w:ascii="宋体" w:hAnsi="宋体" w:eastAsia="宋体" w:cs="宋体"/>
      <w:color w:val="000000"/>
      <w:sz w:val="22"/>
      <w:szCs w:val="22"/>
      <w:u w:val="none"/>
      <w:lang w:val="en-US" w:eastAsia="zh-CN" w:bidi="ar-SA"/>
    </w:rPr>
  </w:style>
  <w:style w:type="character" w:customStyle="1" w:styleId="19">
    <w:name w:val="font41"/>
    <w:basedOn w:val="10"/>
    <w:rPr>
      <w:rFonts w:hint="eastAsia" w:ascii="宋体" w:hAnsi="宋体" w:eastAsia="宋体" w:cs="宋体"/>
      <w:color w:val="000000"/>
      <w:sz w:val="24"/>
      <w:szCs w:val="24"/>
      <w:u w:val="none"/>
      <w:lang w:val="en-US" w:eastAsia="zh-CN" w:bidi="ar-SA"/>
    </w:rPr>
  </w:style>
  <w:style w:type="character" w:customStyle="1" w:styleId="20">
    <w:name w:val="font31"/>
    <w:basedOn w:val="10"/>
    <w:rPr>
      <w:rFonts w:hint="eastAsia" w:ascii="华文中宋" w:hAnsi="华文中宋" w:eastAsia="华文中宋" w:cs="华文中宋"/>
      <w:color w:val="000000"/>
      <w:sz w:val="32"/>
      <w:szCs w:val="32"/>
      <w:u w:val="none"/>
      <w:lang w:val="en-US" w:eastAsia="zh-CN" w:bidi="ar-SA"/>
    </w:rPr>
  </w:style>
  <w:style w:type="character" w:customStyle="1" w:styleId="21">
    <w:name w:val="font91"/>
    <w:basedOn w:val="10"/>
    <w:rPr>
      <w:rFonts w:hint="eastAsia" w:ascii="华文中宋" w:hAnsi="华文中宋" w:eastAsia="华文中宋" w:cs="华文中宋"/>
      <w:color w:val="000000"/>
      <w:sz w:val="32"/>
      <w:szCs w:val="32"/>
      <w:u w:val="none"/>
      <w:lang w:val="en-US" w:eastAsia="zh-CN" w:bidi="ar-SA"/>
    </w:rPr>
  </w:style>
  <w:style w:type="character" w:customStyle="1" w:styleId="22">
    <w:name w:val="font51"/>
    <w:basedOn w:val="10"/>
    <w:rPr>
      <w:rFonts w:hint="eastAsia" w:ascii="宋体" w:hAnsi="宋体" w:eastAsia="宋体" w:cs="宋体"/>
      <w:color w:val="000000"/>
      <w:sz w:val="24"/>
      <w:szCs w:val="24"/>
      <w:u w:val="none"/>
      <w:lang w:val="en-US" w:eastAsia="zh-CN" w:bidi="ar-SA"/>
    </w:rPr>
  </w:style>
  <w:style w:type="character" w:customStyle="1" w:styleId="23">
    <w:name w:val="font101"/>
    <w:basedOn w:val="1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eader" Target="header5.xml"/><Relationship Id="rId13" Type="http://schemas.openxmlformats.org/officeDocument/2006/relationships/theme" Target="theme/theme1.xml"/><Relationship Id="rId14" Type="http://schemas.openxmlformats.org/officeDocument/2006/relationships/image" Target="media/image1.jpeg"/><Relationship Id="rId15" Type="http://schemas.openxmlformats.org/officeDocument/2006/relationships/image" Target="media/image2.jpeg"/><Relationship Id="rId16" Type="http://schemas.openxmlformats.org/officeDocument/2006/relationships/image" Target="media/image3.jpeg"/><Relationship Id="rId17" Type="http://schemas.openxmlformats.org/officeDocument/2006/relationships/image" Target="media/image4.jpeg"/><Relationship Id="rId18" Type="http://schemas.openxmlformats.org/officeDocument/2006/relationships/image" Target="media/image5.png"/><Relationship Id="rId19" Type="http://schemas.openxmlformats.org/officeDocument/2006/relationships/customXml" Target="../customXml/item1.xml"/><Relationship Id="rId2" Type="http://schemas.openxmlformats.org/officeDocument/2006/relationships/styles" Target="styles.xml"/><Relationship Id="rId20"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eader" Target="header3.xml"/><Relationship Id="rId9"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Info spid="_x0000_s1038" textRotate="1"/>
    <customShpInfo spid="_x0000_s1039" textRotate="1"/>
    <customShpInfo spid="_x0000_s1040" textRotate="1"/>
    <customShpInfo spid="_x0000_s1041" textRotate="1"/>
    <customShpInfo spid="_x0000_s1043" textRotate="1"/>
    <customShpInfo spid="_x0000_s104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9675</Words>
  <Characters>12024</Characters>
  <Lines>86</Lines>
  <Paragraphs>24</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Printed>2023-08-04T09:00:00Z</cp:lastPrinted>
  <dcterms:modified xsi:type="dcterms:W3CDTF">2024-09-24T09:03:43Z</dcterms:modified>
  <dc:title>zplden</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