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10727.92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6177.00</w:t>
            </w: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6177.00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r>
              <w:t>10698.56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16904.92</w:t>
            </w:r>
          </w:p>
        </w:tc>
        <w:tc>
          <w:tcPr>
            <w:tcW w:w="4535" w:type="dxa"/>
            <w:vAlign w:val="center"/>
          </w:tcPr>
          <w:p>
            <w:pPr>
              <w:pStyle w:val="16"/>
            </w:pPr>
            <w:r>
              <w:t>本年支出合计</w:t>
            </w:r>
          </w:p>
        </w:tc>
        <w:tc>
          <w:tcPr>
            <w:tcW w:w="2126" w:type="dxa"/>
            <w:vAlign w:val="center"/>
          </w:tcPr>
          <w:p>
            <w:pPr>
              <w:pStyle w:val="17"/>
            </w:pPr>
            <w:r>
              <w:t>16904.92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16904.92</w:t>
            </w:r>
          </w:p>
        </w:tc>
        <w:tc>
          <w:tcPr>
            <w:tcW w:w="4535" w:type="dxa"/>
            <w:vAlign w:val="center"/>
          </w:tcPr>
          <w:p>
            <w:pPr>
              <w:pStyle w:val="16"/>
            </w:pPr>
            <w:r>
              <w:t>支出总计</w:t>
            </w:r>
          </w:p>
        </w:tc>
        <w:tc>
          <w:tcPr>
            <w:tcW w:w="2126" w:type="dxa"/>
            <w:vAlign w:val="center"/>
          </w:tcPr>
          <w:p>
            <w:pPr>
              <w:pStyle w:val="17"/>
            </w:pPr>
            <w:r>
              <w:t>16904.92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16904.92</w:t>
            </w:r>
          </w:p>
        </w:tc>
        <w:tc>
          <w:tcPr>
            <w:tcW w:w="1134" w:type="dxa"/>
            <w:vAlign w:val="center"/>
          </w:tcPr>
          <w:p>
            <w:pPr>
              <w:pStyle w:val="17"/>
            </w:pPr>
            <w:r>
              <w:t>16904.92</w:t>
            </w:r>
          </w:p>
        </w:tc>
        <w:tc>
          <w:tcPr>
            <w:tcW w:w="1134" w:type="dxa"/>
            <w:vAlign w:val="center"/>
          </w:tcPr>
          <w:p>
            <w:pPr>
              <w:pStyle w:val="17"/>
            </w:pPr>
            <w:r>
              <w:t>16904.92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11.63</w:t>
            </w:r>
          </w:p>
        </w:tc>
        <w:tc>
          <w:tcPr>
            <w:tcW w:w="1134" w:type="dxa"/>
            <w:vAlign w:val="center"/>
          </w:tcPr>
          <w:p>
            <w:pPr>
              <w:pStyle w:val="13"/>
            </w:pPr>
            <w:r>
              <w:t>11.63</w:t>
            </w:r>
          </w:p>
        </w:tc>
        <w:tc>
          <w:tcPr>
            <w:tcW w:w="1134" w:type="dxa"/>
            <w:vAlign w:val="center"/>
          </w:tcPr>
          <w:p>
            <w:pPr>
              <w:pStyle w:val="13"/>
            </w:pPr>
            <w:r>
              <w:t>11.63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11.01</w:t>
            </w:r>
          </w:p>
        </w:tc>
        <w:tc>
          <w:tcPr>
            <w:tcW w:w="1134" w:type="dxa"/>
            <w:vAlign w:val="center"/>
          </w:tcPr>
          <w:p>
            <w:pPr>
              <w:pStyle w:val="13"/>
            </w:pPr>
            <w:r>
              <w:t>11.01</w:t>
            </w:r>
          </w:p>
        </w:tc>
        <w:tc>
          <w:tcPr>
            <w:tcW w:w="1134" w:type="dxa"/>
            <w:vAlign w:val="center"/>
          </w:tcPr>
          <w:p>
            <w:pPr>
              <w:pStyle w:val="13"/>
            </w:pPr>
            <w:r>
              <w:t>11.01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11.01</w:t>
            </w:r>
          </w:p>
        </w:tc>
        <w:tc>
          <w:tcPr>
            <w:tcW w:w="1134" w:type="dxa"/>
            <w:vAlign w:val="center"/>
          </w:tcPr>
          <w:p>
            <w:pPr>
              <w:pStyle w:val="13"/>
            </w:pPr>
            <w:r>
              <w:t>11.01</w:t>
            </w:r>
          </w:p>
        </w:tc>
        <w:tc>
          <w:tcPr>
            <w:tcW w:w="1134" w:type="dxa"/>
            <w:vAlign w:val="center"/>
          </w:tcPr>
          <w:p>
            <w:pPr>
              <w:pStyle w:val="13"/>
            </w:pPr>
            <w:r>
              <w:t>11.01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0.62</w:t>
            </w:r>
          </w:p>
        </w:tc>
        <w:tc>
          <w:tcPr>
            <w:tcW w:w="1134" w:type="dxa"/>
            <w:vAlign w:val="center"/>
          </w:tcPr>
          <w:p>
            <w:pPr>
              <w:pStyle w:val="13"/>
            </w:pPr>
            <w:r>
              <w:t>0.62</w:t>
            </w:r>
          </w:p>
        </w:tc>
        <w:tc>
          <w:tcPr>
            <w:tcW w:w="1134" w:type="dxa"/>
            <w:vAlign w:val="center"/>
          </w:tcPr>
          <w:p>
            <w:pPr>
              <w:pStyle w:val="13"/>
            </w:pPr>
            <w:r>
              <w:t>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0.36</w:t>
            </w:r>
          </w:p>
        </w:tc>
        <w:tc>
          <w:tcPr>
            <w:tcW w:w="1134" w:type="dxa"/>
            <w:vAlign w:val="center"/>
          </w:tcPr>
          <w:p>
            <w:pPr>
              <w:pStyle w:val="13"/>
            </w:pPr>
            <w:r>
              <w:t>0.36</w:t>
            </w:r>
          </w:p>
        </w:tc>
        <w:tc>
          <w:tcPr>
            <w:tcW w:w="1134" w:type="dxa"/>
            <w:vAlign w:val="center"/>
          </w:tcPr>
          <w:p>
            <w:pPr>
              <w:pStyle w:val="13"/>
            </w:pPr>
            <w:r>
              <w:t>0.36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r>
              <w:t>7.34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6177.00</w:t>
            </w:r>
          </w:p>
        </w:tc>
        <w:tc>
          <w:tcPr>
            <w:tcW w:w="1134" w:type="dxa"/>
            <w:vAlign w:val="center"/>
          </w:tcPr>
          <w:p>
            <w:pPr>
              <w:pStyle w:val="13"/>
            </w:pPr>
            <w:r>
              <w:t>6177.00</w:t>
            </w:r>
          </w:p>
        </w:tc>
        <w:tc>
          <w:tcPr>
            <w:tcW w:w="1134" w:type="dxa"/>
            <w:vAlign w:val="center"/>
          </w:tcPr>
          <w:p>
            <w:pPr>
              <w:pStyle w:val="13"/>
            </w:pPr>
            <w:r>
              <w:t>6177.00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6177.00</w:t>
            </w:r>
          </w:p>
        </w:tc>
        <w:tc>
          <w:tcPr>
            <w:tcW w:w="1134" w:type="dxa"/>
            <w:vAlign w:val="center"/>
          </w:tcPr>
          <w:p>
            <w:pPr>
              <w:pStyle w:val="13"/>
            </w:pPr>
            <w:r>
              <w:t>6177.00</w:t>
            </w:r>
          </w:p>
        </w:tc>
        <w:tc>
          <w:tcPr>
            <w:tcW w:w="1134" w:type="dxa"/>
            <w:vAlign w:val="center"/>
          </w:tcPr>
          <w:p>
            <w:pPr>
              <w:pStyle w:val="13"/>
            </w:pPr>
            <w:r>
              <w:t>6177.00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5171.00</w:t>
            </w:r>
          </w:p>
        </w:tc>
        <w:tc>
          <w:tcPr>
            <w:tcW w:w="1134" w:type="dxa"/>
            <w:vAlign w:val="center"/>
          </w:tcPr>
          <w:p>
            <w:pPr>
              <w:pStyle w:val="13"/>
            </w:pPr>
            <w:r>
              <w:t>5171.00</w:t>
            </w:r>
          </w:p>
        </w:tc>
        <w:tc>
          <w:tcPr>
            <w:tcW w:w="1134" w:type="dxa"/>
            <w:vAlign w:val="center"/>
          </w:tcPr>
          <w:p>
            <w:pPr>
              <w:pStyle w:val="13"/>
            </w:pPr>
            <w:r>
              <w:t>5171.00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2120802</w:t>
            </w:r>
          </w:p>
        </w:tc>
        <w:tc>
          <w:tcPr>
            <w:tcW w:w="1559" w:type="dxa"/>
            <w:vAlign w:val="center"/>
          </w:tcPr>
          <w:p>
            <w:pPr>
              <w:pStyle w:val="14"/>
            </w:pPr>
            <w:r>
              <w:t>土地开发支出</w:t>
            </w:r>
          </w:p>
        </w:tc>
        <w:tc>
          <w:tcPr>
            <w:tcW w:w="1134" w:type="dxa"/>
            <w:vAlign w:val="center"/>
          </w:tcPr>
          <w:p>
            <w:pPr>
              <w:pStyle w:val="13"/>
            </w:pPr>
            <w:r>
              <w:t>1006.00</w:t>
            </w:r>
          </w:p>
        </w:tc>
        <w:tc>
          <w:tcPr>
            <w:tcW w:w="1134" w:type="dxa"/>
            <w:vAlign w:val="center"/>
          </w:tcPr>
          <w:p>
            <w:pPr>
              <w:pStyle w:val="13"/>
            </w:pPr>
            <w:r>
              <w:t>1006.00</w:t>
            </w:r>
          </w:p>
        </w:tc>
        <w:tc>
          <w:tcPr>
            <w:tcW w:w="1134" w:type="dxa"/>
            <w:vAlign w:val="center"/>
          </w:tcPr>
          <w:p>
            <w:pPr>
              <w:pStyle w:val="13"/>
            </w:pPr>
            <w:r>
              <w:t>1006.00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220</w:t>
            </w:r>
          </w:p>
        </w:tc>
        <w:tc>
          <w:tcPr>
            <w:tcW w:w="1559" w:type="dxa"/>
            <w:vAlign w:val="center"/>
          </w:tcPr>
          <w:p>
            <w:pPr>
              <w:pStyle w:val="14"/>
            </w:pPr>
            <w:r>
              <w:t>自然资源海洋气象等支出</w:t>
            </w:r>
          </w:p>
        </w:tc>
        <w:tc>
          <w:tcPr>
            <w:tcW w:w="1134" w:type="dxa"/>
            <w:vAlign w:val="center"/>
          </w:tcPr>
          <w:p>
            <w:pPr>
              <w:pStyle w:val="13"/>
            </w:pPr>
            <w:r>
              <w:t>10698.56</w:t>
            </w:r>
          </w:p>
        </w:tc>
        <w:tc>
          <w:tcPr>
            <w:tcW w:w="1134" w:type="dxa"/>
            <w:vAlign w:val="center"/>
          </w:tcPr>
          <w:p>
            <w:pPr>
              <w:pStyle w:val="13"/>
            </w:pPr>
            <w:r>
              <w:t>10698.56</w:t>
            </w:r>
          </w:p>
        </w:tc>
        <w:tc>
          <w:tcPr>
            <w:tcW w:w="1134" w:type="dxa"/>
            <w:vAlign w:val="center"/>
          </w:tcPr>
          <w:p>
            <w:pPr>
              <w:pStyle w:val="13"/>
            </w:pPr>
            <w:r>
              <w:t>10698.56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22001</w:t>
            </w:r>
          </w:p>
        </w:tc>
        <w:tc>
          <w:tcPr>
            <w:tcW w:w="1559" w:type="dxa"/>
            <w:vAlign w:val="center"/>
          </w:tcPr>
          <w:p>
            <w:pPr>
              <w:pStyle w:val="14"/>
            </w:pPr>
            <w:r>
              <w:t>自然资源事务</w:t>
            </w:r>
          </w:p>
        </w:tc>
        <w:tc>
          <w:tcPr>
            <w:tcW w:w="1134" w:type="dxa"/>
            <w:vAlign w:val="center"/>
          </w:tcPr>
          <w:p>
            <w:pPr>
              <w:pStyle w:val="13"/>
            </w:pPr>
            <w:r>
              <w:t>10698.56</w:t>
            </w:r>
          </w:p>
        </w:tc>
        <w:tc>
          <w:tcPr>
            <w:tcW w:w="1134" w:type="dxa"/>
            <w:vAlign w:val="center"/>
          </w:tcPr>
          <w:p>
            <w:pPr>
              <w:pStyle w:val="13"/>
            </w:pPr>
            <w:r>
              <w:t>10698.56</w:t>
            </w:r>
          </w:p>
        </w:tc>
        <w:tc>
          <w:tcPr>
            <w:tcW w:w="1134" w:type="dxa"/>
            <w:vAlign w:val="center"/>
          </w:tcPr>
          <w:p>
            <w:pPr>
              <w:pStyle w:val="13"/>
            </w:pPr>
            <w:r>
              <w:t>10698.56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2200102</w:t>
            </w:r>
          </w:p>
        </w:tc>
        <w:tc>
          <w:tcPr>
            <w:tcW w:w="1559" w:type="dxa"/>
            <w:vAlign w:val="center"/>
          </w:tcPr>
          <w:p>
            <w:pPr>
              <w:pStyle w:val="14"/>
            </w:pPr>
            <w:r>
              <w:t>一般行政管理事务</w:t>
            </w:r>
          </w:p>
        </w:tc>
        <w:tc>
          <w:tcPr>
            <w:tcW w:w="1134" w:type="dxa"/>
            <w:vAlign w:val="center"/>
          </w:tcPr>
          <w:p>
            <w:pPr>
              <w:pStyle w:val="13"/>
            </w:pPr>
            <w:r>
              <w:t>549.50</w:t>
            </w:r>
          </w:p>
        </w:tc>
        <w:tc>
          <w:tcPr>
            <w:tcW w:w="1134" w:type="dxa"/>
            <w:vAlign w:val="center"/>
          </w:tcPr>
          <w:p>
            <w:pPr>
              <w:pStyle w:val="13"/>
            </w:pPr>
            <w:r>
              <w:t>549.50</w:t>
            </w:r>
          </w:p>
        </w:tc>
        <w:tc>
          <w:tcPr>
            <w:tcW w:w="1134" w:type="dxa"/>
            <w:vAlign w:val="center"/>
          </w:tcPr>
          <w:p>
            <w:pPr>
              <w:pStyle w:val="13"/>
            </w:pPr>
            <w:r>
              <w:t>549.50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2200150</w:t>
            </w:r>
          </w:p>
        </w:tc>
        <w:tc>
          <w:tcPr>
            <w:tcW w:w="1559" w:type="dxa"/>
            <w:vAlign w:val="center"/>
          </w:tcPr>
          <w:p>
            <w:pPr>
              <w:pStyle w:val="14"/>
            </w:pPr>
            <w:r>
              <w:t>事业运行</w:t>
            </w:r>
          </w:p>
        </w:tc>
        <w:tc>
          <w:tcPr>
            <w:tcW w:w="1134" w:type="dxa"/>
            <w:vAlign w:val="center"/>
          </w:tcPr>
          <w:p>
            <w:pPr>
              <w:pStyle w:val="13"/>
            </w:pPr>
            <w:r>
              <w:t>101.06</w:t>
            </w:r>
          </w:p>
        </w:tc>
        <w:tc>
          <w:tcPr>
            <w:tcW w:w="1134" w:type="dxa"/>
            <w:vAlign w:val="center"/>
          </w:tcPr>
          <w:p>
            <w:pPr>
              <w:pStyle w:val="13"/>
            </w:pPr>
            <w:r>
              <w:t>101.06</w:t>
            </w:r>
          </w:p>
        </w:tc>
        <w:tc>
          <w:tcPr>
            <w:tcW w:w="1134" w:type="dxa"/>
            <w:vAlign w:val="center"/>
          </w:tcPr>
          <w:p>
            <w:pPr>
              <w:pStyle w:val="13"/>
            </w:pPr>
            <w:r>
              <w:t>101.06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2200199</w:t>
            </w:r>
          </w:p>
        </w:tc>
        <w:tc>
          <w:tcPr>
            <w:tcW w:w="1559" w:type="dxa"/>
            <w:vAlign w:val="center"/>
          </w:tcPr>
          <w:p>
            <w:pPr>
              <w:pStyle w:val="14"/>
            </w:pPr>
            <w:r>
              <w:t>其他自然资源事务支出</w:t>
            </w:r>
          </w:p>
        </w:tc>
        <w:tc>
          <w:tcPr>
            <w:tcW w:w="1134" w:type="dxa"/>
            <w:vAlign w:val="center"/>
          </w:tcPr>
          <w:p>
            <w:pPr>
              <w:pStyle w:val="13"/>
            </w:pPr>
            <w:r>
              <w:t>10048.00</w:t>
            </w:r>
          </w:p>
        </w:tc>
        <w:tc>
          <w:tcPr>
            <w:tcW w:w="1134" w:type="dxa"/>
            <w:vAlign w:val="center"/>
          </w:tcPr>
          <w:p>
            <w:pPr>
              <w:pStyle w:val="13"/>
            </w:pPr>
            <w:r>
              <w:t>10048.00</w:t>
            </w:r>
          </w:p>
        </w:tc>
        <w:tc>
          <w:tcPr>
            <w:tcW w:w="1134" w:type="dxa"/>
            <w:vAlign w:val="center"/>
          </w:tcPr>
          <w:p>
            <w:pPr>
              <w:pStyle w:val="13"/>
            </w:pPr>
            <w:r>
              <w:t>10048.00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10.39</w:t>
            </w:r>
          </w:p>
        </w:tc>
        <w:tc>
          <w:tcPr>
            <w:tcW w:w="1134" w:type="dxa"/>
            <w:vAlign w:val="center"/>
          </w:tcPr>
          <w:p>
            <w:pPr>
              <w:pStyle w:val="13"/>
            </w:pPr>
            <w:r>
              <w:t>10.39</w:t>
            </w:r>
          </w:p>
        </w:tc>
        <w:tc>
          <w:tcPr>
            <w:tcW w:w="1134" w:type="dxa"/>
            <w:vAlign w:val="center"/>
          </w:tcPr>
          <w:p>
            <w:pPr>
              <w:pStyle w:val="13"/>
            </w:pPr>
            <w:r>
              <w:t>10.39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10.39</w:t>
            </w:r>
          </w:p>
        </w:tc>
        <w:tc>
          <w:tcPr>
            <w:tcW w:w="1134" w:type="dxa"/>
            <w:vAlign w:val="center"/>
          </w:tcPr>
          <w:p>
            <w:pPr>
              <w:pStyle w:val="13"/>
            </w:pPr>
            <w:r>
              <w:t>10.39</w:t>
            </w:r>
          </w:p>
        </w:tc>
        <w:tc>
          <w:tcPr>
            <w:tcW w:w="1134" w:type="dxa"/>
            <w:vAlign w:val="center"/>
          </w:tcPr>
          <w:p>
            <w:pPr>
              <w:pStyle w:val="13"/>
            </w:pPr>
            <w:r>
              <w:t>10.39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10.39</w:t>
            </w:r>
          </w:p>
        </w:tc>
        <w:tc>
          <w:tcPr>
            <w:tcW w:w="1134" w:type="dxa"/>
            <w:vAlign w:val="center"/>
          </w:tcPr>
          <w:p>
            <w:pPr>
              <w:pStyle w:val="13"/>
            </w:pPr>
            <w:r>
              <w:t>10.39</w:t>
            </w:r>
          </w:p>
        </w:tc>
        <w:tc>
          <w:tcPr>
            <w:tcW w:w="1134" w:type="dxa"/>
            <w:vAlign w:val="center"/>
          </w:tcPr>
          <w:p>
            <w:pPr>
              <w:pStyle w:val="13"/>
            </w:pPr>
            <w:r>
              <w:t>10.39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16904.92</w:t>
            </w:r>
          </w:p>
        </w:tc>
        <w:tc>
          <w:tcPr>
            <w:tcW w:w="1361" w:type="dxa"/>
            <w:vAlign w:val="center"/>
          </w:tcPr>
          <w:p>
            <w:pPr>
              <w:pStyle w:val="17"/>
            </w:pPr>
            <w:r>
              <w:t>130.42</w:t>
            </w:r>
          </w:p>
        </w:tc>
        <w:tc>
          <w:tcPr>
            <w:tcW w:w="1361" w:type="dxa"/>
            <w:vAlign w:val="center"/>
          </w:tcPr>
          <w:p>
            <w:pPr>
              <w:pStyle w:val="17"/>
            </w:pPr>
            <w:r>
              <w:t>16774.50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11.63</w:t>
            </w:r>
          </w:p>
        </w:tc>
        <w:tc>
          <w:tcPr>
            <w:tcW w:w="1361" w:type="dxa"/>
            <w:vAlign w:val="center"/>
          </w:tcPr>
          <w:p>
            <w:pPr>
              <w:pStyle w:val="13"/>
            </w:pPr>
            <w:r>
              <w:t>11.63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11.01</w:t>
            </w:r>
          </w:p>
        </w:tc>
        <w:tc>
          <w:tcPr>
            <w:tcW w:w="1361" w:type="dxa"/>
            <w:vAlign w:val="center"/>
          </w:tcPr>
          <w:p>
            <w:pPr>
              <w:pStyle w:val="13"/>
            </w:pPr>
            <w:r>
              <w:t>11.01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11.01</w:t>
            </w:r>
          </w:p>
        </w:tc>
        <w:tc>
          <w:tcPr>
            <w:tcW w:w="1361" w:type="dxa"/>
            <w:vAlign w:val="center"/>
          </w:tcPr>
          <w:p>
            <w:pPr>
              <w:pStyle w:val="13"/>
            </w:pPr>
            <w:r>
              <w:t>11.01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0.62</w:t>
            </w:r>
          </w:p>
        </w:tc>
        <w:tc>
          <w:tcPr>
            <w:tcW w:w="1361" w:type="dxa"/>
            <w:vAlign w:val="center"/>
          </w:tcPr>
          <w:p>
            <w:pPr>
              <w:pStyle w:val="13"/>
            </w:pPr>
            <w:r>
              <w:t>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0.36</w:t>
            </w:r>
          </w:p>
        </w:tc>
        <w:tc>
          <w:tcPr>
            <w:tcW w:w="1361" w:type="dxa"/>
            <w:vAlign w:val="center"/>
          </w:tcPr>
          <w:p>
            <w:pPr>
              <w:pStyle w:val="13"/>
            </w:pPr>
            <w:r>
              <w:t>0.36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0.26</w:t>
            </w:r>
          </w:p>
        </w:tc>
        <w:tc>
          <w:tcPr>
            <w:tcW w:w="1361" w:type="dxa"/>
            <w:vAlign w:val="center"/>
          </w:tcPr>
          <w:p>
            <w:pPr>
              <w:pStyle w:val="13"/>
            </w:pPr>
            <w:r>
              <w:t>0.26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7.34</w:t>
            </w:r>
          </w:p>
        </w:tc>
        <w:tc>
          <w:tcPr>
            <w:tcW w:w="1361" w:type="dxa"/>
            <w:vAlign w:val="center"/>
          </w:tcPr>
          <w:p>
            <w:pPr>
              <w:pStyle w:val="13"/>
            </w:pPr>
            <w:r>
              <w:t>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7.34</w:t>
            </w:r>
          </w:p>
        </w:tc>
        <w:tc>
          <w:tcPr>
            <w:tcW w:w="1361" w:type="dxa"/>
            <w:vAlign w:val="center"/>
          </w:tcPr>
          <w:p>
            <w:pPr>
              <w:pStyle w:val="13"/>
            </w:pPr>
            <w:r>
              <w:t>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7.34</w:t>
            </w:r>
          </w:p>
        </w:tc>
        <w:tc>
          <w:tcPr>
            <w:tcW w:w="1361" w:type="dxa"/>
            <w:vAlign w:val="center"/>
          </w:tcPr>
          <w:p>
            <w:pPr>
              <w:pStyle w:val="13"/>
            </w:pPr>
            <w:r>
              <w:t>7.34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6177.00</w:t>
            </w:r>
          </w:p>
        </w:tc>
        <w:tc>
          <w:tcPr>
            <w:tcW w:w="1361" w:type="dxa"/>
            <w:vAlign w:val="center"/>
          </w:tcPr>
          <w:p>
            <w:pPr>
              <w:pStyle w:val="13"/>
            </w:pPr>
          </w:p>
        </w:tc>
        <w:tc>
          <w:tcPr>
            <w:tcW w:w="1361" w:type="dxa"/>
            <w:vAlign w:val="center"/>
          </w:tcPr>
          <w:p>
            <w:pPr>
              <w:pStyle w:val="13"/>
            </w:pPr>
            <w:r>
              <w:t>6177.00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6177.00</w:t>
            </w:r>
          </w:p>
        </w:tc>
        <w:tc>
          <w:tcPr>
            <w:tcW w:w="1361" w:type="dxa"/>
            <w:vAlign w:val="center"/>
          </w:tcPr>
          <w:p>
            <w:pPr>
              <w:pStyle w:val="13"/>
            </w:pPr>
          </w:p>
        </w:tc>
        <w:tc>
          <w:tcPr>
            <w:tcW w:w="1361" w:type="dxa"/>
            <w:vAlign w:val="center"/>
          </w:tcPr>
          <w:p>
            <w:pPr>
              <w:pStyle w:val="13"/>
            </w:pPr>
            <w:r>
              <w:t>6177.00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5171.00</w:t>
            </w:r>
          </w:p>
        </w:tc>
        <w:tc>
          <w:tcPr>
            <w:tcW w:w="1361" w:type="dxa"/>
            <w:vAlign w:val="center"/>
          </w:tcPr>
          <w:p>
            <w:pPr>
              <w:pStyle w:val="13"/>
            </w:pPr>
          </w:p>
        </w:tc>
        <w:tc>
          <w:tcPr>
            <w:tcW w:w="1361" w:type="dxa"/>
            <w:vAlign w:val="center"/>
          </w:tcPr>
          <w:p>
            <w:pPr>
              <w:pStyle w:val="13"/>
            </w:pPr>
            <w:r>
              <w:t>5171.00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2120802</w:t>
            </w:r>
          </w:p>
        </w:tc>
        <w:tc>
          <w:tcPr>
            <w:tcW w:w="4535" w:type="dxa"/>
            <w:vAlign w:val="center"/>
          </w:tcPr>
          <w:p>
            <w:pPr>
              <w:pStyle w:val="14"/>
            </w:pPr>
            <w:r>
              <w:t>土地开发支出</w:t>
            </w:r>
          </w:p>
        </w:tc>
        <w:tc>
          <w:tcPr>
            <w:tcW w:w="1361" w:type="dxa"/>
            <w:vAlign w:val="center"/>
          </w:tcPr>
          <w:p>
            <w:pPr>
              <w:pStyle w:val="13"/>
            </w:pPr>
            <w:r>
              <w:t>1006.00</w:t>
            </w:r>
          </w:p>
        </w:tc>
        <w:tc>
          <w:tcPr>
            <w:tcW w:w="1361" w:type="dxa"/>
            <w:vAlign w:val="center"/>
          </w:tcPr>
          <w:p>
            <w:pPr>
              <w:pStyle w:val="13"/>
            </w:pPr>
          </w:p>
        </w:tc>
        <w:tc>
          <w:tcPr>
            <w:tcW w:w="1361" w:type="dxa"/>
            <w:vAlign w:val="center"/>
          </w:tcPr>
          <w:p>
            <w:pPr>
              <w:pStyle w:val="13"/>
            </w:pPr>
            <w:r>
              <w:t>1006.00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220</w:t>
            </w:r>
          </w:p>
        </w:tc>
        <w:tc>
          <w:tcPr>
            <w:tcW w:w="4535" w:type="dxa"/>
            <w:vAlign w:val="center"/>
          </w:tcPr>
          <w:p>
            <w:pPr>
              <w:pStyle w:val="14"/>
            </w:pPr>
            <w:r>
              <w:t>自然资源海洋气象等支出</w:t>
            </w:r>
          </w:p>
        </w:tc>
        <w:tc>
          <w:tcPr>
            <w:tcW w:w="1361" w:type="dxa"/>
            <w:vAlign w:val="center"/>
          </w:tcPr>
          <w:p>
            <w:pPr>
              <w:pStyle w:val="13"/>
            </w:pPr>
            <w:r>
              <w:t>10698.56</w:t>
            </w:r>
          </w:p>
        </w:tc>
        <w:tc>
          <w:tcPr>
            <w:tcW w:w="1361" w:type="dxa"/>
            <w:vAlign w:val="center"/>
          </w:tcPr>
          <w:p>
            <w:pPr>
              <w:pStyle w:val="13"/>
            </w:pPr>
            <w:r>
              <w:t>101.06</w:t>
            </w:r>
          </w:p>
        </w:tc>
        <w:tc>
          <w:tcPr>
            <w:tcW w:w="1361" w:type="dxa"/>
            <w:vAlign w:val="center"/>
          </w:tcPr>
          <w:p>
            <w:pPr>
              <w:pStyle w:val="13"/>
            </w:pPr>
            <w:r>
              <w:t>10597.50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22001</w:t>
            </w:r>
          </w:p>
        </w:tc>
        <w:tc>
          <w:tcPr>
            <w:tcW w:w="4535" w:type="dxa"/>
            <w:vAlign w:val="center"/>
          </w:tcPr>
          <w:p>
            <w:pPr>
              <w:pStyle w:val="14"/>
            </w:pPr>
            <w:r>
              <w:t>自然资源事务</w:t>
            </w:r>
          </w:p>
        </w:tc>
        <w:tc>
          <w:tcPr>
            <w:tcW w:w="1361" w:type="dxa"/>
            <w:vAlign w:val="center"/>
          </w:tcPr>
          <w:p>
            <w:pPr>
              <w:pStyle w:val="13"/>
            </w:pPr>
            <w:r>
              <w:t>10698.56</w:t>
            </w:r>
          </w:p>
        </w:tc>
        <w:tc>
          <w:tcPr>
            <w:tcW w:w="1361" w:type="dxa"/>
            <w:vAlign w:val="center"/>
          </w:tcPr>
          <w:p>
            <w:pPr>
              <w:pStyle w:val="13"/>
            </w:pPr>
            <w:r>
              <w:t>101.06</w:t>
            </w:r>
          </w:p>
        </w:tc>
        <w:tc>
          <w:tcPr>
            <w:tcW w:w="1361" w:type="dxa"/>
            <w:vAlign w:val="center"/>
          </w:tcPr>
          <w:p>
            <w:pPr>
              <w:pStyle w:val="13"/>
            </w:pPr>
            <w:r>
              <w:t>10597.50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2200102</w:t>
            </w:r>
          </w:p>
        </w:tc>
        <w:tc>
          <w:tcPr>
            <w:tcW w:w="4535" w:type="dxa"/>
            <w:vAlign w:val="center"/>
          </w:tcPr>
          <w:p>
            <w:pPr>
              <w:pStyle w:val="14"/>
            </w:pPr>
            <w:r>
              <w:t>一般行政管理事务</w:t>
            </w:r>
          </w:p>
        </w:tc>
        <w:tc>
          <w:tcPr>
            <w:tcW w:w="1361" w:type="dxa"/>
            <w:vAlign w:val="center"/>
          </w:tcPr>
          <w:p>
            <w:pPr>
              <w:pStyle w:val="13"/>
            </w:pPr>
            <w:r>
              <w:t>549.50</w:t>
            </w:r>
          </w:p>
        </w:tc>
        <w:tc>
          <w:tcPr>
            <w:tcW w:w="1361" w:type="dxa"/>
            <w:vAlign w:val="center"/>
          </w:tcPr>
          <w:p>
            <w:pPr>
              <w:pStyle w:val="13"/>
            </w:pPr>
          </w:p>
        </w:tc>
        <w:tc>
          <w:tcPr>
            <w:tcW w:w="1361" w:type="dxa"/>
            <w:vAlign w:val="center"/>
          </w:tcPr>
          <w:p>
            <w:pPr>
              <w:pStyle w:val="13"/>
            </w:pPr>
            <w:r>
              <w:t>549.50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2200150</w:t>
            </w:r>
          </w:p>
        </w:tc>
        <w:tc>
          <w:tcPr>
            <w:tcW w:w="4535" w:type="dxa"/>
            <w:vAlign w:val="center"/>
          </w:tcPr>
          <w:p>
            <w:pPr>
              <w:pStyle w:val="14"/>
            </w:pPr>
            <w:r>
              <w:t>事业运行</w:t>
            </w:r>
          </w:p>
        </w:tc>
        <w:tc>
          <w:tcPr>
            <w:tcW w:w="1361" w:type="dxa"/>
            <w:vAlign w:val="center"/>
          </w:tcPr>
          <w:p>
            <w:pPr>
              <w:pStyle w:val="13"/>
            </w:pPr>
            <w:r>
              <w:t>101.06</w:t>
            </w:r>
          </w:p>
        </w:tc>
        <w:tc>
          <w:tcPr>
            <w:tcW w:w="1361" w:type="dxa"/>
            <w:vAlign w:val="center"/>
          </w:tcPr>
          <w:p>
            <w:pPr>
              <w:pStyle w:val="13"/>
            </w:pPr>
            <w:r>
              <w:t>101.06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2200199</w:t>
            </w:r>
          </w:p>
        </w:tc>
        <w:tc>
          <w:tcPr>
            <w:tcW w:w="4535" w:type="dxa"/>
            <w:vAlign w:val="center"/>
          </w:tcPr>
          <w:p>
            <w:pPr>
              <w:pStyle w:val="14"/>
            </w:pPr>
            <w:r>
              <w:t>其他自然资源事务支出</w:t>
            </w:r>
          </w:p>
        </w:tc>
        <w:tc>
          <w:tcPr>
            <w:tcW w:w="1361" w:type="dxa"/>
            <w:vAlign w:val="center"/>
          </w:tcPr>
          <w:p>
            <w:pPr>
              <w:pStyle w:val="13"/>
            </w:pPr>
            <w:r>
              <w:t>10048.00</w:t>
            </w:r>
          </w:p>
        </w:tc>
        <w:tc>
          <w:tcPr>
            <w:tcW w:w="1361" w:type="dxa"/>
            <w:vAlign w:val="center"/>
          </w:tcPr>
          <w:p>
            <w:pPr>
              <w:pStyle w:val="13"/>
            </w:pPr>
          </w:p>
        </w:tc>
        <w:tc>
          <w:tcPr>
            <w:tcW w:w="1361" w:type="dxa"/>
            <w:vAlign w:val="center"/>
          </w:tcPr>
          <w:p>
            <w:pPr>
              <w:pStyle w:val="13"/>
            </w:pPr>
            <w:r>
              <w:t>10048.00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10.39</w:t>
            </w:r>
          </w:p>
        </w:tc>
        <w:tc>
          <w:tcPr>
            <w:tcW w:w="1361" w:type="dxa"/>
            <w:vAlign w:val="center"/>
          </w:tcPr>
          <w:p>
            <w:pPr>
              <w:pStyle w:val="13"/>
            </w:pPr>
            <w:r>
              <w:t>10.39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10.39</w:t>
            </w:r>
          </w:p>
        </w:tc>
        <w:tc>
          <w:tcPr>
            <w:tcW w:w="1361" w:type="dxa"/>
            <w:vAlign w:val="center"/>
          </w:tcPr>
          <w:p>
            <w:pPr>
              <w:pStyle w:val="13"/>
            </w:pPr>
            <w:r>
              <w:t>10.39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10.39</w:t>
            </w:r>
          </w:p>
        </w:tc>
        <w:tc>
          <w:tcPr>
            <w:tcW w:w="1361" w:type="dxa"/>
            <w:vAlign w:val="center"/>
          </w:tcPr>
          <w:p>
            <w:pPr>
              <w:pStyle w:val="13"/>
            </w:pPr>
            <w:r>
              <w:t>10.39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10727.92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6177.00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11.63</w:t>
            </w:r>
          </w:p>
        </w:tc>
        <w:tc>
          <w:tcPr>
            <w:tcW w:w="1474" w:type="dxa"/>
            <w:vAlign w:val="center"/>
          </w:tcPr>
          <w:p>
            <w:pPr>
              <w:pStyle w:val="13"/>
            </w:pPr>
            <w:r>
              <w:t>11.63</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7.34</w:t>
            </w:r>
          </w:p>
        </w:tc>
        <w:tc>
          <w:tcPr>
            <w:tcW w:w="1474" w:type="dxa"/>
            <w:vAlign w:val="center"/>
          </w:tcPr>
          <w:p>
            <w:pPr>
              <w:pStyle w:val="13"/>
            </w:pPr>
            <w:r>
              <w:t>7.34</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6177.00</w:t>
            </w:r>
          </w:p>
        </w:tc>
        <w:tc>
          <w:tcPr>
            <w:tcW w:w="1474" w:type="dxa"/>
            <w:vAlign w:val="center"/>
          </w:tcPr>
          <w:p>
            <w:pPr>
              <w:pStyle w:val="13"/>
            </w:pPr>
          </w:p>
        </w:tc>
        <w:tc>
          <w:tcPr>
            <w:tcW w:w="1474" w:type="dxa"/>
            <w:vAlign w:val="center"/>
          </w:tcPr>
          <w:p>
            <w:pPr>
              <w:pStyle w:val="13"/>
            </w:pPr>
            <w:r>
              <w:t>6177.00</w:t>
            </w: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r>
              <w:t>10698.56</w:t>
            </w:r>
          </w:p>
        </w:tc>
        <w:tc>
          <w:tcPr>
            <w:tcW w:w="1474" w:type="dxa"/>
            <w:vAlign w:val="center"/>
          </w:tcPr>
          <w:p>
            <w:pPr>
              <w:pStyle w:val="13"/>
            </w:pPr>
            <w:r>
              <w:t>10698.56</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10.39</w:t>
            </w:r>
          </w:p>
        </w:tc>
        <w:tc>
          <w:tcPr>
            <w:tcW w:w="1474" w:type="dxa"/>
            <w:vAlign w:val="center"/>
          </w:tcPr>
          <w:p>
            <w:pPr>
              <w:pStyle w:val="13"/>
            </w:pPr>
            <w:r>
              <w:t>10.39</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16904.92</w:t>
            </w:r>
          </w:p>
        </w:tc>
        <w:tc>
          <w:tcPr>
            <w:tcW w:w="3402" w:type="dxa"/>
            <w:vAlign w:val="center"/>
          </w:tcPr>
          <w:p>
            <w:pPr>
              <w:pStyle w:val="16"/>
            </w:pPr>
            <w:r>
              <w:t>本年支出合计</w:t>
            </w:r>
          </w:p>
        </w:tc>
        <w:tc>
          <w:tcPr>
            <w:tcW w:w="1474" w:type="dxa"/>
            <w:vAlign w:val="center"/>
          </w:tcPr>
          <w:p>
            <w:pPr>
              <w:pStyle w:val="17"/>
            </w:pPr>
            <w:r>
              <w:t>16904.92</w:t>
            </w:r>
          </w:p>
        </w:tc>
        <w:tc>
          <w:tcPr>
            <w:tcW w:w="1474" w:type="dxa"/>
            <w:vAlign w:val="center"/>
          </w:tcPr>
          <w:p>
            <w:pPr>
              <w:pStyle w:val="17"/>
            </w:pPr>
            <w:r>
              <w:t>10727.92</w:t>
            </w:r>
          </w:p>
        </w:tc>
        <w:tc>
          <w:tcPr>
            <w:tcW w:w="1474" w:type="dxa"/>
            <w:vAlign w:val="center"/>
          </w:tcPr>
          <w:p>
            <w:pPr>
              <w:pStyle w:val="17"/>
            </w:pPr>
            <w:r>
              <w:t>6177.00</w:t>
            </w:r>
          </w:p>
        </w:tc>
        <w:tc>
          <w:tcPr>
            <w:tcW w:w="1474"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16904.92</w:t>
            </w:r>
          </w:p>
        </w:tc>
        <w:tc>
          <w:tcPr>
            <w:tcW w:w="3402" w:type="dxa"/>
            <w:vAlign w:val="center"/>
          </w:tcPr>
          <w:p>
            <w:pPr>
              <w:pStyle w:val="16"/>
            </w:pPr>
            <w:r>
              <w:t>支出总计</w:t>
            </w:r>
          </w:p>
        </w:tc>
        <w:tc>
          <w:tcPr>
            <w:tcW w:w="1474" w:type="dxa"/>
            <w:vAlign w:val="center"/>
          </w:tcPr>
          <w:p>
            <w:pPr>
              <w:pStyle w:val="17"/>
            </w:pPr>
            <w:r>
              <w:t>16904.92</w:t>
            </w:r>
          </w:p>
        </w:tc>
        <w:tc>
          <w:tcPr>
            <w:tcW w:w="1474" w:type="dxa"/>
            <w:vAlign w:val="center"/>
          </w:tcPr>
          <w:p>
            <w:pPr>
              <w:pStyle w:val="17"/>
            </w:pPr>
            <w:r>
              <w:t>10727.92</w:t>
            </w:r>
          </w:p>
        </w:tc>
        <w:tc>
          <w:tcPr>
            <w:tcW w:w="1474" w:type="dxa"/>
            <w:vAlign w:val="center"/>
          </w:tcPr>
          <w:p>
            <w:pPr>
              <w:pStyle w:val="17"/>
            </w:pPr>
            <w:r>
              <w:t>6177.00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10727.92</w:t>
            </w:r>
          </w:p>
        </w:tc>
        <w:tc>
          <w:tcPr>
            <w:tcW w:w="2551" w:type="dxa"/>
            <w:vAlign w:val="center"/>
          </w:tcPr>
          <w:p>
            <w:pPr>
              <w:pStyle w:val="17"/>
            </w:pPr>
            <w:r>
              <w:t>130.42</w:t>
            </w:r>
          </w:p>
        </w:tc>
        <w:tc>
          <w:tcPr>
            <w:tcW w:w="2551" w:type="dxa"/>
            <w:vAlign w:val="center"/>
          </w:tcPr>
          <w:p>
            <w:pPr>
              <w:pStyle w:val="17"/>
            </w:pPr>
            <w:r>
              <w:t>10597.50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11.63</w:t>
            </w:r>
          </w:p>
        </w:tc>
        <w:tc>
          <w:tcPr>
            <w:tcW w:w="2551" w:type="dxa"/>
            <w:vAlign w:val="center"/>
          </w:tcPr>
          <w:p>
            <w:pPr>
              <w:pStyle w:val="13"/>
            </w:pPr>
            <w:r>
              <w:t>11.63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11.01</w:t>
            </w:r>
          </w:p>
        </w:tc>
        <w:tc>
          <w:tcPr>
            <w:tcW w:w="2551" w:type="dxa"/>
            <w:vAlign w:val="center"/>
          </w:tcPr>
          <w:p>
            <w:pPr>
              <w:pStyle w:val="13"/>
            </w:pPr>
            <w:r>
              <w:t>11.01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11.01</w:t>
            </w:r>
          </w:p>
        </w:tc>
        <w:tc>
          <w:tcPr>
            <w:tcW w:w="2551" w:type="dxa"/>
            <w:vAlign w:val="center"/>
          </w:tcPr>
          <w:p>
            <w:pPr>
              <w:pStyle w:val="13"/>
            </w:pPr>
            <w:r>
              <w:t>11.01</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0.62</w:t>
            </w:r>
          </w:p>
        </w:tc>
        <w:tc>
          <w:tcPr>
            <w:tcW w:w="2551" w:type="dxa"/>
            <w:vAlign w:val="center"/>
          </w:tcPr>
          <w:p>
            <w:pPr>
              <w:pStyle w:val="13"/>
            </w:pPr>
            <w:r>
              <w:t>0.62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0.36</w:t>
            </w:r>
          </w:p>
        </w:tc>
        <w:tc>
          <w:tcPr>
            <w:tcW w:w="2551" w:type="dxa"/>
            <w:vAlign w:val="center"/>
          </w:tcPr>
          <w:p>
            <w:pPr>
              <w:pStyle w:val="13"/>
            </w:pPr>
            <w:r>
              <w:t>0.36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0.26</w:t>
            </w:r>
          </w:p>
        </w:tc>
        <w:tc>
          <w:tcPr>
            <w:tcW w:w="2551" w:type="dxa"/>
            <w:vAlign w:val="center"/>
          </w:tcPr>
          <w:p>
            <w:pPr>
              <w:pStyle w:val="13"/>
            </w:pPr>
            <w:r>
              <w:t>0.26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7.34</w:t>
            </w:r>
          </w:p>
        </w:tc>
        <w:tc>
          <w:tcPr>
            <w:tcW w:w="2551" w:type="dxa"/>
            <w:vAlign w:val="center"/>
          </w:tcPr>
          <w:p>
            <w:pPr>
              <w:pStyle w:val="13"/>
            </w:pPr>
            <w:r>
              <w:t>7.34</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7.34</w:t>
            </w:r>
          </w:p>
        </w:tc>
        <w:tc>
          <w:tcPr>
            <w:tcW w:w="2551" w:type="dxa"/>
            <w:vAlign w:val="center"/>
          </w:tcPr>
          <w:p>
            <w:pPr>
              <w:pStyle w:val="13"/>
            </w:pPr>
            <w:r>
              <w:t>7.34</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7.34</w:t>
            </w:r>
          </w:p>
        </w:tc>
        <w:tc>
          <w:tcPr>
            <w:tcW w:w="2551" w:type="dxa"/>
            <w:vAlign w:val="center"/>
          </w:tcPr>
          <w:p>
            <w:pPr>
              <w:pStyle w:val="13"/>
            </w:pPr>
            <w:r>
              <w:t>7.34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220</w:t>
            </w:r>
          </w:p>
        </w:tc>
        <w:tc>
          <w:tcPr>
            <w:tcW w:w="4535" w:type="dxa"/>
            <w:vAlign w:val="center"/>
          </w:tcPr>
          <w:p>
            <w:pPr>
              <w:pStyle w:val="14"/>
            </w:pPr>
            <w:r>
              <w:t>自然资源海洋气象等支出</w:t>
            </w:r>
          </w:p>
        </w:tc>
        <w:tc>
          <w:tcPr>
            <w:tcW w:w="2551" w:type="dxa"/>
            <w:vAlign w:val="center"/>
          </w:tcPr>
          <w:p>
            <w:pPr>
              <w:pStyle w:val="13"/>
            </w:pPr>
            <w:r>
              <w:t>10698.56</w:t>
            </w:r>
          </w:p>
        </w:tc>
        <w:tc>
          <w:tcPr>
            <w:tcW w:w="2551" w:type="dxa"/>
            <w:vAlign w:val="center"/>
          </w:tcPr>
          <w:p>
            <w:pPr>
              <w:pStyle w:val="13"/>
            </w:pPr>
            <w:r>
              <w:t>101.06</w:t>
            </w:r>
          </w:p>
        </w:tc>
        <w:tc>
          <w:tcPr>
            <w:tcW w:w="2551" w:type="dxa"/>
            <w:vAlign w:val="center"/>
          </w:tcPr>
          <w:p>
            <w:pPr>
              <w:pStyle w:val="13"/>
            </w:pPr>
            <w:r>
              <w:t>10597.50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22001</w:t>
            </w:r>
          </w:p>
        </w:tc>
        <w:tc>
          <w:tcPr>
            <w:tcW w:w="4535" w:type="dxa"/>
            <w:vAlign w:val="center"/>
          </w:tcPr>
          <w:p>
            <w:pPr>
              <w:pStyle w:val="14"/>
            </w:pPr>
            <w:r>
              <w:t>自然资源事务</w:t>
            </w:r>
          </w:p>
        </w:tc>
        <w:tc>
          <w:tcPr>
            <w:tcW w:w="2551" w:type="dxa"/>
            <w:vAlign w:val="center"/>
          </w:tcPr>
          <w:p>
            <w:pPr>
              <w:pStyle w:val="13"/>
            </w:pPr>
            <w:r>
              <w:t>10698.56</w:t>
            </w:r>
          </w:p>
        </w:tc>
        <w:tc>
          <w:tcPr>
            <w:tcW w:w="2551" w:type="dxa"/>
            <w:vAlign w:val="center"/>
          </w:tcPr>
          <w:p>
            <w:pPr>
              <w:pStyle w:val="13"/>
            </w:pPr>
            <w:r>
              <w:t>101.06</w:t>
            </w:r>
          </w:p>
        </w:tc>
        <w:tc>
          <w:tcPr>
            <w:tcW w:w="2551" w:type="dxa"/>
            <w:vAlign w:val="center"/>
          </w:tcPr>
          <w:p>
            <w:pPr>
              <w:pStyle w:val="13"/>
            </w:pPr>
            <w:r>
              <w:t>10597.50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2200102</w:t>
            </w:r>
          </w:p>
        </w:tc>
        <w:tc>
          <w:tcPr>
            <w:tcW w:w="4535" w:type="dxa"/>
            <w:vAlign w:val="center"/>
          </w:tcPr>
          <w:p>
            <w:pPr>
              <w:pStyle w:val="14"/>
            </w:pPr>
            <w:r>
              <w:t>一般行政管理事务</w:t>
            </w:r>
          </w:p>
        </w:tc>
        <w:tc>
          <w:tcPr>
            <w:tcW w:w="2551" w:type="dxa"/>
            <w:vAlign w:val="center"/>
          </w:tcPr>
          <w:p>
            <w:pPr>
              <w:pStyle w:val="13"/>
            </w:pPr>
            <w:r>
              <w:t>549.50</w:t>
            </w:r>
          </w:p>
        </w:tc>
        <w:tc>
          <w:tcPr>
            <w:tcW w:w="2551" w:type="dxa"/>
            <w:vAlign w:val="center"/>
          </w:tcPr>
          <w:p>
            <w:pPr>
              <w:pStyle w:val="13"/>
            </w:pPr>
          </w:p>
        </w:tc>
        <w:tc>
          <w:tcPr>
            <w:tcW w:w="2551" w:type="dxa"/>
            <w:vAlign w:val="center"/>
          </w:tcPr>
          <w:p>
            <w:pPr>
              <w:pStyle w:val="13"/>
            </w:pPr>
            <w:r>
              <w:t>549.50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2200150</w:t>
            </w:r>
          </w:p>
        </w:tc>
        <w:tc>
          <w:tcPr>
            <w:tcW w:w="4535" w:type="dxa"/>
            <w:vAlign w:val="center"/>
          </w:tcPr>
          <w:p>
            <w:pPr>
              <w:pStyle w:val="14"/>
            </w:pPr>
            <w:r>
              <w:t>事业运行</w:t>
            </w:r>
          </w:p>
        </w:tc>
        <w:tc>
          <w:tcPr>
            <w:tcW w:w="2551" w:type="dxa"/>
            <w:vAlign w:val="center"/>
          </w:tcPr>
          <w:p>
            <w:pPr>
              <w:pStyle w:val="13"/>
            </w:pPr>
            <w:r>
              <w:t>101.06</w:t>
            </w:r>
          </w:p>
        </w:tc>
        <w:tc>
          <w:tcPr>
            <w:tcW w:w="2551" w:type="dxa"/>
            <w:vAlign w:val="center"/>
          </w:tcPr>
          <w:p>
            <w:pPr>
              <w:pStyle w:val="13"/>
            </w:pPr>
            <w:r>
              <w:t>101.06</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2200199</w:t>
            </w:r>
          </w:p>
        </w:tc>
        <w:tc>
          <w:tcPr>
            <w:tcW w:w="4535" w:type="dxa"/>
            <w:vAlign w:val="center"/>
          </w:tcPr>
          <w:p>
            <w:pPr>
              <w:pStyle w:val="14"/>
            </w:pPr>
            <w:r>
              <w:t>其他自然资源事务支出</w:t>
            </w:r>
          </w:p>
        </w:tc>
        <w:tc>
          <w:tcPr>
            <w:tcW w:w="2551" w:type="dxa"/>
            <w:vAlign w:val="center"/>
          </w:tcPr>
          <w:p>
            <w:pPr>
              <w:pStyle w:val="13"/>
            </w:pPr>
            <w:r>
              <w:t>10048.00</w:t>
            </w:r>
          </w:p>
        </w:tc>
        <w:tc>
          <w:tcPr>
            <w:tcW w:w="2551" w:type="dxa"/>
            <w:vAlign w:val="center"/>
          </w:tcPr>
          <w:p>
            <w:pPr>
              <w:pStyle w:val="13"/>
            </w:pPr>
          </w:p>
        </w:tc>
        <w:tc>
          <w:tcPr>
            <w:tcW w:w="2551" w:type="dxa"/>
            <w:vAlign w:val="center"/>
          </w:tcPr>
          <w:p>
            <w:pPr>
              <w:pStyle w:val="13"/>
            </w:pPr>
            <w:r>
              <w:t>10048.00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10.39</w:t>
            </w:r>
          </w:p>
        </w:tc>
        <w:tc>
          <w:tcPr>
            <w:tcW w:w="2551" w:type="dxa"/>
            <w:vAlign w:val="center"/>
          </w:tcPr>
          <w:p>
            <w:pPr>
              <w:pStyle w:val="13"/>
            </w:pPr>
            <w:r>
              <w:t>10.39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10.39</w:t>
            </w:r>
          </w:p>
        </w:tc>
        <w:tc>
          <w:tcPr>
            <w:tcW w:w="2551" w:type="dxa"/>
            <w:vAlign w:val="center"/>
          </w:tcPr>
          <w:p>
            <w:pPr>
              <w:pStyle w:val="13"/>
            </w:pPr>
            <w:r>
              <w:t>10.39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10.39</w:t>
            </w:r>
          </w:p>
        </w:tc>
        <w:tc>
          <w:tcPr>
            <w:tcW w:w="2551" w:type="dxa"/>
            <w:vAlign w:val="center"/>
          </w:tcPr>
          <w:p>
            <w:pPr>
              <w:pStyle w:val="13"/>
            </w:pPr>
            <w:r>
              <w:t>10.39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130.42</w:t>
            </w:r>
          </w:p>
        </w:tc>
        <w:tc>
          <w:tcPr>
            <w:tcW w:w="2551" w:type="dxa"/>
            <w:vAlign w:val="center"/>
          </w:tcPr>
          <w:p>
            <w:pPr>
              <w:pStyle w:val="17"/>
            </w:pPr>
            <w:r>
              <w:t>121.83</w:t>
            </w:r>
          </w:p>
        </w:tc>
        <w:tc>
          <w:tcPr>
            <w:tcW w:w="2551" w:type="dxa"/>
            <w:vAlign w:val="center"/>
          </w:tcPr>
          <w:p>
            <w:pPr>
              <w:pStyle w:val="17"/>
            </w:pPr>
            <w:r>
              <w:t>8.59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121.83</w:t>
            </w:r>
          </w:p>
        </w:tc>
        <w:tc>
          <w:tcPr>
            <w:tcW w:w="2551" w:type="dxa"/>
            <w:vAlign w:val="center"/>
          </w:tcPr>
          <w:p>
            <w:pPr>
              <w:pStyle w:val="13"/>
            </w:pPr>
            <w:r>
              <w:t>121.83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34.64</w:t>
            </w:r>
          </w:p>
        </w:tc>
        <w:tc>
          <w:tcPr>
            <w:tcW w:w="2551" w:type="dxa"/>
            <w:vAlign w:val="center"/>
          </w:tcPr>
          <w:p>
            <w:pPr>
              <w:pStyle w:val="13"/>
            </w:pPr>
            <w:r>
              <w:t>34.64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6.06</w:t>
            </w:r>
          </w:p>
        </w:tc>
        <w:tc>
          <w:tcPr>
            <w:tcW w:w="2551" w:type="dxa"/>
            <w:vAlign w:val="center"/>
          </w:tcPr>
          <w:p>
            <w:pPr>
              <w:pStyle w:val="13"/>
            </w:pPr>
            <w:r>
              <w:t>6.06</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51.77</w:t>
            </w:r>
          </w:p>
        </w:tc>
        <w:tc>
          <w:tcPr>
            <w:tcW w:w="2551" w:type="dxa"/>
            <w:vAlign w:val="center"/>
          </w:tcPr>
          <w:p>
            <w:pPr>
              <w:pStyle w:val="13"/>
            </w:pPr>
            <w:r>
              <w:t>51.77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11.01</w:t>
            </w:r>
          </w:p>
        </w:tc>
        <w:tc>
          <w:tcPr>
            <w:tcW w:w="2551" w:type="dxa"/>
            <w:vAlign w:val="center"/>
          </w:tcPr>
          <w:p>
            <w:pPr>
              <w:pStyle w:val="13"/>
            </w:pPr>
            <w:r>
              <w:t>11.01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7.34</w:t>
            </w:r>
          </w:p>
        </w:tc>
        <w:tc>
          <w:tcPr>
            <w:tcW w:w="2551" w:type="dxa"/>
            <w:vAlign w:val="center"/>
          </w:tcPr>
          <w:p>
            <w:pPr>
              <w:pStyle w:val="13"/>
            </w:pPr>
            <w:r>
              <w:t>7.34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0.62</w:t>
            </w:r>
          </w:p>
        </w:tc>
        <w:tc>
          <w:tcPr>
            <w:tcW w:w="2551" w:type="dxa"/>
            <w:vAlign w:val="center"/>
          </w:tcPr>
          <w:p>
            <w:pPr>
              <w:pStyle w:val="13"/>
            </w:pPr>
            <w:r>
              <w:t>0.62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10.39</w:t>
            </w:r>
          </w:p>
        </w:tc>
        <w:tc>
          <w:tcPr>
            <w:tcW w:w="2551" w:type="dxa"/>
            <w:vAlign w:val="center"/>
          </w:tcPr>
          <w:p>
            <w:pPr>
              <w:pStyle w:val="13"/>
            </w:pPr>
            <w:r>
              <w:t>10.39</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8.59</w:t>
            </w:r>
          </w:p>
        </w:tc>
        <w:tc>
          <w:tcPr>
            <w:tcW w:w="2551" w:type="dxa"/>
            <w:vAlign w:val="center"/>
          </w:tcPr>
          <w:p>
            <w:pPr>
              <w:pStyle w:val="13"/>
            </w:pPr>
          </w:p>
        </w:tc>
        <w:tc>
          <w:tcPr>
            <w:tcW w:w="2551" w:type="dxa"/>
            <w:vAlign w:val="center"/>
          </w:tcPr>
          <w:p>
            <w:pPr>
              <w:pStyle w:val="13"/>
            </w:pPr>
            <w:r>
              <w:t>8.59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3.24</w:t>
            </w:r>
          </w:p>
        </w:tc>
        <w:tc>
          <w:tcPr>
            <w:tcW w:w="2551" w:type="dxa"/>
            <w:vAlign w:val="center"/>
          </w:tcPr>
          <w:p>
            <w:pPr>
              <w:pStyle w:val="13"/>
            </w:pPr>
          </w:p>
        </w:tc>
        <w:tc>
          <w:tcPr>
            <w:tcW w:w="2551" w:type="dxa"/>
            <w:vAlign w:val="center"/>
          </w:tcPr>
          <w:p>
            <w:pPr>
              <w:pStyle w:val="13"/>
            </w:pPr>
            <w:r>
              <w:t>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0.32</w:t>
            </w:r>
          </w:p>
        </w:tc>
        <w:tc>
          <w:tcPr>
            <w:tcW w:w="2551" w:type="dxa"/>
            <w:vAlign w:val="center"/>
          </w:tcPr>
          <w:p>
            <w:pPr>
              <w:pStyle w:val="13"/>
            </w:pPr>
          </w:p>
        </w:tc>
        <w:tc>
          <w:tcPr>
            <w:tcW w:w="2551" w:type="dxa"/>
            <w:vAlign w:val="center"/>
          </w:tcPr>
          <w:p>
            <w:pPr>
              <w:pStyle w:val="13"/>
            </w:pPr>
            <w:r>
              <w:t>0.32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0.06</w:t>
            </w:r>
          </w:p>
        </w:tc>
        <w:tc>
          <w:tcPr>
            <w:tcW w:w="2551" w:type="dxa"/>
            <w:vAlign w:val="center"/>
          </w:tcPr>
          <w:p>
            <w:pPr>
              <w:pStyle w:val="13"/>
            </w:pPr>
          </w:p>
        </w:tc>
        <w:tc>
          <w:tcPr>
            <w:tcW w:w="2551" w:type="dxa"/>
            <w:vAlign w:val="center"/>
          </w:tcPr>
          <w:p>
            <w:pPr>
              <w:pStyle w:val="13"/>
            </w:pPr>
            <w:r>
              <w:t>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1.07</w:t>
            </w:r>
          </w:p>
        </w:tc>
        <w:tc>
          <w:tcPr>
            <w:tcW w:w="2551" w:type="dxa"/>
            <w:vAlign w:val="center"/>
          </w:tcPr>
          <w:p>
            <w:pPr>
              <w:pStyle w:val="13"/>
            </w:pPr>
          </w:p>
        </w:tc>
        <w:tc>
          <w:tcPr>
            <w:tcW w:w="2551" w:type="dxa"/>
            <w:vAlign w:val="center"/>
          </w:tcPr>
          <w:p>
            <w:pPr>
              <w:pStyle w:val="13"/>
            </w:pPr>
            <w:r>
              <w:t>1.07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0.73</w:t>
            </w:r>
          </w:p>
        </w:tc>
        <w:tc>
          <w:tcPr>
            <w:tcW w:w="2551" w:type="dxa"/>
            <w:vAlign w:val="center"/>
          </w:tcPr>
          <w:p>
            <w:pPr>
              <w:pStyle w:val="13"/>
            </w:pPr>
          </w:p>
        </w:tc>
        <w:tc>
          <w:tcPr>
            <w:tcW w:w="2551" w:type="dxa"/>
            <w:vAlign w:val="center"/>
          </w:tcPr>
          <w:p>
            <w:pPr>
              <w:pStyle w:val="13"/>
            </w:pPr>
            <w:r>
              <w:t>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0.17</w:t>
            </w:r>
          </w:p>
        </w:tc>
        <w:tc>
          <w:tcPr>
            <w:tcW w:w="2551" w:type="dxa"/>
            <w:vAlign w:val="center"/>
          </w:tcPr>
          <w:p>
            <w:pPr>
              <w:pStyle w:val="13"/>
            </w:pPr>
          </w:p>
        </w:tc>
        <w:tc>
          <w:tcPr>
            <w:tcW w:w="2551" w:type="dxa"/>
            <w:vAlign w:val="center"/>
          </w:tcPr>
          <w:p>
            <w:pPr>
              <w:pStyle w:val="13"/>
            </w:pPr>
            <w:r>
              <w:t>0.17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6177.00</w:t>
            </w:r>
          </w:p>
        </w:tc>
        <w:tc>
          <w:tcPr>
            <w:tcW w:w="2551" w:type="dxa"/>
            <w:vAlign w:val="center"/>
          </w:tcPr>
          <w:p>
            <w:pPr>
              <w:pStyle w:val="17"/>
            </w:pPr>
          </w:p>
        </w:tc>
        <w:tc>
          <w:tcPr>
            <w:tcW w:w="2551" w:type="dxa"/>
            <w:vAlign w:val="center"/>
          </w:tcPr>
          <w:p>
            <w:pPr>
              <w:pStyle w:val="17"/>
            </w:pPr>
            <w:r>
              <w:t>6177.00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6177.00</w:t>
            </w:r>
          </w:p>
        </w:tc>
        <w:tc>
          <w:tcPr>
            <w:tcW w:w="2551" w:type="dxa"/>
            <w:vAlign w:val="center"/>
          </w:tcPr>
          <w:p>
            <w:pPr>
              <w:pStyle w:val="13"/>
            </w:pPr>
          </w:p>
        </w:tc>
        <w:tc>
          <w:tcPr>
            <w:tcW w:w="2551" w:type="dxa"/>
            <w:vAlign w:val="center"/>
          </w:tcPr>
          <w:p>
            <w:pPr>
              <w:pStyle w:val="13"/>
            </w:pPr>
            <w:r>
              <w:t>6177.00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6177.00</w:t>
            </w:r>
          </w:p>
        </w:tc>
        <w:tc>
          <w:tcPr>
            <w:tcW w:w="2551" w:type="dxa"/>
            <w:vAlign w:val="center"/>
          </w:tcPr>
          <w:p>
            <w:pPr>
              <w:pStyle w:val="13"/>
            </w:pPr>
          </w:p>
        </w:tc>
        <w:tc>
          <w:tcPr>
            <w:tcW w:w="2551" w:type="dxa"/>
            <w:vAlign w:val="center"/>
          </w:tcPr>
          <w:p>
            <w:pPr>
              <w:pStyle w:val="13"/>
            </w:pPr>
            <w:r>
              <w:t>6177.00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5171.00</w:t>
            </w:r>
          </w:p>
        </w:tc>
        <w:tc>
          <w:tcPr>
            <w:tcW w:w="2551" w:type="dxa"/>
            <w:vAlign w:val="center"/>
          </w:tcPr>
          <w:p>
            <w:pPr>
              <w:pStyle w:val="13"/>
            </w:pPr>
          </w:p>
        </w:tc>
        <w:tc>
          <w:tcPr>
            <w:tcW w:w="2551" w:type="dxa"/>
            <w:vAlign w:val="center"/>
          </w:tcPr>
          <w:p>
            <w:pPr>
              <w:pStyle w:val="13"/>
            </w:pPr>
            <w:r>
              <w:t>5171.00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2120802</w:t>
            </w:r>
          </w:p>
        </w:tc>
        <w:tc>
          <w:tcPr>
            <w:tcW w:w="4535" w:type="dxa"/>
            <w:vAlign w:val="center"/>
          </w:tcPr>
          <w:p>
            <w:pPr>
              <w:pStyle w:val="14"/>
            </w:pPr>
            <w:r>
              <w:t>土地开发支出</w:t>
            </w:r>
          </w:p>
        </w:tc>
        <w:tc>
          <w:tcPr>
            <w:tcW w:w="2551" w:type="dxa"/>
            <w:vAlign w:val="center"/>
          </w:tcPr>
          <w:p>
            <w:pPr>
              <w:pStyle w:val="13"/>
            </w:pPr>
            <w:r>
              <w:t>1006.00</w:t>
            </w:r>
          </w:p>
        </w:tc>
        <w:tc>
          <w:tcPr>
            <w:tcW w:w="2551" w:type="dxa"/>
            <w:vAlign w:val="center"/>
          </w:tcPr>
          <w:p>
            <w:pPr>
              <w:pStyle w:val="13"/>
            </w:pPr>
          </w:p>
        </w:tc>
        <w:tc>
          <w:tcPr>
            <w:tcW w:w="2551" w:type="dxa"/>
            <w:vAlign w:val="center"/>
          </w:tcPr>
          <w:p>
            <w:pPr>
              <w:pStyle w:val="13"/>
            </w:pPr>
            <w:r>
              <w:t>1006.00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3.06</w:t>
            </w:r>
          </w:p>
        </w:tc>
        <w:tc>
          <w:tcPr>
            <w:tcW w:w="2381" w:type="dxa"/>
            <w:vAlign w:val="center"/>
          </w:tcPr>
          <w:p>
            <w:pPr>
              <w:pStyle w:val="17"/>
            </w:pPr>
            <w:r>
              <w:t>3.06</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二、公务用车购置及运维费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三、公务接待费</w:t>
            </w:r>
          </w:p>
        </w:tc>
        <w:tc>
          <w:tcPr>
            <w:tcW w:w="2381" w:type="dxa"/>
            <w:vAlign w:val="center"/>
          </w:tcPr>
          <w:p>
            <w:pPr>
              <w:pStyle w:val="13"/>
            </w:pPr>
            <w:r>
              <w:t>0.06</w:t>
            </w:r>
          </w:p>
        </w:tc>
        <w:tc>
          <w:tcPr>
            <w:tcW w:w="2381" w:type="dxa"/>
            <w:vAlign w:val="center"/>
          </w:tcPr>
          <w:p>
            <w:pPr>
              <w:pStyle w:val="13"/>
            </w:pPr>
            <w:r>
              <w:t>0.06</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石家庄市正定新区土地收储中心2025年部门预算信息公开情况说明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石家庄市正定新区土地收储中心2025年部门预算信息公开情况说明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both"/>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按照《中华人民共和国预算法》、《地方预决算公开操作规程》和《关于进一步推进预算公开工作的实施意见》规定，现将石家庄市正定新区土地收储中心2025年部门预算公开如下：</w:t>
      </w:r>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both"/>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240" w:lineRule="auto"/>
        <w:ind w:firstLine="640"/>
        <w:jc w:val="both"/>
        <w:textAlignment w:val="auto"/>
        <w:outlineLvl w:val="9"/>
      </w:pPr>
      <w:r>
        <w:rPr>
          <w:rFonts w:ascii="方正楷体_GBK" w:hAnsi="方正楷体_GBK" w:eastAsia="方正楷体_GBK" w:cs="方正楷体_GBK"/>
          <w:b/>
          <w:color w:val="000000"/>
          <w:sz w:val="32"/>
        </w:rPr>
        <w:t>部门职责：</w:t>
      </w:r>
    </w:p>
    <w:p>
      <w:pPr>
        <w:pStyle w:val="19"/>
        <w:keepNext w:val="0"/>
        <w:keepLines w:val="0"/>
        <w:pageBreakBefore w:val="0"/>
        <w:widowControl/>
        <w:kinsoku/>
        <w:wordWrap/>
        <w:overflowPunct/>
        <w:topLinePunct w:val="0"/>
        <w:autoSpaceDE/>
        <w:autoSpaceDN/>
        <w:bidi w:val="0"/>
        <w:adjustRightInd/>
        <w:snapToGrid/>
        <w:jc w:val="both"/>
        <w:textAlignment w:val="auto"/>
      </w:pPr>
      <w:r>
        <w:t>2025年，严格土地管理，规范用地秩序，加大服务和保障新城项目用地工作力度，着力提高效率，努力打造“高效、廉洁自然资源新形象”。</w:t>
      </w:r>
    </w:p>
    <w:p>
      <w:pPr>
        <w:pStyle w:val="19"/>
        <w:keepNext w:val="0"/>
        <w:keepLines w:val="0"/>
        <w:pageBreakBefore w:val="0"/>
        <w:widowControl/>
        <w:kinsoku/>
        <w:wordWrap/>
        <w:overflowPunct/>
        <w:topLinePunct w:val="0"/>
        <w:autoSpaceDE/>
        <w:autoSpaceDN/>
        <w:bidi w:val="0"/>
        <w:adjustRightInd/>
        <w:snapToGrid/>
        <w:jc w:val="both"/>
        <w:textAlignment w:val="auto"/>
      </w:pPr>
      <w:r>
        <w:t>（一）按照市委、市政府对新城土地一次性收储的要求，按照“土地利息收储法”对托管范围内两个办事处的20个村的集体土地进行了预收储，收储面积7万余亩。并配合财政局每年按照土地收储协议，按时支付各村土地收储利息。</w:t>
      </w:r>
    </w:p>
    <w:p>
      <w:pPr>
        <w:pStyle w:val="19"/>
        <w:keepNext w:val="0"/>
        <w:keepLines w:val="0"/>
        <w:pageBreakBefore w:val="0"/>
        <w:widowControl/>
        <w:kinsoku/>
        <w:wordWrap/>
        <w:overflowPunct/>
        <w:topLinePunct w:val="0"/>
        <w:autoSpaceDE/>
        <w:autoSpaceDN/>
        <w:bidi w:val="0"/>
        <w:adjustRightInd/>
        <w:snapToGrid/>
        <w:jc w:val="both"/>
        <w:textAlignment w:val="auto"/>
      </w:pPr>
      <w:r>
        <w:t>（二）合理利用耕地资源，加强土地管理，对收回的国有土地、房屋及闲置资产进行监督管理和充分提高国有资产的使用效率。</w:t>
      </w:r>
    </w:p>
    <w:p>
      <w:pPr>
        <w:pStyle w:val="19"/>
        <w:keepNext w:val="0"/>
        <w:keepLines w:val="0"/>
        <w:pageBreakBefore w:val="0"/>
        <w:widowControl/>
        <w:kinsoku/>
        <w:wordWrap/>
        <w:overflowPunct/>
        <w:topLinePunct w:val="0"/>
        <w:autoSpaceDE/>
        <w:autoSpaceDN/>
        <w:bidi w:val="0"/>
        <w:adjustRightInd/>
        <w:snapToGrid/>
        <w:jc w:val="both"/>
        <w:textAlignment w:val="auto"/>
      </w:pPr>
      <w:r>
        <w:t>（三）全面落实“三严三实”专题教育要求，加强干部管理，要做到“严以修身、严以用权 严以律己，谋事要实、创业要实、做人要实”。</w:t>
      </w:r>
    </w:p>
    <w:p>
      <w:pPr>
        <w:pStyle w:val="19"/>
        <w:keepNext w:val="0"/>
        <w:keepLines w:val="0"/>
        <w:pageBreakBefore w:val="0"/>
        <w:widowControl/>
        <w:kinsoku/>
        <w:wordWrap/>
        <w:overflowPunct/>
        <w:topLinePunct w:val="0"/>
        <w:autoSpaceDE/>
        <w:autoSpaceDN/>
        <w:bidi w:val="0"/>
        <w:adjustRightInd/>
        <w:snapToGrid/>
        <w:jc w:val="both"/>
        <w:textAlignment w:val="auto"/>
      </w:pPr>
      <w:r>
        <w:t>（四）严格落实各项工作制度，进一步加强机关效能建设，努力转变工作作风，不断增强依法行政意识，切实提高工作效率和服务水平，始终加强党风廉政建设。</w:t>
      </w:r>
    </w:p>
    <w:p>
      <w:pPr>
        <w:pStyle w:val="19"/>
        <w:keepNext w:val="0"/>
        <w:keepLines w:val="0"/>
        <w:pageBreakBefore w:val="0"/>
        <w:widowControl/>
        <w:kinsoku/>
        <w:wordWrap/>
        <w:overflowPunct/>
        <w:topLinePunct w:val="0"/>
        <w:autoSpaceDE/>
        <w:autoSpaceDN/>
        <w:bidi w:val="0"/>
        <w:adjustRightInd/>
        <w:snapToGrid/>
        <w:jc w:val="both"/>
        <w:textAlignment w:val="auto"/>
      </w:pPr>
      <w:r>
        <w:t>（五）结合日常工作加大业务培训和学习力度。在日常自学的基础上，继续采取以老带新，传帮带，分任务、压担子，“请进来”授课（外请专家、上级业务骨干集中授课，强化业务理论学习），“走出去”调研（主动走出去，对标国土资源管理先进单位经验做法，向兄弟单位取经）等方式，尽快提高收储中心队伍整体素质，努力完成市局党组和新城党工委赋予的各项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石家庄市正定新区土地收储中心本级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rPr>
                <w:rFonts w:hint="eastAsia" w:eastAsia="方正书宋_GBK"/>
                <w:lang w:val="en-US" w:eastAsia="zh-CN"/>
              </w:rPr>
            </w:pPr>
            <w:r>
              <w:t>财政</w:t>
            </w:r>
            <w:r>
              <w:rPr>
                <w:rFonts w:hint="eastAsia"/>
                <w:lang w:eastAsia="zh-CN"/>
              </w:rPr>
              <w:t>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keepNext w:val="0"/>
        <w:keepLines w:val="0"/>
        <w:pageBreakBefore w:val="0"/>
        <w:widowControl/>
        <w:kinsoku/>
        <w:wordWrap/>
        <w:overflowPunct/>
        <w:topLinePunct w:val="0"/>
        <w:autoSpaceDE/>
        <w:autoSpaceDN/>
        <w:bidi w:val="0"/>
        <w:adjustRightInd/>
        <w:snapToGrid/>
        <w:ind w:firstLine="561"/>
        <w:jc w:val="both"/>
        <w:textAlignment w:val="auto"/>
      </w:pPr>
      <w:r>
        <w:t>按照预算管理有关规定，目前部门预算的编制实行综合预算管理，即全部收入和支出都反映在预算中。石家庄市正定新区土地收储中心机关及所属事业单位的收支包含在部门预算中。</w:t>
      </w:r>
    </w:p>
    <w:p>
      <w:pPr>
        <w:pStyle w:val="20"/>
        <w:keepNext w:val="0"/>
        <w:keepLines w:val="0"/>
        <w:pageBreakBefore w:val="0"/>
        <w:widowControl/>
        <w:kinsoku/>
        <w:wordWrap/>
        <w:overflowPunct/>
        <w:topLinePunct w:val="0"/>
        <w:autoSpaceDE/>
        <w:autoSpaceDN/>
        <w:bidi w:val="0"/>
        <w:adjustRightInd/>
        <w:snapToGrid/>
        <w:ind w:firstLine="561"/>
        <w:jc w:val="both"/>
        <w:textAlignment w:val="auto"/>
      </w:pPr>
      <w:r>
        <w:t>1、收入说明</w:t>
      </w:r>
    </w:p>
    <w:p>
      <w:pPr>
        <w:pStyle w:val="20"/>
        <w:keepNext w:val="0"/>
        <w:keepLines w:val="0"/>
        <w:pageBreakBefore w:val="0"/>
        <w:widowControl/>
        <w:kinsoku/>
        <w:wordWrap/>
        <w:overflowPunct/>
        <w:topLinePunct w:val="0"/>
        <w:autoSpaceDE/>
        <w:autoSpaceDN/>
        <w:bidi w:val="0"/>
        <w:adjustRightInd/>
        <w:snapToGrid/>
        <w:ind w:firstLine="561"/>
        <w:jc w:val="both"/>
        <w:textAlignment w:val="auto"/>
      </w:pPr>
      <w:r>
        <w:t>反映本部门当年全部收入。2025年预算收入16904.92万元，其中：一般公共预算收入10727.92万元，基金预算收入6177.00万元，国有资本经营预算收入0.00万元，财政专户核拨收入0.00万元，单位资金收入0.00万元，上年结转结余0.00万元。</w:t>
      </w:r>
    </w:p>
    <w:p>
      <w:pPr>
        <w:pStyle w:val="20"/>
        <w:keepNext w:val="0"/>
        <w:keepLines w:val="0"/>
        <w:pageBreakBefore w:val="0"/>
        <w:widowControl/>
        <w:kinsoku/>
        <w:wordWrap/>
        <w:overflowPunct/>
        <w:topLinePunct w:val="0"/>
        <w:autoSpaceDE/>
        <w:autoSpaceDN/>
        <w:bidi w:val="0"/>
        <w:adjustRightInd/>
        <w:snapToGrid/>
        <w:ind w:firstLine="561"/>
        <w:jc w:val="both"/>
        <w:textAlignment w:val="auto"/>
      </w:pPr>
      <w:r>
        <w:t>2、支出说明</w:t>
      </w:r>
    </w:p>
    <w:p>
      <w:pPr>
        <w:pStyle w:val="20"/>
        <w:keepNext w:val="0"/>
        <w:keepLines w:val="0"/>
        <w:pageBreakBefore w:val="0"/>
        <w:widowControl/>
        <w:kinsoku/>
        <w:wordWrap/>
        <w:overflowPunct/>
        <w:topLinePunct w:val="0"/>
        <w:autoSpaceDE/>
        <w:autoSpaceDN/>
        <w:bidi w:val="0"/>
        <w:adjustRightInd/>
        <w:snapToGrid/>
        <w:ind w:firstLine="561"/>
        <w:jc w:val="both"/>
        <w:textAlignment w:val="auto"/>
      </w:pPr>
      <w:r>
        <w:t>收支预算总表支出栏、基本支出表、项目支出表按经济分类和支出功能分类科目编制，反映石家庄市正定新区土地收储中心年度部门预算中支出预算的总体情况。2025年支出预算16904.92万元，其中基本支出130.42万元，包括人员经费121.83万元和日常公用经费8.59万元；项目支出16774.50万元，</w:t>
      </w:r>
      <w:r>
        <w:rPr>
          <w:highlight w:val="none"/>
        </w:rPr>
        <w:t>主要为征地补偿款及土地利息</w:t>
      </w:r>
      <w:r>
        <w:rPr>
          <w:rFonts w:hint="eastAsia"/>
          <w:highlight w:val="none"/>
          <w:lang w:val="en-US" w:eastAsia="zh-CN"/>
        </w:rPr>
        <w:t>15000万元</w:t>
      </w:r>
      <w:r>
        <w:rPr>
          <w:highlight w:val="none"/>
        </w:rPr>
        <w:t>、耕地占用</w:t>
      </w:r>
      <w:r>
        <w:rPr>
          <w:rFonts w:hint="eastAsia"/>
          <w:highlight w:val="none"/>
          <w:lang w:val="en-US" w:eastAsia="zh-CN"/>
        </w:rPr>
        <w:t>1000万元</w:t>
      </w:r>
      <w:r>
        <w:rPr>
          <w:highlight w:val="none"/>
        </w:rPr>
        <w:t>税等</w:t>
      </w:r>
      <w:r>
        <w:t>。</w:t>
      </w:r>
    </w:p>
    <w:p>
      <w:pPr>
        <w:pStyle w:val="20"/>
        <w:keepNext w:val="0"/>
        <w:keepLines w:val="0"/>
        <w:pageBreakBefore w:val="0"/>
        <w:widowControl/>
        <w:kinsoku/>
        <w:wordWrap/>
        <w:overflowPunct/>
        <w:topLinePunct w:val="0"/>
        <w:autoSpaceDE/>
        <w:autoSpaceDN/>
        <w:bidi w:val="0"/>
        <w:adjustRightInd/>
        <w:snapToGrid/>
        <w:jc w:val="both"/>
        <w:textAlignment w:val="auto"/>
      </w:pPr>
      <w:r>
        <w:t>3、比上年增减情况</w:t>
      </w:r>
    </w:p>
    <w:p>
      <w:pPr>
        <w:pStyle w:val="20"/>
        <w:keepNext w:val="0"/>
        <w:keepLines w:val="0"/>
        <w:pageBreakBefore w:val="0"/>
        <w:widowControl/>
        <w:kinsoku/>
        <w:wordWrap/>
        <w:overflowPunct/>
        <w:topLinePunct w:val="0"/>
        <w:autoSpaceDE/>
        <w:autoSpaceDN/>
        <w:bidi w:val="0"/>
        <w:adjustRightInd/>
        <w:snapToGrid/>
        <w:jc w:val="both"/>
        <w:textAlignment w:val="auto"/>
      </w:pPr>
      <w:r>
        <w:t>2025年预算收支安排16904.92万元，较2024年预算减少3673.36万元，其中：基本支出减少0.36万元，主要为人员经费减少。项目支出减少3673.00万元，主要为征地补偿款及土地利息减少</w:t>
      </w:r>
      <w:r>
        <w:rPr>
          <w:rFonts w:hint="eastAsia"/>
          <w:lang w:val="en-US" w:eastAsia="zh-CN"/>
        </w:rPr>
        <w:t>3000</w:t>
      </w:r>
      <w:r>
        <w:rPr>
          <w:rFonts w:hint="eastAsia"/>
          <w:highlight w:val="none"/>
          <w:lang w:val="en-US" w:eastAsia="zh-CN"/>
        </w:rPr>
        <w:t>万元</w:t>
      </w:r>
      <w:r>
        <w:t>、耕地占用税减少</w:t>
      </w:r>
      <w:r>
        <w:rPr>
          <w:rFonts w:hint="eastAsia"/>
          <w:lang w:val="en-US" w:eastAsia="zh-CN"/>
        </w:rPr>
        <w:t>500</w:t>
      </w:r>
      <w:r>
        <w:rPr>
          <w:rFonts w:hint="eastAsia"/>
          <w:highlight w:val="none"/>
          <w:lang w:val="en-US" w:eastAsia="zh-CN"/>
        </w:rPr>
        <w:t>万元</w:t>
      </w:r>
      <w:r>
        <w:t>等。</w:t>
      </w:r>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both"/>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1"/>
        <w:keepNext w:val="0"/>
        <w:keepLines w:val="0"/>
        <w:pageBreakBefore w:val="0"/>
        <w:widowControl/>
        <w:kinsoku/>
        <w:wordWrap/>
        <w:overflowPunct/>
        <w:topLinePunct w:val="0"/>
        <w:autoSpaceDE/>
        <w:autoSpaceDN/>
        <w:bidi w:val="0"/>
        <w:adjustRightInd/>
        <w:snapToGrid/>
        <w:jc w:val="both"/>
        <w:textAlignment w:val="auto"/>
      </w:pPr>
      <w:r>
        <w:t>2025年，我部门机关运行经费共计安排8.59万元，主要用于日常维修、办公用房水电费、办公用房取暖费、办公用房物业管理费等日常运行支出。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both"/>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keepNext w:val="0"/>
        <w:keepLines w:val="0"/>
        <w:pageBreakBefore w:val="0"/>
        <w:widowControl/>
        <w:kinsoku/>
        <w:wordWrap/>
        <w:overflowPunct/>
        <w:topLinePunct w:val="0"/>
        <w:autoSpaceDE/>
        <w:autoSpaceDN/>
        <w:bidi w:val="0"/>
        <w:adjustRightInd/>
        <w:snapToGrid/>
        <w:jc w:val="both"/>
        <w:textAlignment w:val="auto"/>
        <w:rPr>
          <w:highlight w:val="none"/>
        </w:rPr>
      </w:pPr>
      <w:r>
        <w:rPr>
          <w:highlight w:val="none"/>
        </w:rPr>
        <w:t>2025年，我部门财政拨款“三公”经费预算安排3.06万元，</w:t>
      </w:r>
      <w:r>
        <w:rPr>
          <w:rFonts w:hint="eastAsia"/>
          <w:highlight w:val="none"/>
        </w:rPr>
        <w:t>较 2024 年“三公”经费相比无变化，与上年一致</w:t>
      </w:r>
      <w:r>
        <w:rPr>
          <w:rFonts w:hint="eastAsia"/>
          <w:highlight w:val="none"/>
          <w:lang w:eastAsia="zh-CN"/>
        </w:rPr>
        <w:t>。</w:t>
      </w:r>
      <w:r>
        <w:rPr>
          <w:highlight w:val="none"/>
        </w:rPr>
        <w:t>其中因公出国（境）费0.00万元</w:t>
      </w:r>
      <w:r>
        <w:rPr>
          <w:rFonts w:hint="eastAsia"/>
          <w:highlight w:val="none"/>
          <w:lang w:eastAsia="zh-CN"/>
        </w:rPr>
        <w:t>，较上年无变化</w:t>
      </w:r>
      <w:r>
        <w:rPr>
          <w:highlight w:val="none"/>
        </w:rPr>
        <w:t>；公务用车购置及运维费3.00万元（其中：公务用车购置费为0.00万元，公务用车运维费3.00万元)</w:t>
      </w:r>
      <w:r>
        <w:rPr>
          <w:rFonts w:hint="eastAsia"/>
          <w:highlight w:val="none"/>
          <w:lang w:eastAsia="zh-CN"/>
        </w:rPr>
        <w:t>，较上年无变化，与上年一致</w:t>
      </w:r>
      <w:r>
        <w:rPr>
          <w:highlight w:val="none"/>
        </w:rPr>
        <w:t>；公务接待费0.06万元</w:t>
      </w:r>
      <w:r>
        <w:rPr>
          <w:rFonts w:hint="eastAsia"/>
          <w:highlight w:val="none"/>
          <w:lang w:eastAsia="zh-CN"/>
        </w:rPr>
        <w:t>，较上年无变化，与上年一致</w:t>
      </w:r>
      <w:r>
        <w:rPr>
          <w:highlight w:val="none"/>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在正定新城管委会和市自然资源和规划局党组的正确领导下，在各单位的积极配合下，土地收储中心严格按照正定新城规划部署，根据2025年度土地储备计划和正定新城建设发展需要，紧紧围绕新城重点项目用地，进一步完善和提升正定新城，大力促进新城早出规模，快建形象，实现跨越发展。合理利用耕地资源，加强土地管理，保护耕地，完成耕地改造，再利用，节约利用林地，改善生态环境；做好土地管理储备工作，按时支付年度土地收储利息；进一步加大闲置土地处置力度，增强闲置资产管理保障能力，认真执行国家资产管理的法律、法规、方针和政策；保障部门行政工作高效有序，落实好本部门及上级指示的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1.土地管理工作</w:t>
      </w:r>
    </w:p>
    <w:p>
      <w:pPr>
        <w:pStyle w:val="24"/>
      </w:pPr>
      <w:r>
        <w:t>绩效目标：合理利用耕地资源，加强土地管理，保护耕地，完成耕地改造，再利用。节约利用林地、培育和恢复森林植被实现森林植被占补平衡。</w:t>
      </w:r>
    </w:p>
    <w:p>
      <w:pPr>
        <w:pStyle w:val="24"/>
      </w:pPr>
      <w:r>
        <w:t>绩效指标：缴纳税费完成率≥95%，完成缴纳税费时间≤30天，森林植被恢复合格率≥90%。</w:t>
      </w:r>
    </w:p>
    <w:p>
      <w:pPr>
        <w:pStyle w:val="24"/>
      </w:pPr>
      <w:r>
        <w:t>2.土地征收工作</w:t>
      </w:r>
    </w:p>
    <w:p>
      <w:pPr>
        <w:pStyle w:val="24"/>
      </w:pPr>
      <w:r>
        <w:t>绩效目标：加强国有土地、集体土地收储征收工作力度，按时拨付建设用地足额预存工作,及时支付2025-2026年度土地收储利息，依法合理做好土地管理储备工作。</w:t>
      </w:r>
    </w:p>
    <w:p>
      <w:pPr>
        <w:pStyle w:val="24"/>
      </w:pPr>
      <w:r>
        <w:t>绩效指标：支付利息完成率≥90%，支付2025-2026年度土地收储利息时间≤1年。</w:t>
      </w:r>
    </w:p>
    <w:p>
      <w:pPr>
        <w:pStyle w:val="24"/>
      </w:pPr>
      <w:r>
        <w:t>3.国有资产管理维护工作</w:t>
      </w:r>
    </w:p>
    <w:p>
      <w:pPr>
        <w:pStyle w:val="24"/>
      </w:pPr>
      <w:r>
        <w:t>绩效目标：认真执行国家资产管理的法律、法规、方针和政策，根据国家以及新城管委会和收储中心资产管理的规定对收回的国有资产、集体资产做好管理和服务工作，进一步加大闲置土地处置力度，增强闲置资产管理保障能力。</w:t>
      </w:r>
    </w:p>
    <w:p>
      <w:pPr>
        <w:pStyle w:val="24"/>
      </w:pPr>
      <w:r>
        <w:t>绩效指标：国有闲置资产维护合格率≥90%。</w:t>
      </w:r>
    </w:p>
    <w:p>
      <w:pPr>
        <w:pStyle w:val="24"/>
      </w:pPr>
      <w:r>
        <w:t>4.保障部门工作正常运转</w:t>
      </w:r>
    </w:p>
    <w:p>
      <w:pPr>
        <w:pStyle w:val="24"/>
      </w:pPr>
      <w:r>
        <w:t>绩效目标：做好相关综合性事务管理，保障行政工作高效有序的落实本部门及上级部门指示的工作。</w:t>
      </w:r>
    </w:p>
    <w:p>
      <w:pPr>
        <w:pStyle w:val="24"/>
      </w:pPr>
      <w:r>
        <w:t>绩效指标：购置办公用品质量合格率≥90%。</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我单位按照《中华人民共和国预算法》、《事业单位财务管理制度》、《专项资金管理办法》及相关业务规定等一系列规章制度作为工作保障，进一步强化绩效导向，提高资金使用的规范性、安全性和有效性；完善的预算绩效管理制度，项目落实到人，定期组织项目推进会，保证项目顺利完成。</w:t>
      </w:r>
    </w:p>
    <w:p>
      <w:pPr>
        <w:pStyle w:val="25"/>
      </w:pPr>
      <w:r>
        <w:t>加强支出管理。按照我国公共财政的相关要求，逐步构建一个重点突出、规范合理、实效性强的科学财政支出结构，并且不断优化财政的支出管理，充分发挥财政的应有作用，进一步确保财政核算结果的可靠性、完整性；进一步确保财政核算结果的可靠性及完整性，才能够保证财政的每一项支出是一目了然；编制预算细化编制到具体承担单位和实施项目，提高部门预算编制完整性和到位率；将“钱等项目”转化为“项目等钱”，前期履行好相关手续，确保各项准备工作均已到位，项目实施过程要按照相关规定及时支付资金，确保支出进度达标。</w:t>
      </w:r>
    </w:p>
    <w:p>
      <w:pPr>
        <w:pStyle w:val="25"/>
      </w:pPr>
      <w:r>
        <w:t>加强绩效运行监控。运行监控是确保绩效目标顺利完成的必要手段，一要重点监控绩效目标完成情况；二要监控预算资金执行情况；三要监控重大政策和重大项目绩效延伸情况。旨在对效益发挥、资金支出进度及绩效目标实现程度存在问题的要及时提出纠偏整改意见建议，适时调整项目实施方案和工作措施方法。</w:t>
      </w:r>
    </w:p>
    <w:p>
      <w:pPr>
        <w:pStyle w:val="25"/>
      </w:pPr>
      <w:r>
        <w:t>做好绩效自评。部门领导高度重视财政资金支出的绩效情况，开展上年度部门预算绩效自评和重点评价工作，建立和健全财政支出的追踪问责和问效制度，对提高财政资金的规范高效运作程度、增加财政资金的使用效果和效益、促进政府财力的可持续发展以及有效转变政府职能，重视绩效结果的应用，有利于优化财政支出结构的调整。</w:t>
      </w:r>
    </w:p>
    <w:p>
      <w:pPr>
        <w:pStyle w:val="25"/>
      </w:pPr>
      <w:r>
        <w:t>规范财务资产管理。按照财务制度与政策法规，对财政资金进行有计划的筹集、运用和分配，并对相关经济活动进行核算、监督与控制，以确保各项工作的顺利完成。一是完善相关财务制度，明确审批程序，保证支出的每一分钱都用到实处；二是规范国有资产，杜绝资产漏记，同时注重对资产的使用、处置需履行相关手续。</w:t>
      </w:r>
    </w:p>
    <w:p>
      <w:pPr>
        <w:pStyle w:val="25"/>
      </w:pPr>
      <w:r>
        <w:t>加强内部监督。一是健全财务程序。包括：明确职责分工，建立相互制约机制；严格各项费用开支标准和审批权限；建立预算监督和专项经费检查制度；加强内部审计和经常复核的制度。二是规范公用费用，在承诺阶段做到确认支出的资金建议已经得到了批准，在执行过程中确认支出是否满足支出条件及要求，在支出后进行审计工作，详细审查支出和报告任何可能的违规行为。三是在行政单位内控制度的设计中，通过集中支付来负责实施，使公用经费的支出得到控制。</w:t>
      </w:r>
    </w:p>
    <w:p>
      <w:pPr>
        <w:pStyle w:val="25"/>
        <w:sectPr>
          <w:pgSz w:w="16840" w:h="11900" w:orient="landscape"/>
          <w:pgMar w:top="1361" w:right="1020" w:bottom="1361" w:left="1020" w:header="720" w:footer="720" w:gutter="0"/>
          <w:cols w:space="720" w:num="1"/>
        </w:sectPr>
      </w:pPr>
      <w:r>
        <w:t>加强宣传培训调研等。强化制度学习，提高制度执行的自觉性。一是定期组织干部学习，提高职工业务素质。二是提高培训覆盖面，从财务管理、办公用品采购、车辆管理、资源节约等涉及机关工作的方方面面开展培训工作，让大家深刻的认识机关管理的重要性和必要性，促进预算绩效管理水平的提升。</w:t>
      </w:r>
      <w:bookmarkStart w:id="20" w:name="_GoBack"/>
      <w:bookmarkEnd w:id="20"/>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tabs>
          <w:tab w:val="left" w:pos="815"/>
        </w:tabs>
        <w:bidi w:val="0"/>
        <w:jc w:val="left"/>
        <w:rPr>
          <w:rFonts w:hint="eastAsia" w:ascii="Times New Roman" w:hAnsi="Times New Roman" w:eastAsia="宋体"/>
          <w:sz w:val="24"/>
          <w:szCs w:val="24"/>
          <w:lang w:val="en-US" w:eastAsia="zh-CN" w:bidi="ar-SA"/>
        </w:rPr>
        <w:sectPr>
          <w:pgSz w:w="16840" w:h="11900" w:orient="landscape"/>
          <w:pgMar w:top="1361" w:right="1020" w:bottom="1134" w:left="1020" w:header="720" w:footer="720" w:gutter="0"/>
          <w:cols w:space="720" w:num="1"/>
        </w:sectPr>
      </w:pPr>
      <w:r>
        <w:rPr>
          <w:rFonts w:hint="eastAsia" w:eastAsia="宋体"/>
          <w:sz w:val="24"/>
          <w:szCs w:val="24"/>
          <w:lang w:val="en-US" w:eastAsia="zh-CN" w:bidi="ar-SA"/>
        </w:rPr>
        <w:tab/>
      </w:r>
      <w:r>
        <w:rPr>
          <w:rFonts w:hint="eastAsia" w:ascii="黑体" w:hAnsi="黑体" w:eastAsia="黑体" w:cs="黑体"/>
          <w:sz w:val="32"/>
          <w:szCs w:val="32"/>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13018625P000014100031</w:t>
            </w:r>
          </w:p>
        </w:tc>
        <w:tc>
          <w:tcPr>
            <w:tcW w:w="2835" w:type="dxa"/>
            <w:vAlign w:val="center"/>
          </w:tcPr>
          <w:p>
            <w:pPr>
              <w:pStyle w:val="12"/>
            </w:pPr>
            <w:r>
              <w:t>项目名称</w:t>
            </w:r>
          </w:p>
        </w:tc>
        <w:tc>
          <w:tcPr>
            <w:tcW w:w="6095" w:type="dxa"/>
            <w:gridSpan w:val="3"/>
            <w:vAlign w:val="center"/>
          </w:tcPr>
          <w:p>
            <w:pPr>
              <w:pStyle w:val="14"/>
            </w:pPr>
            <w:r>
              <w:t>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w:t>
            </w:r>
          </w:p>
        </w:tc>
        <w:tc>
          <w:tcPr>
            <w:tcW w:w="2835" w:type="dxa"/>
            <w:vAlign w:val="center"/>
          </w:tcPr>
          <w:p>
            <w:pPr>
              <w:pStyle w:val="12"/>
            </w:pPr>
            <w:r>
              <w:t>其中：财政    资金</w:t>
            </w:r>
          </w:p>
        </w:tc>
        <w:tc>
          <w:tcPr>
            <w:tcW w:w="2551" w:type="dxa"/>
            <w:vAlign w:val="center"/>
          </w:tcPr>
          <w:p>
            <w:pPr>
              <w:pStyle w:val="14"/>
            </w:pPr>
            <w:r>
              <w:t>3.50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购买办公用品，保障单位正常运转。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1.50</w:t>
            </w:r>
          </w:p>
        </w:tc>
        <w:tc>
          <w:tcPr>
            <w:tcW w:w="2551" w:type="dxa"/>
            <w:vAlign w:val="center"/>
          </w:tcPr>
          <w:p>
            <w:pPr>
              <w:pStyle w:val="15"/>
            </w:pPr>
            <w:r>
              <w:t>1.50</w:t>
            </w:r>
          </w:p>
        </w:tc>
        <w:tc>
          <w:tcPr>
            <w:tcW w:w="3544" w:type="dxa"/>
            <w:gridSpan w:val="2"/>
            <w:vAlign w:val="center"/>
          </w:tcPr>
          <w:p>
            <w:pPr>
              <w:pStyle w:val="15"/>
            </w:pPr>
            <w:r>
              <w:t>3.50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1.购买办公用品，保障单位正常运转。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购买档案盒个数</w:t>
            </w:r>
          </w:p>
        </w:tc>
        <w:tc>
          <w:tcPr>
            <w:tcW w:w="5386" w:type="dxa"/>
            <w:vAlign w:val="center"/>
          </w:tcPr>
          <w:p>
            <w:pPr>
              <w:pStyle w:val="14"/>
            </w:pPr>
            <w:r>
              <w:t>购买档案盒个数</w:t>
            </w:r>
          </w:p>
        </w:tc>
        <w:tc>
          <w:tcPr>
            <w:tcW w:w="2268" w:type="dxa"/>
            <w:vAlign w:val="center"/>
          </w:tcPr>
          <w:p>
            <w:pPr>
              <w:pStyle w:val="14"/>
            </w:pPr>
            <w:r>
              <w:t>≥90个</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购买复印纸箱数</w:t>
            </w:r>
          </w:p>
        </w:tc>
        <w:tc>
          <w:tcPr>
            <w:tcW w:w="5386" w:type="dxa"/>
            <w:vAlign w:val="center"/>
          </w:tcPr>
          <w:p>
            <w:pPr>
              <w:pStyle w:val="14"/>
            </w:pPr>
            <w:r>
              <w:t>购买复印纸箱数</w:t>
            </w:r>
          </w:p>
        </w:tc>
        <w:tc>
          <w:tcPr>
            <w:tcW w:w="2268" w:type="dxa"/>
            <w:vAlign w:val="center"/>
          </w:tcPr>
          <w:p>
            <w:pPr>
              <w:pStyle w:val="14"/>
            </w:pPr>
            <w:r>
              <w:t>≥30箱</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购买墨盒个数</w:t>
            </w:r>
          </w:p>
        </w:tc>
        <w:tc>
          <w:tcPr>
            <w:tcW w:w="5386" w:type="dxa"/>
            <w:vAlign w:val="center"/>
          </w:tcPr>
          <w:p>
            <w:pPr>
              <w:pStyle w:val="14"/>
            </w:pPr>
            <w:r>
              <w:t>购买墨盒个数</w:t>
            </w:r>
          </w:p>
        </w:tc>
        <w:tc>
          <w:tcPr>
            <w:tcW w:w="2268" w:type="dxa"/>
            <w:vAlign w:val="center"/>
          </w:tcPr>
          <w:p>
            <w:pPr>
              <w:pStyle w:val="14"/>
            </w:pPr>
            <w:r>
              <w:t>≥15个</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购置办公用品质量合格率</w:t>
            </w:r>
          </w:p>
        </w:tc>
        <w:tc>
          <w:tcPr>
            <w:tcW w:w="5386" w:type="dxa"/>
            <w:vAlign w:val="center"/>
          </w:tcPr>
          <w:p>
            <w:pPr>
              <w:pStyle w:val="14"/>
            </w:pPr>
            <w:r>
              <w:t>质量合格的办公用品数量/办公用品总数量*100%</w:t>
            </w:r>
          </w:p>
        </w:tc>
        <w:tc>
          <w:tcPr>
            <w:tcW w:w="2268" w:type="dxa"/>
            <w:vAlign w:val="center"/>
          </w:tcPr>
          <w:p>
            <w:pPr>
              <w:pStyle w:val="14"/>
            </w:pPr>
            <w:r>
              <w:t>≥90%</w:t>
            </w:r>
          </w:p>
        </w:tc>
        <w:tc>
          <w:tcPr>
            <w:tcW w:w="1276" w:type="dxa"/>
            <w:vAlign w:val="center"/>
          </w:tcPr>
          <w:p>
            <w:pPr>
              <w:pStyle w:val="14"/>
            </w:pPr>
            <w:r>
              <w:t>往年购买办公用品质量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购买办公用品天数</w:t>
            </w:r>
          </w:p>
        </w:tc>
        <w:tc>
          <w:tcPr>
            <w:tcW w:w="5386" w:type="dxa"/>
            <w:vAlign w:val="center"/>
          </w:tcPr>
          <w:p>
            <w:pPr>
              <w:pStyle w:val="14"/>
            </w:pPr>
            <w:r>
              <w:t>购买办公用品天数</w:t>
            </w:r>
          </w:p>
        </w:tc>
        <w:tc>
          <w:tcPr>
            <w:tcW w:w="2268" w:type="dxa"/>
            <w:vAlign w:val="center"/>
          </w:tcPr>
          <w:p>
            <w:pPr>
              <w:pStyle w:val="14"/>
            </w:pPr>
            <w:r>
              <w:t>≤3天</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单个档案盒成本</w:t>
            </w:r>
          </w:p>
        </w:tc>
        <w:tc>
          <w:tcPr>
            <w:tcW w:w="5386" w:type="dxa"/>
            <w:vAlign w:val="center"/>
          </w:tcPr>
          <w:p>
            <w:pPr>
              <w:pStyle w:val="14"/>
            </w:pPr>
            <w:r>
              <w:t>单个档案盒成本</w:t>
            </w:r>
          </w:p>
        </w:tc>
        <w:tc>
          <w:tcPr>
            <w:tcW w:w="2268" w:type="dxa"/>
            <w:vAlign w:val="center"/>
          </w:tcPr>
          <w:p>
            <w:pPr>
              <w:pStyle w:val="14"/>
            </w:pPr>
            <w:r>
              <w:t>≤10元/个</w:t>
            </w:r>
          </w:p>
        </w:tc>
        <w:tc>
          <w:tcPr>
            <w:tcW w:w="1276" w:type="dxa"/>
            <w:vAlign w:val="center"/>
          </w:tcPr>
          <w:p>
            <w:pPr>
              <w:pStyle w:val="14"/>
            </w:pPr>
            <w:r>
              <w:t>历年采买经验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每箱复印纸成本</w:t>
            </w:r>
          </w:p>
        </w:tc>
        <w:tc>
          <w:tcPr>
            <w:tcW w:w="5386" w:type="dxa"/>
            <w:vAlign w:val="center"/>
          </w:tcPr>
          <w:p>
            <w:pPr>
              <w:pStyle w:val="14"/>
            </w:pPr>
            <w:r>
              <w:t>每箱复印纸成本</w:t>
            </w:r>
          </w:p>
        </w:tc>
        <w:tc>
          <w:tcPr>
            <w:tcW w:w="2268" w:type="dxa"/>
            <w:vAlign w:val="center"/>
          </w:tcPr>
          <w:p>
            <w:pPr>
              <w:pStyle w:val="14"/>
            </w:pPr>
            <w:r>
              <w:t>≤180元/箱</w:t>
            </w:r>
          </w:p>
        </w:tc>
        <w:tc>
          <w:tcPr>
            <w:tcW w:w="1276" w:type="dxa"/>
            <w:vAlign w:val="center"/>
          </w:tcPr>
          <w:p>
            <w:pPr>
              <w:pStyle w:val="14"/>
            </w:pPr>
            <w:r>
              <w:t>历年采买经验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每个墨盒成本</w:t>
            </w:r>
          </w:p>
        </w:tc>
        <w:tc>
          <w:tcPr>
            <w:tcW w:w="5386" w:type="dxa"/>
            <w:vAlign w:val="center"/>
          </w:tcPr>
          <w:p>
            <w:pPr>
              <w:pStyle w:val="14"/>
            </w:pPr>
            <w:r>
              <w:t>每个墨盒成本</w:t>
            </w:r>
          </w:p>
        </w:tc>
        <w:tc>
          <w:tcPr>
            <w:tcW w:w="2268" w:type="dxa"/>
            <w:vAlign w:val="center"/>
          </w:tcPr>
          <w:p>
            <w:pPr>
              <w:pStyle w:val="14"/>
            </w:pPr>
            <w:r>
              <w:t>≤280元/个</w:t>
            </w:r>
          </w:p>
        </w:tc>
        <w:tc>
          <w:tcPr>
            <w:tcW w:w="1276" w:type="dxa"/>
            <w:vAlign w:val="center"/>
          </w:tcPr>
          <w:p>
            <w:pPr>
              <w:pStyle w:val="14"/>
            </w:pPr>
            <w:r>
              <w:t>历年采买经验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提高工作效率</w:t>
            </w:r>
          </w:p>
        </w:tc>
        <w:tc>
          <w:tcPr>
            <w:tcW w:w="5386" w:type="dxa"/>
            <w:vAlign w:val="center"/>
          </w:tcPr>
          <w:p>
            <w:pPr>
              <w:pStyle w:val="14"/>
            </w:pPr>
            <w:r>
              <w:t>保障单位正常运转、提高工作效率</w:t>
            </w:r>
          </w:p>
        </w:tc>
        <w:tc>
          <w:tcPr>
            <w:tcW w:w="2268" w:type="dxa"/>
            <w:vAlign w:val="center"/>
          </w:tcPr>
          <w:p>
            <w:pPr>
              <w:pStyle w:val="14"/>
            </w:pPr>
            <w:r>
              <w:t>提高</w:t>
            </w:r>
          </w:p>
        </w:tc>
        <w:tc>
          <w:tcPr>
            <w:tcW w:w="1276" w:type="dxa"/>
            <w:vAlign w:val="center"/>
          </w:tcPr>
          <w:p>
            <w:pPr>
              <w:pStyle w:val="14"/>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2、场地调查与风险评估绩效目标表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13018625P000056100039</w:t>
            </w:r>
          </w:p>
        </w:tc>
        <w:tc>
          <w:tcPr>
            <w:tcW w:w="2835" w:type="dxa"/>
            <w:vAlign w:val="center"/>
          </w:tcPr>
          <w:p>
            <w:pPr>
              <w:pStyle w:val="12"/>
            </w:pPr>
            <w:r>
              <w:t>项目名称</w:t>
            </w:r>
          </w:p>
        </w:tc>
        <w:tc>
          <w:tcPr>
            <w:tcW w:w="6095" w:type="dxa"/>
            <w:gridSpan w:val="3"/>
            <w:vAlign w:val="center"/>
          </w:tcPr>
          <w:p>
            <w:pPr>
              <w:pStyle w:val="14"/>
            </w:pPr>
            <w:r>
              <w:t>场地调查与风险评估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1.拨付已完工的鑫泰印染地块的场地调查费用                                                                                                                                                                                                                                                                                                                                              2.完成污染企业场地调查与风险评估、修复技术方案等工作</w:t>
            </w:r>
          </w:p>
          <w:p>
            <w:pPr>
              <w:pStyle w:val="14"/>
            </w:pPr>
            <w:r>
              <w:t>3.依照管委会工作安排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6.00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1.拨付已完工的鑫泰印染地块的场地调查费用。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场地调查企业数量</w:t>
            </w:r>
          </w:p>
        </w:tc>
        <w:tc>
          <w:tcPr>
            <w:tcW w:w="5386" w:type="dxa"/>
            <w:vAlign w:val="center"/>
          </w:tcPr>
          <w:p>
            <w:pPr>
              <w:pStyle w:val="14"/>
            </w:pPr>
            <w:r>
              <w:t>完成企业场地调查工作数量</w:t>
            </w:r>
          </w:p>
        </w:tc>
        <w:tc>
          <w:tcPr>
            <w:tcW w:w="2268" w:type="dxa"/>
            <w:vAlign w:val="center"/>
          </w:tcPr>
          <w:p>
            <w:pPr>
              <w:pStyle w:val="14"/>
            </w:pPr>
            <w:r>
              <w:t>≥1个</w:t>
            </w:r>
          </w:p>
        </w:tc>
        <w:tc>
          <w:tcPr>
            <w:tcW w:w="1276" w:type="dxa"/>
            <w:vAlign w:val="center"/>
          </w:tcPr>
          <w:p>
            <w:pPr>
              <w:pStyle w:val="14"/>
            </w:pPr>
            <w:r>
              <w:t>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场地修复质量合格率</w:t>
            </w:r>
          </w:p>
        </w:tc>
        <w:tc>
          <w:tcPr>
            <w:tcW w:w="5386" w:type="dxa"/>
            <w:vAlign w:val="center"/>
          </w:tcPr>
          <w:p>
            <w:pPr>
              <w:pStyle w:val="14"/>
            </w:pPr>
            <w:r>
              <w:t>污染企业修复质量合格场地/全部污染企业修复场地*100%</w:t>
            </w:r>
          </w:p>
        </w:tc>
        <w:tc>
          <w:tcPr>
            <w:tcW w:w="2268" w:type="dxa"/>
            <w:vAlign w:val="center"/>
          </w:tcPr>
          <w:p>
            <w:pPr>
              <w:pStyle w:val="14"/>
            </w:pPr>
            <w:r>
              <w:t>≥90%</w:t>
            </w:r>
          </w:p>
        </w:tc>
        <w:tc>
          <w:tcPr>
            <w:tcW w:w="1276" w:type="dxa"/>
            <w:vAlign w:val="center"/>
          </w:tcPr>
          <w:p>
            <w:pPr>
              <w:pStyle w:val="14"/>
            </w:pPr>
            <w:r>
              <w:t>根据实际评估合格情况确定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完成土壤调查工作时间</w:t>
            </w:r>
          </w:p>
        </w:tc>
        <w:tc>
          <w:tcPr>
            <w:tcW w:w="5386" w:type="dxa"/>
            <w:vAlign w:val="center"/>
          </w:tcPr>
          <w:p>
            <w:pPr>
              <w:pStyle w:val="14"/>
            </w:pPr>
            <w:r>
              <w:t>完成土壤调查工作时间</w:t>
            </w:r>
          </w:p>
        </w:tc>
        <w:tc>
          <w:tcPr>
            <w:tcW w:w="2268" w:type="dxa"/>
            <w:vAlign w:val="center"/>
          </w:tcPr>
          <w:p>
            <w:pPr>
              <w:pStyle w:val="14"/>
            </w:pPr>
            <w:r>
              <w:t>≤60天</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调查工作成本</w:t>
            </w:r>
          </w:p>
        </w:tc>
        <w:tc>
          <w:tcPr>
            <w:tcW w:w="5386" w:type="dxa"/>
            <w:vAlign w:val="center"/>
          </w:tcPr>
          <w:p>
            <w:pPr>
              <w:pStyle w:val="14"/>
            </w:pPr>
            <w:r>
              <w:t>现场调查工作、报告编制成本</w:t>
            </w:r>
          </w:p>
        </w:tc>
        <w:tc>
          <w:tcPr>
            <w:tcW w:w="2268" w:type="dxa"/>
            <w:vAlign w:val="center"/>
          </w:tcPr>
          <w:p>
            <w:pPr>
              <w:pStyle w:val="14"/>
            </w:pPr>
            <w:r>
              <w:t>≤20万元</w:t>
            </w:r>
          </w:p>
        </w:tc>
        <w:tc>
          <w:tcPr>
            <w:tcW w:w="1276" w:type="dxa"/>
            <w:vAlign w:val="center"/>
          </w:tcPr>
          <w:p>
            <w:pPr>
              <w:pStyle w:val="14"/>
            </w:pPr>
            <w:r>
              <w:t>根据区间计价计算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数据检测成本</w:t>
            </w:r>
          </w:p>
        </w:tc>
        <w:tc>
          <w:tcPr>
            <w:tcW w:w="5386" w:type="dxa"/>
            <w:vAlign w:val="center"/>
          </w:tcPr>
          <w:p>
            <w:pPr>
              <w:pStyle w:val="14"/>
            </w:pPr>
            <w:r>
              <w:t>现场采样检测、土壤检测、地下水检测成本</w:t>
            </w:r>
          </w:p>
        </w:tc>
        <w:tc>
          <w:tcPr>
            <w:tcW w:w="2268" w:type="dxa"/>
            <w:vAlign w:val="center"/>
          </w:tcPr>
          <w:p>
            <w:pPr>
              <w:pStyle w:val="14"/>
            </w:pPr>
            <w:r>
              <w:t>≤10万元</w:t>
            </w:r>
          </w:p>
        </w:tc>
        <w:tc>
          <w:tcPr>
            <w:tcW w:w="1276" w:type="dxa"/>
            <w:vAlign w:val="center"/>
          </w:tcPr>
          <w:p>
            <w:pPr>
              <w:pStyle w:val="14"/>
            </w:pPr>
            <w:r>
              <w:t>根据检测数量计价计算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生态环境提升情况</w:t>
            </w:r>
          </w:p>
        </w:tc>
        <w:tc>
          <w:tcPr>
            <w:tcW w:w="5386" w:type="dxa"/>
            <w:vAlign w:val="center"/>
          </w:tcPr>
          <w:p>
            <w:pPr>
              <w:pStyle w:val="14"/>
            </w:pPr>
            <w:r>
              <w:t>为开展生态修复做前期工作，提高生态环境</w:t>
            </w:r>
          </w:p>
        </w:tc>
        <w:tc>
          <w:tcPr>
            <w:tcW w:w="2268" w:type="dxa"/>
            <w:vAlign w:val="center"/>
          </w:tcPr>
          <w:p>
            <w:pPr>
              <w:pStyle w:val="14"/>
            </w:pPr>
            <w:r>
              <w:t>提高生态环境</w:t>
            </w:r>
          </w:p>
        </w:tc>
        <w:tc>
          <w:tcPr>
            <w:tcW w:w="1276" w:type="dxa"/>
            <w:vAlign w:val="center"/>
          </w:tcPr>
          <w:p>
            <w:pPr>
              <w:pStyle w:val="14"/>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3、耕地占用税绩效目标表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13018625P00037910001Q</w:t>
            </w:r>
          </w:p>
        </w:tc>
        <w:tc>
          <w:tcPr>
            <w:tcW w:w="2835" w:type="dxa"/>
            <w:vAlign w:val="center"/>
          </w:tcPr>
          <w:p>
            <w:pPr>
              <w:pStyle w:val="12"/>
            </w:pPr>
            <w:r>
              <w:t>项目名称</w:t>
            </w:r>
          </w:p>
        </w:tc>
        <w:tc>
          <w:tcPr>
            <w:tcW w:w="6095" w:type="dxa"/>
            <w:gridSpan w:val="3"/>
            <w:vAlign w:val="center"/>
          </w:tcPr>
          <w:p>
            <w:pPr>
              <w:pStyle w:val="14"/>
            </w:pPr>
            <w:r>
              <w:t>耕地占用税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w:t>
            </w:r>
          </w:p>
        </w:tc>
        <w:tc>
          <w:tcPr>
            <w:tcW w:w="2835" w:type="dxa"/>
            <w:vAlign w:val="center"/>
          </w:tcPr>
          <w:p>
            <w:pPr>
              <w:pStyle w:val="12"/>
            </w:pPr>
            <w:r>
              <w:t>其中：财政    资金</w:t>
            </w:r>
          </w:p>
        </w:tc>
        <w:tc>
          <w:tcPr>
            <w:tcW w:w="2551" w:type="dxa"/>
            <w:vAlign w:val="center"/>
          </w:tcPr>
          <w:p>
            <w:pPr>
              <w:pStyle w:val="14"/>
            </w:pPr>
            <w:r>
              <w:t>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1.合理利用耕地资源，加强土地管理，保护耕地。</w:t>
            </w:r>
          </w:p>
          <w:p>
            <w:pPr>
              <w:pStyle w:val="14"/>
            </w:pPr>
            <w:r>
              <w:t>2.完成耕地改造.再利用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100.00</w:t>
            </w:r>
          </w:p>
        </w:tc>
        <w:tc>
          <w:tcPr>
            <w:tcW w:w="2835" w:type="dxa"/>
            <w:vAlign w:val="center"/>
          </w:tcPr>
          <w:p>
            <w:pPr>
              <w:pStyle w:val="15"/>
            </w:pPr>
            <w:r>
              <w:t>200.00</w:t>
            </w:r>
          </w:p>
        </w:tc>
        <w:tc>
          <w:tcPr>
            <w:tcW w:w="2551" w:type="dxa"/>
            <w:vAlign w:val="center"/>
          </w:tcPr>
          <w:p>
            <w:pPr>
              <w:pStyle w:val="15"/>
            </w:pPr>
            <w:r>
              <w:t>400.00</w:t>
            </w:r>
          </w:p>
        </w:tc>
        <w:tc>
          <w:tcPr>
            <w:tcW w:w="3544" w:type="dxa"/>
            <w:gridSpan w:val="2"/>
            <w:vAlign w:val="center"/>
          </w:tcPr>
          <w:p>
            <w:pPr>
              <w:pStyle w:val="15"/>
            </w:pPr>
            <w:r>
              <w:t>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1.1.合理利用耕地资源，加强土地管理，保护耕地。</w:t>
            </w:r>
            <w:r>
              <w:tab/>
            </w:r>
            <w:r>
              <w:tab/>
            </w:r>
            <w:r>
              <w:tab/>
            </w:r>
            <w:r>
              <w:tab/>
            </w:r>
            <w:r>
              <w:tab/>
            </w:r>
            <w:r>
              <w:tab/>
            </w:r>
          </w:p>
          <w:p>
            <w:pPr>
              <w:pStyle w:val="14"/>
            </w:pPr>
            <w:r>
              <w:t>2.完成耕地改造.再利用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征缴面积</w:t>
            </w:r>
          </w:p>
        </w:tc>
        <w:tc>
          <w:tcPr>
            <w:tcW w:w="5386" w:type="dxa"/>
            <w:vAlign w:val="center"/>
          </w:tcPr>
          <w:p>
            <w:pPr>
              <w:pStyle w:val="14"/>
            </w:pPr>
            <w:r>
              <w:t>需缴纳耕地占用税的建设用地征收面积</w:t>
            </w:r>
          </w:p>
        </w:tc>
        <w:tc>
          <w:tcPr>
            <w:tcW w:w="2268" w:type="dxa"/>
            <w:vAlign w:val="center"/>
          </w:tcPr>
          <w:p>
            <w:pPr>
              <w:pStyle w:val="14"/>
            </w:pPr>
            <w:r>
              <w:t>≥500亩</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缴纳税费完成率</w:t>
            </w:r>
          </w:p>
        </w:tc>
        <w:tc>
          <w:tcPr>
            <w:tcW w:w="5386" w:type="dxa"/>
            <w:vAlign w:val="center"/>
          </w:tcPr>
          <w:p>
            <w:pPr>
              <w:pStyle w:val="14"/>
            </w:pPr>
            <w:r>
              <w:t>已缴纳税费/应缴纳税费*100%</w:t>
            </w:r>
          </w:p>
        </w:tc>
        <w:tc>
          <w:tcPr>
            <w:tcW w:w="2268" w:type="dxa"/>
            <w:vAlign w:val="center"/>
          </w:tcPr>
          <w:p>
            <w:pPr>
              <w:pStyle w:val="14"/>
            </w:pPr>
            <w:r>
              <w:t>≥95%</w:t>
            </w:r>
          </w:p>
        </w:tc>
        <w:tc>
          <w:tcPr>
            <w:tcW w:w="1276" w:type="dxa"/>
            <w:vAlign w:val="center"/>
          </w:tcPr>
          <w:p>
            <w:pPr>
              <w:pStyle w:val="14"/>
            </w:pPr>
            <w:r>
              <w:t>往年工作经验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缴纳耕地占用税时间</w:t>
            </w:r>
          </w:p>
        </w:tc>
        <w:tc>
          <w:tcPr>
            <w:tcW w:w="5386" w:type="dxa"/>
            <w:vAlign w:val="center"/>
          </w:tcPr>
          <w:p>
            <w:pPr>
              <w:pStyle w:val="14"/>
            </w:pPr>
            <w:r>
              <w:t>缴纳耕地占用税时间</w:t>
            </w:r>
          </w:p>
        </w:tc>
        <w:tc>
          <w:tcPr>
            <w:tcW w:w="2268" w:type="dxa"/>
            <w:vAlign w:val="center"/>
          </w:tcPr>
          <w:p>
            <w:pPr>
              <w:pStyle w:val="14"/>
            </w:pPr>
            <w:r>
              <w:t>≤30天</w:t>
            </w:r>
          </w:p>
        </w:tc>
        <w:tc>
          <w:tcPr>
            <w:tcW w:w="1276" w:type="dxa"/>
            <w:vAlign w:val="center"/>
          </w:tcPr>
          <w:p>
            <w:pPr>
              <w:pStyle w:val="14"/>
            </w:pPr>
            <w:r>
              <w:t>上级批复文件时间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每亩建设用地征收金额</w:t>
            </w:r>
          </w:p>
        </w:tc>
        <w:tc>
          <w:tcPr>
            <w:tcW w:w="5386" w:type="dxa"/>
            <w:vAlign w:val="center"/>
          </w:tcPr>
          <w:p>
            <w:pPr>
              <w:pStyle w:val="14"/>
            </w:pPr>
            <w:r>
              <w:t>每亩建设用地征收金额成本控制</w:t>
            </w:r>
          </w:p>
        </w:tc>
        <w:tc>
          <w:tcPr>
            <w:tcW w:w="2268" w:type="dxa"/>
            <w:vAlign w:val="center"/>
          </w:tcPr>
          <w:p>
            <w:pPr>
              <w:pStyle w:val="14"/>
            </w:pPr>
            <w:r>
              <w:t>≤1万元/亩</w:t>
            </w:r>
          </w:p>
        </w:tc>
        <w:tc>
          <w:tcPr>
            <w:tcW w:w="1276" w:type="dxa"/>
            <w:vAlign w:val="center"/>
          </w:tcPr>
          <w:p>
            <w:pPr>
              <w:pStyle w:val="14"/>
            </w:pPr>
            <w:r>
              <w:t>依据批复金额缴纳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完成耕地改造</w:t>
            </w:r>
          </w:p>
        </w:tc>
        <w:tc>
          <w:tcPr>
            <w:tcW w:w="5386" w:type="dxa"/>
            <w:vAlign w:val="center"/>
          </w:tcPr>
          <w:p>
            <w:pPr>
              <w:pStyle w:val="14"/>
            </w:pPr>
            <w:r>
              <w:t>加强土地管理，耕地改造后再利用</w:t>
            </w:r>
          </w:p>
        </w:tc>
        <w:tc>
          <w:tcPr>
            <w:tcW w:w="2268" w:type="dxa"/>
            <w:vAlign w:val="center"/>
          </w:tcPr>
          <w:p>
            <w:pPr>
              <w:pStyle w:val="14"/>
            </w:pPr>
            <w:r>
              <w:t>加强</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4、耕地占用税绩效目标表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13018625P00038010001W</w:t>
            </w:r>
          </w:p>
        </w:tc>
        <w:tc>
          <w:tcPr>
            <w:tcW w:w="2835" w:type="dxa"/>
            <w:vAlign w:val="center"/>
          </w:tcPr>
          <w:p>
            <w:pPr>
              <w:pStyle w:val="12"/>
            </w:pPr>
            <w:r>
              <w:t>项目名称</w:t>
            </w:r>
          </w:p>
        </w:tc>
        <w:tc>
          <w:tcPr>
            <w:tcW w:w="6095" w:type="dxa"/>
            <w:gridSpan w:val="3"/>
            <w:vAlign w:val="center"/>
          </w:tcPr>
          <w:p>
            <w:pPr>
              <w:pStyle w:val="14"/>
            </w:pPr>
            <w:r>
              <w:t>耕地占用税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w:t>
            </w:r>
          </w:p>
        </w:tc>
        <w:tc>
          <w:tcPr>
            <w:tcW w:w="2835" w:type="dxa"/>
            <w:vAlign w:val="center"/>
          </w:tcPr>
          <w:p>
            <w:pPr>
              <w:pStyle w:val="12"/>
            </w:pPr>
            <w:r>
              <w:t>其中：财政    资金</w:t>
            </w:r>
          </w:p>
        </w:tc>
        <w:tc>
          <w:tcPr>
            <w:tcW w:w="2551" w:type="dxa"/>
            <w:vAlign w:val="center"/>
          </w:tcPr>
          <w:p>
            <w:pPr>
              <w:pStyle w:val="14"/>
            </w:pPr>
            <w:r>
              <w:t>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1.合理利用耕地资源，加强土地管理，保护耕地。</w:t>
            </w:r>
          </w:p>
          <w:p>
            <w:pPr>
              <w:pStyle w:val="14"/>
            </w:pPr>
            <w:r>
              <w:t>2.完成耕地改造.再利用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100.00</w:t>
            </w:r>
          </w:p>
        </w:tc>
        <w:tc>
          <w:tcPr>
            <w:tcW w:w="2835" w:type="dxa"/>
            <w:vAlign w:val="center"/>
          </w:tcPr>
          <w:p>
            <w:pPr>
              <w:pStyle w:val="15"/>
            </w:pPr>
            <w:r>
              <w:t>200.00</w:t>
            </w:r>
          </w:p>
        </w:tc>
        <w:tc>
          <w:tcPr>
            <w:tcW w:w="2551" w:type="dxa"/>
            <w:vAlign w:val="center"/>
          </w:tcPr>
          <w:p>
            <w:pPr>
              <w:pStyle w:val="15"/>
            </w:pPr>
            <w:r>
              <w:t>400.00</w:t>
            </w:r>
          </w:p>
        </w:tc>
        <w:tc>
          <w:tcPr>
            <w:tcW w:w="3544" w:type="dxa"/>
            <w:gridSpan w:val="2"/>
            <w:vAlign w:val="center"/>
          </w:tcPr>
          <w:p>
            <w:pPr>
              <w:pStyle w:val="15"/>
            </w:pPr>
            <w:r>
              <w:t>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1.1.合理利用耕地资源，加强土地管理，保护耕地。2.完成耕地改造.再利用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征缴面积</w:t>
            </w:r>
          </w:p>
        </w:tc>
        <w:tc>
          <w:tcPr>
            <w:tcW w:w="5386" w:type="dxa"/>
            <w:vAlign w:val="center"/>
          </w:tcPr>
          <w:p>
            <w:pPr>
              <w:pStyle w:val="14"/>
            </w:pPr>
            <w:r>
              <w:t>需缴纳耕地占用税的建设用地征收面积</w:t>
            </w:r>
          </w:p>
        </w:tc>
        <w:tc>
          <w:tcPr>
            <w:tcW w:w="2268" w:type="dxa"/>
            <w:vAlign w:val="center"/>
          </w:tcPr>
          <w:p>
            <w:pPr>
              <w:pStyle w:val="14"/>
            </w:pPr>
            <w:r>
              <w:t>≥500亩</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缴纳税费完成率</w:t>
            </w:r>
          </w:p>
        </w:tc>
        <w:tc>
          <w:tcPr>
            <w:tcW w:w="5386" w:type="dxa"/>
            <w:vAlign w:val="center"/>
          </w:tcPr>
          <w:p>
            <w:pPr>
              <w:pStyle w:val="14"/>
            </w:pPr>
            <w:r>
              <w:t>已缴纳税费/应缴纳税费*100%</w:t>
            </w:r>
          </w:p>
        </w:tc>
        <w:tc>
          <w:tcPr>
            <w:tcW w:w="2268" w:type="dxa"/>
            <w:vAlign w:val="center"/>
          </w:tcPr>
          <w:p>
            <w:pPr>
              <w:pStyle w:val="14"/>
            </w:pPr>
            <w:r>
              <w:t>≥95%</w:t>
            </w:r>
          </w:p>
        </w:tc>
        <w:tc>
          <w:tcPr>
            <w:tcW w:w="1276" w:type="dxa"/>
            <w:vAlign w:val="center"/>
          </w:tcPr>
          <w:p>
            <w:pPr>
              <w:pStyle w:val="14"/>
            </w:pPr>
            <w:r>
              <w:t>往年工作经验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缴纳耕地占用税时间</w:t>
            </w:r>
          </w:p>
        </w:tc>
        <w:tc>
          <w:tcPr>
            <w:tcW w:w="5386" w:type="dxa"/>
            <w:vAlign w:val="center"/>
          </w:tcPr>
          <w:p>
            <w:pPr>
              <w:pStyle w:val="14"/>
            </w:pPr>
            <w:r>
              <w:t>缴纳耕地占用税时间</w:t>
            </w:r>
          </w:p>
        </w:tc>
        <w:tc>
          <w:tcPr>
            <w:tcW w:w="2268" w:type="dxa"/>
            <w:vAlign w:val="center"/>
          </w:tcPr>
          <w:p>
            <w:pPr>
              <w:pStyle w:val="14"/>
            </w:pPr>
            <w:r>
              <w:t>≤30天</w:t>
            </w:r>
          </w:p>
        </w:tc>
        <w:tc>
          <w:tcPr>
            <w:tcW w:w="1276" w:type="dxa"/>
            <w:vAlign w:val="center"/>
          </w:tcPr>
          <w:p>
            <w:pPr>
              <w:pStyle w:val="14"/>
            </w:pPr>
            <w:r>
              <w:t>上级批复文件时间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每亩建设用地征收金额</w:t>
            </w:r>
          </w:p>
        </w:tc>
        <w:tc>
          <w:tcPr>
            <w:tcW w:w="5386" w:type="dxa"/>
            <w:vAlign w:val="center"/>
          </w:tcPr>
          <w:p>
            <w:pPr>
              <w:pStyle w:val="14"/>
            </w:pPr>
            <w:r>
              <w:t>每亩建设用地征收金额成本控制</w:t>
            </w:r>
          </w:p>
        </w:tc>
        <w:tc>
          <w:tcPr>
            <w:tcW w:w="2268" w:type="dxa"/>
            <w:vAlign w:val="center"/>
          </w:tcPr>
          <w:p>
            <w:pPr>
              <w:pStyle w:val="14"/>
            </w:pPr>
            <w:r>
              <w:t>≤1万元/亩</w:t>
            </w:r>
          </w:p>
        </w:tc>
        <w:tc>
          <w:tcPr>
            <w:tcW w:w="1276" w:type="dxa"/>
            <w:vAlign w:val="center"/>
          </w:tcPr>
          <w:p>
            <w:pPr>
              <w:pStyle w:val="14"/>
            </w:pPr>
            <w:r>
              <w:t>依据批复金额缴纳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完成耕地改造</w:t>
            </w:r>
          </w:p>
        </w:tc>
        <w:tc>
          <w:tcPr>
            <w:tcW w:w="5386" w:type="dxa"/>
            <w:vAlign w:val="center"/>
          </w:tcPr>
          <w:p>
            <w:pPr>
              <w:pStyle w:val="14"/>
            </w:pPr>
            <w:r>
              <w:t>加强土地管理，耕地改造后再利用</w:t>
            </w:r>
          </w:p>
        </w:tc>
        <w:tc>
          <w:tcPr>
            <w:tcW w:w="2268" w:type="dxa"/>
            <w:vAlign w:val="center"/>
          </w:tcPr>
          <w:p>
            <w:pPr>
              <w:pStyle w:val="14"/>
            </w:pPr>
            <w:r>
              <w:t>加强</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5、接入业务网络设备、视频会议及系统维护费绩效目标表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13018625P000012100022</w:t>
            </w:r>
          </w:p>
        </w:tc>
        <w:tc>
          <w:tcPr>
            <w:tcW w:w="2835" w:type="dxa"/>
            <w:vAlign w:val="center"/>
          </w:tcPr>
          <w:p>
            <w:pPr>
              <w:pStyle w:val="12"/>
            </w:pPr>
            <w:r>
              <w:t>项目名称</w:t>
            </w:r>
          </w:p>
        </w:tc>
        <w:tc>
          <w:tcPr>
            <w:tcW w:w="6095" w:type="dxa"/>
            <w:gridSpan w:val="3"/>
            <w:vAlign w:val="center"/>
          </w:tcPr>
          <w:p>
            <w:pPr>
              <w:pStyle w:val="14"/>
            </w:pPr>
            <w:r>
              <w:t>接入业务网络设备、视频会议及系统维护费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用于支付接入业务网络设备、视频会议及系统维护费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9.00</w:t>
            </w:r>
          </w:p>
        </w:tc>
        <w:tc>
          <w:tcPr>
            <w:tcW w:w="2551" w:type="dxa"/>
            <w:vAlign w:val="center"/>
          </w:tcPr>
          <w:p>
            <w:pPr>
              <w:pStyle w:val="15"/>
            </w:pPr>
            <w:r>
              <w:t>9.00</w:t>
            </w:r>
          </w:p>
        </w:tc>
        <w:tc>
          <w:tcPr>
            <w:tcW w:w="3544" w:type="dxa"/>
            <w:gridSpan w:val="2"/>
            <w:vAlign w:val="center"/>
          </w:tcPr>
          <w:p>
            <w:pPr>
              <w:pStyle w:val="15"/>
            </w:pPr>
            <w:r>
              <w:t>18.00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1.用于接入业务网络设备、视频会议及系统维护工作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业务网络设备采购数量</w:t>
            </w:r>
          </w:p>
        </w:tc>
        <w:tc>
          <w:tcPr>
            <w:tcW w:w="5386" w:type="dxa"/>
            <w:vAlign w:val="center"/>
          </w:tcPr>
          <w:p>
            <w:pPr>
              <w:pStyle w:val="14"/>
            </w:pPr>
            <w:r>
              <w:t>当年采购业务网络设备采购数量</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视频会议安装采购数量</w:t>
            </w:r>
          </w:p>
        </w:tc>
        <w:tc>
          <w:tcPr>
            <w:tcW w:w="5386" w:type="dxa"/>
            <w:vAlign w:val="center"/>
          </w:tcPr>
          <w:p>
            <w:pPr>
              <w:pStyle w:val="14"/>
            </w:pPr>
            <w:r>
              <w:t>当年视频会议安装设备采购数量</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系统故障率</w:t>
            </w:r>
          </w:p>
        </w:tc>
        <w:tc>
          <w:tcPr>
            <w:tcW w:w="5386" w:type="dxa"/>
            <w:vAlign w:val="center"/>
          </w:tcPr>
          <w:p>
            <w:pPr>
              <w:pStyle w:val="14"/>
            </w:pPr>
            <w:r>
              <w:t>系统故障时间/系统总运行时间*100%</w:t>
            </w:r>
          </w:p>
        </w:tc>
        <w:tc>
          <w:tcPr>
            <w:tcW w:w="2268" w:type="dxa"/>
            <w:vAlign w:val="center"/>
          </w:tcPr>
          <w:p>
            <w:pPr>
              <w:pStyle w:val="14"/>
            </w:pPr>
            <w:r>
              <w:t>≤8%</w:t>
            </w:r>
          </w:p>
        </w:tc>
        <w:tc>
          <w:tcPr>
            <w:tcW w:w="1276" w:type="dxa"/>
            <w:vAlign w:val="center"/>
          </w:tcPr>
          <w:p>
            <w:pPr>
              <w:pStyle w:val="14"/>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网络维护服务周期</w:t>
            </w:r>
          </w:p>
        </w:tc>
        <w:tc>
          <w:tcPr>
            <w:tcW w:w="5386" w:type="dxa"/>
            <w:vAlign w:val="center"/>
          </w:tcPr>
          <w:p>
            <w:pPr>
              <w:pStyle w:val="14"/>
            </w:pPr>
            <w:r>
              <w:t>网络维护服务周期</w:t>
            </w:r>
          </w:p>
        </w:tc>
        <w:tc>
          <w:tcPr>
            <w:tcW w:w="2268" w:type="dxa"/>
            <w:vAlign w:val="center"/>
          </w:tcPr>
          <w:p>
            <w:pPr>
              <w:pStyle w:val="14"/>
            </w:pPr>
            <w:r>
              <w:t>≤180天</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系统维护费</w:t>
            </w:r>
          </w:p>
        </w:tc>
        <w:tc>
          <w:tcPr>
            <w:tcW w:w="5386" w:type="dxa"/>
            <w:vAlign w:val="center"/>
          </w:tcPr>
          <w:p>
            <w:pPr>
              <w:pStyle w:val="14"/>
            </w:pPr>
            <w:r>
              <w:t>系统维护成本控制</w:t>
            </w:r>
          </w:p>
        </w:tc>
        <w:tc>
          <w:tcPr>
            <w:tcW w:w="2268" w:type="dxa"/>
            <w:vAlign w:val="center"/>
          </w:tcPr>
          <w:p>
            <w:pPr>
              <w:pStyle w:val="14"/>
            </w:pPr>
            <w:r>
              <w:t>≤8万元</w:t>
            </w:r>
          </w:p>
        </w:tc>
        <w:tc>
          <w:tcPr>
            <w:tcW w:w="1276" w:type="dxa"/>
            <w:vAlign w:val="center"/>
          </w:tcPr>
          <w:p>
            <w:pPr>
              <w:pStyle w:val="14"/>
            </w:pPr>
            <w:r>
              <w:t>年初预算安排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接入网络设备成本</w:t>
            </w:r>
          </w:p>
        </w:tc>
        <w:tc>
          <w:tcPr>
            <w:tcW w:w="5386" w:type="dxa"/>
            <w:vAlign w:val="center"/>
          </w:tcPr>
          <w:p>
            <w:pPr>
              <w:pStyle w:val="14"/>
            </w:pPr>
            <w:r>
              <w:t>接入网络设备成本</w:t>
            </w:r>
          </w:p>
        </w:tc>
        <w:tc>
          <w:tcPr>
            <w:tcW w:w="2268" w:type="dxa"/>
            <w:vAlign w:val="center"/>
          </w:tcPr>
          <w:p>
            <w:pPr>
              <w:pStyle w:val="14"/>
            </w:pPr>
            <w:r>
              <w:t>≤15万元</w:t>
            </w:r>
          </w:p>
        </w:tc>
        <w:tc>
          <w:tcPr>
            <w:tcW w:w="1276" w:type="dxa"/>
            <w:vAlign w:val="center"/>
          </w:tcPr>
          <w:p>
            <w:pPr>
              <w:pStyle w:val="14"/>
            </w:pPr>
            <w:r>
              <w:t>按照合同约定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视频会议系统设备及安装费用</w:t>
            </w:r>
          </w:p>
        </w:tc>
        <w:tc>
          <w:tcPr>
            <w:tcW w:w="5386" w:type="dxa"/>
            <w:vAlign w:val="center"/>
          </w:tcPr>
          <w:p>
            <w:pPr>
              <w:pStyle w:val="14"/>
            </w:pPr>
            <w:r>
              <w:t>视频会议系统设备及安装成本控制</w:t>
            </w:r>
          </w:p>
        </w:tc>
        <w:tc>
          <w:tcPr>
            <w:tcW w:w="2268" w:type="dxa"/>
            <w:vAlign w:val="center"/>
          </w:tcPr>
          <w:p>
            <w:pPr>
              <w:pStyle w:val="14"/>
            </w:pPr>
            <w:r>
              <w:t>≤10万元</w:t>
            </w:r>
          </w:p>
        </w:tc>
        <w:tc>
          <w:tcPr>
            <w:tcW w:w="1276" w:type="dxa"/>
            <w:vAlign w:val="center"/>
          </w:tcPr>
          <w:p>
            <w:pPr>
              <w:pStyle w:val="14"/>
            </w:pPr>
            <w:r>
              <w:t>按照合同约定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提高工作效率</w:t>
            </w:r>
          </w:p>
        </w:tc>
        <w:tc>
          <w:tcPr>
            <w:tcW w:w="5386" w:type="dxa"/>
            <w:vAlign w:val="center"/>
          </w:tcPr>
          <w:p>
            <w:pPr>
              <w:pStyle w:val="14"/>
            </w:pPr>
            <w:r>
              <w:t>促进社会经济发展、提高工作效率</w:t>
            </w:r>
          </w:p>
        </w:tc>
        <w:tc>
          <w:tcPr>
            <w:tcW w:w="2268" w:type="dxa"/>
            <w:vAlign w:val="center"/>
          </w:tcPr>
          <w:p>
            <w:pPr>
              <w:pStyle w:val="14"/>
            </w:pPr>
            <w:r>
              <w:t>提高</w:t>
            </w:r>
          </w:p>
        </w:tc>
        <w:tc>
          <w:tcPr>
            <w:tcW w:w="1276" w:type="dxa"/>
            <w:vAlign w:val="center"/>
          </w:tcPr>
          <w:p>
            <w:pPr>
              <w:pStyle w:val="14"/>
            </w:pPr>
            <w:r>
              <w:t>相关文件、通知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6、律师服务费绩效目标表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13018625P00028610002T</w:t>
            </w:r>
          </w:p>
        </w:tc>
        <w:tc>
          <w:tcPr>
            <w:tcW w:w="2835" w:type="dxa"/>
            <w:vAlign w:val="center"/>
          </w:tcPr>
          <w:p>
            <w:pPr>
              <w:pStyle w:val="12"/>
            </w:pPr>
            <w:r>
              <w:t>项目名称</w:t>
            </w:r>
          </w:p>
        </w:tc>
        <w:tc>
          <w:tcPr>
            <w:tcW w:w="6095" w:type="dxa"/>
            <w:gridSpan w:val="3"/>
            <w:vAlign w:val="center"/>
          </w:tcPr>
          <w:p>
            <w:pPr>
              <w:pStyle w:val="14"/>
            </w:pPr>
            <w:r>
              <w:t>律师服务费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13.00</w:t>
            </w:r>
          </w:p>
        </w:tc>
        <w:tc>
          <w:tcPr>
            <w:tcW w:w="2835" w:type="dxa"/>
            <w:vAlign w:val="center"/>
          </w:tcPr>
          <w:p>
            <w:pPr>
              <w:pStyle w:val="12"/>
            </w:pPr>
            <w:r>
              <w:t>其中：财政    资金</w:t>
            </w:r>
          </w:p>
        </w:tc>
        <w:tc>
          <w:tcPr>
            <w:tcW w:w="2551" w:type="dxa"/>
            <w:vAlign w:val="center"/>
          </w:tcPr>
          <w:p>
            <w:pPr>
              <w:pStyle w:val="14"/>
            </w:pPr>
            <w:r>
              <w:t>13.00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用于解决工作中遇到的各种法律问题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8.00</w:t>
            </w:r>
          </w:p>
        </w:tc>
        <w:tc>
          <w:tcPr>
            <w:tcW w:w="2835" w:type="dxa"/>
            <w:vAlign w:val="center"/>
          </w:tcPr>
          <w:p>
            <w:pPr>
              <w:pStyle w:val="15"/>
            </w:pPr>
            <w:r>
              <w:t>10.00</w:t>
            </w:r>
          </w:p>
        </w:tc>
        <w:tc>
          <w:tcPr>
            <w:tcW w:w="2551" w:type="dxa"/>
            <w:vAlign w:val="center"/>
          </w:tcPr>
          <w:p>
            <w:pPr>
              <w:pStyle w:val="15"/>
            </w:pPr>
            <w:r>
              <w:t>13.00</w:t>
            </w:r>
          </w:p>
        </w:tc>
        <w:tc>
          <w:tcPr>
            <w:tcW w:w="3544" w:type="dxa"/>
            <w:gridSpan w:val="2"/>
            <w:vAlign w:val="center"/>
          </w:tcPr>
          <w:p>
            <w:pPr>
              <w:pStyle w:val="15"/>
            </w:pPr>
            <w:r>
              <w:t>13.00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1.解决工作中遇到的各种法律问题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处理案件数量</w:t>
            </w:r>
          </w:p>
        </w:tc>
        <w:tc>
          <w:tcPr>
            <w:tcW w:w="5386" w:type="dxa"/>
            <w:vAlign w:val="center"/>
          </w:tcPr>
          <w:p>
            <w:pPr>
              <w:pStyle w:val="14"/>
            </w:pPr>
            <w:r>
              <w:t>应诉出庭案件数量</w:t>
            </w:r>
          </w:p>
        </w:tc>
        <w:tc>
          <w:tcPr>
            <w:tcW w:w="2268" w:type="dxa"/>
            <w:vAlign w:val="center"/>
          </w:tcPr>
          <w:p>
            <w:pPr>
              <w:pStyle w:val="14"/>
            </w:pPr>
            <w:r>
              <w:t>≥4件</w:t>
            </w:r>
          </w:p>
        </w:tc>
        <w:tc>
          <w:tcPr>
            <w:tcW w:w="1276" w:type="dxa"/>
            <w:vAlign w:val="center"/>
          </w:tcPr>
          <w:p>
            <w:pPr>
              <w:pStyle w:val="14"/>
            </w:pPr>
            <w:r>
              <w:t>根据律师实际出庭确定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案件办结率</w:t>
            </w:r>
          </w:p>
        </w:tc>
        <w:tc>
          <w:tcPr>
            <w:tcW w:w="5386" w:type="dxa"/>
            <w:vAlign w:val="center"/>
          </w:tcPr>
          <w:p>
            <w:pPr>
              <w:pStyle w:val="14"/>
            </w:pPr>
            <w:r>
              <w:t>已办结的案件占案件总数的比例</w:t>
            </w:r>
          </w:p>
        </w:tc>
        <w:tc>
          <w:tcPr>
            <w:tcW w:w="2268" w:type="dxa"/>
            <w:vAlign w:val="center"/>
          </w:tcPr>
          <w:p>
            <w:pPr>
              <w:pStyle w:val="14"/>
            </w:pPr>
            <w:r>
              <w:t>≥90%</w:t>
            </w:r>
          </w:p>
        </w:tc>
        <w:tc>
          <w:tcPr>
            <w:tcW w:w="1276" w:type="dxa"/>
            <w:vAlign w:val="center"/>
          </w:tcPr>
          <w:p>
            <w:pPr>
              <w:pStyle w:val="14"/>
            </w:pPr>
            <w:r>
              <w:t>根据律师服务积极性确定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案件处理时间</w:t>
            </w:r>
          </w:p>
        </w:tc>
        <w:tc>
          <w:tcPr>
            <w:tcW w:w="5386" w:type="dxa"/>
            <w:vAlign w:val="center"/>
          </w:tcPr>
          <w:p>
            <w:pPr>
              <w:pStyle w:val="14"/>
            </w:pPr>
            <w:r>
              <w:t>按照年度计划保障工作、解决工作中相关法律问题</w:t>
            </w:r>
          </w:p>
        </w:tc>
        <w:tc>
          <w:tcPr>
            <w:tcW w:w="2268" w:type="dxa"/>
            <w:vAlign w:val="center"/>
          </w:tcPr>
          <w:p>
            <w:pPr>
              <w:pStyle w:val="14"/>
            </w:pPr>
            <w:r>
              <w:t>≥180天</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案件收费均价</w:t>
            </w:r>
          </w:p>
        </w:tc>
        <w:tc>
          <w:tcPr>
            <w:tcW w:w="5386" w:type="dxa"/>
            <w:vAlign w:val="center"/>
          </w:tcPr>
          <w:p>
            <w:pPr>
              <w:pStyle w:val="14"/>
            </w:pPr>
            <w:r>
              <w:t>每件案件受理成本控制</w:t>
            </w:r>
          </w:p>
        </w:tc>
        <w:tc>
          <w:tcPr>
            <w:tcW w:w="2268" w:type="dxa"/>
            <w:vAlign w:val="center"/>
          </w:tcPr>
          <w:p>
            <w:pPr>
              <w:pStyle w:val="14"/>
            </w:pPr>
            <w:r>
              <w:t>≤1.25万元/件</w:t>
            </w:r>
          </w:p>
        </w:tc>
        <w:tc>
          <w:tcPr>
            <w:tcW w:w="1276" w:type="dxa"/>
            <w:vAlign w:val="center"/>
          </w:tcPr>
          <w:p>
            <w:pPr>
              <w:pStyle w:val="14"/>
            </w:pPr>
            <w:r>
              <w:t>根据民事诉讼案件疑难、复杂程度收费标准5倍以内收取费用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每年法律顾问费成本</w:t>
            </w:r>
          </w:p>
        </w:tc>
        <w:tc>
          <w:tcPr>
            <w:tcW w:w="5386" w:type="dxa"/>
            <w:vAlign w:val="center"/>
          </w:tcPr>
          <w:p>
            <w:pPr>
              <w:pStyle w:val="14"/>
            </w:pPr>
            <w:r>
              <w:t>每年法律顾问费成本</w:t>
            </w:r>
          </w:p>
        </w:tc>
        <w:tc>
          <w:tcPr>
            <w:tcW w:w="2268" w:type="dxa"/>
            <w:vAlign w:val="center"/>
          </w:tcPr>
          <w:p>
            <w:pPr>
              <w:pStyle w:val="14"/>
            </w:pPr>
            <w:r>
              <w:t>≤8万元</w:t>
            </w:r>
          </w:p>
        </w:tc>
        <w:tc>
          <w:tcPr>
            <w:tcW w:w="1276" w:type="dxa"/>
            <w:vAlign w:val="center"/>
          </w:tcPr>
          <w:p>
            <w:pPr>
              <w:pStyle w:val="14"/>
            </w:pPr>
            <w:r>
              <w:t>签订的法律顾问合同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保障工作有序进行</w:t>
            </w:r>
          </w:p>
        </w:tc>
        <w:tc>
          <w:tcPr>
            <w:tcW w:w="5386" w:type="dxa"/>
            <w:vAlign w:val="center"/>
          </w:tcPr>
          <w:p>
            <w:pPr>
              <w:pStyle w:val="14"/>
            </w:pPr>
            <w:r>
              <w:t>进一步能保障行政工作高效有序运行</w:t>
            </w:r>
          </w:p>
        </w:tc>
        <w:tc>
          <w:tcPr>
            <w:tcW w:w="2268" w:type="dxa"/>
            <w:vAlign w:val="center"/>
          </w:tcPr>
          <w:p>
            <w:pPr>
              <w:pStyle w:val="14"/>
            </w:pPr>
            <w:r>
              <w:t>进一步保障工作高效有序运行</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7、企业征收费绩效目标表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13018625P00005510003K</w:t>
            </w:r>
          </w:p>
        </w:tc>
        <w:tc>
          <w:tcPr>
            <w:tcW w:w="2835" w:type="dxa"/>
            <w:vAlign w:val="center"/>
          </w:tcPr>
          <w:p>
            <w:pPr>
              <w:pStyle w:val="12"/>
            </w:pPr>
            <w:r>
              <w:t>项目名称</w:t>
            </w:r>
          </w:p>
        </w:tc>
        <w:tc>
          <w:tcPr>
            <w:tcW w:w="6095" w:type="dxa"/>
            <w:gridSpan w:val="3"/>
            <w:vAlign w:val="center"/>
          </w:tcPr>
          <w:p>
            <w:pPr>
              <w:pStyle w:val="14"/>
            </w:pPr>
            <w:r>
              <w:t>企业征收费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171.00</w:t>
            </w:r>
          </w:p>
        </w:tc>
        <w:tc>
          <w:tcPr>
            <w:tcW w:w="2835" w:type="dxa"/>
            <w:vAlign w:val="center"/>
          </w:tcPr>
          <w:p>
            <w:pPr>
              <w:pStyle w:val="12"/>
            </w:pPr>
            <w:r>
              <w:t>其中：财政    资金</w:t>
            </w:r>
          </w:p>
        </w:tc>
        <w:tc>
          <w:tcPr>
            <w:tcW w:w="2551" w:type="dxa"/>
            <w:vAlign w:val="center"/>
          </w:tcPr>
          <w:p>
            <w:pPr>
              <w:pStyle w:val="14"/>
            </w:pPr>
            <w:r>
              <w:t>171.00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1.正定新区丰辉型材有限公司厂房、宿舍楼拆除及垃圾清运项目</w:t>
            </w:r>
          </w:p>
          <w:p>
            <w:pPr>
              <w:pStyle w:val="14"/>
            </w:pPr>
            <w:r>
              <w:t>2.正定新区河北五矿管业有限公司拆除及渣土清运项目</w:t>
            </w:r>
          </w:p>
          <w:p>
            <w:pPr>
              <w:pStyle w:val="14"/>
            </w:pPr>
            <w:r>
              <w:t>3.正定新区石家庄豪特家具有限公司厂房拆除及渣土清运项目</w:t>
            </w:r>
          </w:p>
          <w:p>
            <w:pPr>
              <w:pStyle w:val="14"/>
            </w:pPr>
            <w:r>
              <w:t>4.河北盛洋建筑工程有限公司工程款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101.00</w:t>
            </w:r>
          </w:p>
        </w:tc>
        <w:tc>
          <w:tcPr>
            <w:tcW w:w="2835" w:type="dxa"/>
            <w:vAlign w:val="center"/>
          </w:tcPr>
          <w:p>
            <w:pPr>
              <w:pStyle w:val="15"/>
            </w:pPr>
            <w:r>
              <w:t>142.00</w:t>
            </w:r>
          </w:p>
        </w:tc>
        <w:tc>
          <w:tcPr>
            <w:tcW w:w="2551" w:type="dxa"/>
            <w:vAlign w:val="center"/>
          </w:tcPr>
          <w:p>
            <w:pPr>
              <w:pStyle w:val="15"/>
            </w:pPr>
            <w:r>
              <w:t>171.00</w:t>
            </w:r>
          </w:p>
        </w:tc>
        <w:tc>
          <w:tcPr>
            <w:tcW w:w="3544" w:type="dxa"/>
            <w:gridSpan w:val="2"/>
            <w:vAlign w:val="center"/>
          </w:tcPr>
          <w:p>
            <w:pPr>
              <w:pStyle w:val="15"/>
            </w:pPr>
            <w:r>
              <w:t>171.00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1.保障企业拆除工作正常推进。2.及时支付拆除及垃圾清运费。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企业拆除面积</w:t>
            </w:r>
          </w:p>
        </w:tc>
        <w:tc>
          <w:tcPr>
            <w:tcW w:w="5386" w:type="dxa"/>
            <w:vAlign w:val="center"/>
          </w:tcPr>
          <w:p>
            <w:pPr>
              <w:pStyle w:val="14"/>
            </w:pPr>
            <w:r>
              <w:t>完成企业拆除面积</w:t>
            </w:r>
          </w:p>
        </w:tc>
        <w:tc>
          <w:tcPr>
            <w:tcW w:w="2268" w:type="dxa"/>
            <w:vAlign w:val="center"/>
          </w:tcPr>
          <w:p>
            <w:pPr>
              <w:pStyle w:val="14"/>
            </w:pPr>
            <w:r>
              <w:t>≥57000平方米</w:t>
            </w:r>
          </w:p>
        </w:tc>
        <w:tc>
          <w:tcPr>
            <w:tcW w:w="127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拆除工作完成率（%）</w:t>
            </w:r>
          </w:p>
        </w:tc>
        <w:tc>
          <w:tcPr>
            <w:tcW w:w="5386" w:type="dxa"/>
            <w:vAlign w:val="center"/>
          </w:tcPr>
          <w:p>
            <w:pPr>
              <w:pStyle w:val="14"/>
            </w:pPr>
            <w:r>
              <w:t>拆除合格的方案数量/拆除的方案数量*100%</w:t>
            </w:r>
          </w:p>
        </w:tc>
        <w:tc>
          <w:tcPr>
            <w:tcW w:w="2268" w:type="dxa"/>
            <w:vAlign w:val="center"/>
          </w:tcPr>
          <w:p>
            <w:pPr>
              <w:pStyle w:val="14"/>
            </w:pPr>
            <w:r>
              <w:t>≥90%</w:t>
            </w:r>
          </w:p>
        </w:tc>
        <w:tc>
          <w:tcPr>
            <w:tcW w:w="1276" w:type="dxa"/>
            <w:vAlign w:val="center"/>
          </w:tcPr>
          <w:p>
            <w:pPr>
              <w:pStyle w:val="14"/>
            </w:pPr>
            <w:r>
              <w:t>根据实际拆除合格情况确定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实际完成工程时间</w:t>
            </w:r>
          </w:p>
        </w:tc>
        <w:tc>
          <w:tcPr>
            <w:tcW w:w="5386" w:type="dxa"/>
            <w:vAlign w:val="center"/>
          </w:tcPr>
          <w:p>
            <w:pPr>
              <w:pStyle w:val="14"/>
            </w:pPr>
            <w:r>
              <w:t>每个项目实际完成工程时间</w:t>
            </w:r>
          </w:p>
        </w:tc>
        <w:tc>
          <w:tcPr>
            <w:tcW w:w="2268" w:type="dxa"/>
            <w:vAlign w:val="center"/>
          </w:tcPr>
          <w:p>
            <w:pPr>
              <w:pStyle w:val="14"/>
            </w:pPr>
            <w:r>
              <w:t>≤30天</w:t>
            </w:r>
          </w:p>
        </w:tc>
        <w:tc>
          <w:tcPr>
            <w:tcW w:w="1276" w:type="dxa"/>
            <w:vAlign w:val="center"/>
          </w:tcPr>
          <w:p>
            <w:pPr>
              <w:pStyle w:val="14"/>
            </w:pPr>
            <w:r>
              <w:t>依据合同签订</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企业渣土清运费每平方金额</w:t>
            </w:r>
          </w:p>
        </w:tc>
        <w:tc>
          <w:tcPr>
            <w:tcW w:w="5386" w:type="dxa"/>
            <w:vAlign w:val="center"/>
          </w:tcPr>
          <w:p>
            <w:pPr>
              <w:pStyle w:val="14"/>
            </w:pPr>
            <w:r>
              <w:t>每平方米支付渣土清运费成本</w:t>
            </w:r>
          </w:p>
        </w:tc>
        <w:tc>
          <w:tcPr>
            <w:tcW w:w="2268" w:type="dxa"/>
            <w:vAlign w:val="center"/>
          </w:tcPr>
          <w:p>
            <w:pPr>
              <w:pStyle w:val="14"/>
            </w:pPr>
            <w:r>
              <w:t>≤30元/平方米</w:t>
            </w:r>
          </w:p>
        </w:tc>
        <w:tc>
          <w:tcPr>
            <w:tcW w:w="1276" w:type="dxa"/>
            <w:vAlign w:val="center"/>
          </w:tcPr>
          <w:p>
            <w:pPr>
              <w:pStyle w:val="14"/>
            </w:pPr>
            <w:r>
              <w:t>根据财政评审审定标准</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为供地工作提供支撑</w:t>
            </w:r>
          </w:p>
        </w:tc>
        <w:tc>
          <w:tcPr>
            <w:tcW w:w="5386" w:type="dxa"/>
            <w:vAlign w:val="center"/>
          </w:tcPr>
          <w:p>
            <w:pPr>
              <w:pStyle w:val="14"/>
            </w:pPr>
            <w:r>
              <w:t>开展此项工作为社会经济发展起到支撑作用</w:t>
            </w:r>
          </w:p>
        </w:tc>
        <w:tc>
          <w:tcPr>
            <w:tcW w:w="2268" w:type="dxa"/>
            <w:vAlign w:val="center"/>
          </w:tcPr>
          <w:p>
            <w:pPr>
              <w:pStyle w:val="14"/>
            </w:pPr>
            <w:r>
              <w:t>有效开展工作，促进社会经济发展</w:t>
            </w:r>
          </w:p>
        </w:tc>
        <w:tc>
          <w:tcPr>
            <w:tcW w:w="1276" w:type="dxa"/>
            <w:vAlign w:val="center"/>
          </w:tcPr>
          <w:p>
            <w:pPr>
              <w:pStyle w:val="14"/>
            </w:pPr>
            <w:r>
              <w:t>根据供地要求确定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8、全民所有土地资产管理信息系统管理维护费绩效目标表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13018625P00001110002C</w:t>
            </w:r>
          </w:p>
        </w:tc>
        <w:tc>
          <w:tcPr>
            <w:tcW w:w="2835" w:type="dxa"/>
            <w:vAlign w:val="center"/>
          </w:tcPr>
          <w:p>
            <w:pPr>
              <w:pStyle w:val="12"/>
            </w:pPr>
            <w:r>
              <w:t>项目名称</w:t>
            </w:r>
          </w:p>
        </w:tc>
        <w:tc>
          <w:tcPr>
            <w:tcW w:w="6095" w:type="dxa"/>
            <w:gridSpan w:val="3"/>
            <w:vAlign w:val="center"/>
          </w:tcPr>
          <w:p>
            <w:pPr>
              <w:pStyle w:val="14"/>
            </w:pPr>
            <w:r>
              <w:t>全民所有土地资产管理信息系统管理维护费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用于支付全民所有土地资产管理信息系统管理维护费。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1.加强全民所有土地资产管理信息系统填报工作，确保土地储备和土地供应工作平稳有序。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系统维护次数</w:t>
            </w:r>
          </w:p>
        </w:tc>
        <w:tc>
          <w:tcPr>
            <w:tcW w:w="5386" w:type="dxa"/>
            <w:vAlign w:val="center"/>
          </w:tcPr>
          <w:p>
            <w:pPr>
              <w:pStyle w:val="14"/>
            </w:pPr>
            <w:r>
              <w:t>需维护录入信息系统次数</w:t>
            </w:r>
          </w:p>
        </w:tc>
        <w:tc>
          <w:tcPr>
            <w:tcW w:w="2268" w:type="dxa"/>
            <w:vAlign w:val="center"/>
          </w:tcPr>
          <w:p>
            <w:pPr>
              <w:pStyle w:val="14"/>
            </w:pPr>
            <w:r>
              <w:t>≥12次</w:t>
            </w:r>
          </w:p>
        </w:tc>
        <w:tc>
          <w:tcPr>
            <w:tcW w:w="1276" w:type="dxa"/>
            <w:vAlign w:val="center"/>
          </w:tcPr>
          <w:p>
            <w:pPr>
              <w:pStyle w:val="14"/>
            </w:pPr>
            <w:r>
              <w:t>根据实际录入情况确定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系统故障率</w:t>
            </w:r>
          </w:p>
        </w:tc>
        <w:tc>
          <w:tcPr>
            <w:tcW w:w="5386" w:type="dxa"/>
            <w:vAlign w:val="center"/>
          </w:tcPr>
          <w:p>
            <w:pPr>
              <w:pStyle w:val="14"/>
            </w:pPr>
            <w:r>
              <w:t>系统故障时间/系统总运行时间*100%</w:t>
            </w:r>
          </w:p>
        </w:tc>
        <w:tc>
          <w:tcPr>
            <w:tcW w:w="2268" w:type="dxa"/>
            <w:vAlign w:val="center"/>
          </w:tcPr>
          <w:p>
            <w:pPr>
              <w:pStyle w:val="14"/>
            </w:pPr>
            <w:r>
              <w:t>≤5%</w:t>
            </w:r>
          </w:p>
        </w:tc>
        <w:tc>
          <w:tcPr>
            <w:tcW w:w="1276" w:type="dxa"/>
            <w:vAlign w:val="center"/>
          </w:tcPr>
          <w:p>
            <w:pPr>
              <w:pStyle w:val="14"/>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录入系统时间</w:t>
            </w:r>
          </w:p>
        </w:tc>
        <w:tc>
          <w:tcPr>
            <w:tcW w:w="5386" w:type="dxa"/>
            <w:vAlign w:val="center"/>
          </w:tcPr>
          <w:p>
            <w:pPr>
              <w:pStyle w:val="14"/>
            </w:pPr>
            <w:r>
              <w:t>完成录入系统数据时间</w:t>
            </w:r>
          </w:p>
        </w:tc>
        <w:tc>
          <w:tcPr>
            <w:tcW w:w="2268" w:type="dxa"/>
            <w:vAlign w:val="center"/>
          </w:tcPr>
          <w:p>
            <w:pPr>
              <w:pStyle w:val="14"/>
            </w:pPr>
            <w:r>
              <w:t>≤5天</w:t>
            </w:r>
          </w:p>
        </w:tc>
        <w:tc>
          <w:tcPr>
            <w:tcW w:w="1276" w:type="dxa"/>
            <w:vAlign w:val="center"/>
          </w:tcPr>
          <w:p>
            <w:pPr>
              <w:pStyle w:val="14"/>
            </w:pPr>
            <w:r>
              <w:t>根据信息规定录入时间确定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单次维护金额</w:t>
            </w:r>
          </w:p>
        </w:tc>
        <w:tc>
          <w:tcPr>
            <w:tcW w:w="5386" w:type="dxa"/>
            <w:vAlign w:val="center"/>
          </w:tcPr>
          <w:p>
            <w:pPr>
              <w:pStyle w:val="14"/>
            </w:pPr>
            <w:r>
              <w:t>单次维护系统金额成本控制</w:t>
            </w:r>
          </w:p>
        </w:tc>
        <w:tc>
          <w:tcPr>
            <w:tcW w:w="2268" w:type="dxa"/>
            <w:vAlign w:val="center"/>
          </w:tcPr>
          <w:p>
            <w:pPr>
              <w:pStyle w:val="14"/>
            </w:pPr>
            <w:r>
              <w:t>≤1.67万元/次</w:t>
            </w:r>
          </w:p>
        </w:tc>
        <w:tc>
          <w:tcPr>
            <w:tcW w:w="1276" w:type="dxa"/>
            <w:vAlign w:val="center"/>
          </w:tcPr>
          <w:p>
            <w:pPr>
              <w:pStyle w:val="14"/>
            </w:pPr>
            <w:r>
              <w:t>依据地块维护实际情况及系统维护要求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为供地工作提供支撑</w:t>
            </w:r>
          </w:p>
        </w:tc>
        <w:tc>
          <w:tcPr>
            <w:tcW w:w="5386" w:type="dxa"/>
            <w:vAlign w:val="center"/>
          </w:tcPr>
          <w:p>
            <w:pPr>
              <w:pStyle w:val="14"/>
            </w:pPr>
            <w:r>
              <w:t>开展此项工作为社会经济发展起到支撑作用</w:t>
            </w:r>
          </w:p>
        </w:tc>
        <w:tc>
          <w:tcPr>
            <w:tcW w:w="2268" w:type="dxa"/>
            <w:vAlign w:val="center"/>
          </w:tcPr>
          <w:p>
            <w:pPr>
              <w:pStyle w:val="14"/>
            </w:pPr>
            <w:r>
              <w:t>为供地工作提供数据支撑</w:t>
            </w:r>
          </w:p>
        </w:tc>
        <w:tc>
          <w:tcPr>
            <w:tcW w:w="127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9、森林植被恢复费绩效目标表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13018625P000378100013</w:t>
            </w:r>
          </w:p>
        </w:tc>
        <w:tc>
          <w:tcPr>
            <w:tcW w:w="2835" w:type="dxa"/>
            <w:vAlign w:val="center"/>
          </w:tcPr>
          <w:p>
            <w:pPr>
              <w:pStyle w:val="12"/>
            </w:pPr>
            <w:r>
              <w:t>项目名称</w:t>
            </w:r>
          </w:p>
        </w:tc>
        <w:tc>
          <w:tcPr>
            <w:tcW w:w="6095" w:type="dxa"/>
            <w:gridSpan w:val="3"/>
            <w:vAlign w:val="center"/>
          </w:tcPr>
          <w:p>
            <w:pPr>
              <w:pStyle w:val="14"/>
            </w:pPr>
            <w:r>
              <w:t>森林植被恢复费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1.节约利用林地、培育和恢复森林植被</w:t>
            </w:r>
          </w:p>
          <w:p>
            <w:pPr>
              <w:pStyle w:val="14"/>
            </w:pPr>
            <w:r>
              <w:t>2.实现森林植被占补平衡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80.00</w:t>
            </w:r>
          </w:p>
        </w:tc>
        <w:tc>
          <w:tcPr>
            <w:tcW w:w="2835" w:type="dxa"/>
            <w:vAlign w:val="center"/>
          </w:tcPr>
          <w:p>
            <w:pPr>
              <w:pStyle w:val="15"/>
            </w:pPr>
            <w:r>
              <w:t>120.00</w:t>
            </w:r>
          </w:p>
        </w:tc>
        <w:tc>
          <w:tcPr>
            <w:tcW w:w="2551" w:type="dxa"/>
            <w:vAlign w:val="center"/>
          </w:tcPr>
          <w:p>
            <w:pPr>
              <w:pStyle w:val="15"/>
            </w:pPr>
            <w:r>
              <w:t>160.00</w:t>
            </w:r>
          </w:p>
        </w:tc>
        <w:tc>
          <w:tcPr>
            <w:tcW w:w="3544" w:type="dxa"/>
            <w:gridSpan w:val="2"/>
            <w:vAlign w:val="center"/>
          </w:tcPr>
          <w:p>
            <w:pPr>
              <w:pStyle w:val="15"/>
            </w:pPr>
            <w:r>
              <w:t>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1.2.实现森林植被占补平衡</w:t>
            </w:r>
          </w:p>
          <w:p>
            <w:pPr>
              <w:pStyle w:val="14"/>
            </w:pPr>
            <w:r>
              <w:t>2.1.节约利用林地、培育和恢复森林植被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占用林地面积</w:t>
            </w:r>
          </w:p>
        </w:tc>
        <w:tc>
          <w:tcPr>
            <w:tcW w:w="5386" w:type="dxa"/>
            <w:vAlign w:val="center"/>
          </w:tcPr>
          <w:p>
            <w:pPr>
              <w:pStyle w:val="14"/>
            </w:pPr>
            <w:r>
              <w:t>需占用林地面积</w:t>
            </w:r>
          </w:p>
        </w:tc>
        <w:tc>
          <w:tcPr>
            <w:tcW w:w="2268" w:type="dxa"/>
            <w:vAlign w:val="center"/>
          </w:tcPr>
          <w:p>
            <w:pPr>
              <w:pStyle w:val="14"/>
            </w:pPr>
            <w:r>
              <w:t>≥100000平方米</w:t>
            </w:r>
          </w:p>
        </w:tc>
        <w:tc>
          <w:tcPr>
            <w:tcW w:w="1276" w:type="dxa"/>
            <w:vAlign w:val="center"/>
          </w:tcPr>
          <w:p>
            <w:pPr>
              <w:pStyle w:val="14"/>
            </w:pPr>
            <w:r>
              <w:t>往年工作数据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森林植被恢复合格率</w:t>
            </w:r>
          </w:p>
        </w:tc>
        <w:tc>
          <w:tcPr>
            <w:tcW w:w="5386" w:type="dxa"/>
            <w:vAlign w:val="center"/>
          </w:tcPr>
          <w:p>
            <w:pPr>
              <w:pStyle w:val="14"/>
            </w:pPr>
            <w:r>
              <w:t>森林植被恢复合格面积/总恢复面积*100%</w:t>
            </w:r>
          </w:p>
        </w:tc>
        <w:tc>
          <w:tcPr>
            <w:tcW w:w="2268" w:type="dxa"/>
            <w:vAlign w:val="center"/>
          </w:tcPr>
          <w:p>
            <w:pPr>
              <w:pStyle w:val="14"/>
            </w:pPr>
            <w:r>
              <w:t>≥90%</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缴纳森林植被恢复费时间</w:t>
            </w:r>
          </w:p>
        </w:tc>
        <w:tc>
          <w:tcPr>
            <w:tcW w:w="5386" w:type="dxa"/>
            <w:vAlign w:val="center"/>
          </w:tcPr>
          <w:p>
            <w:pPr>
              <w:pStyle w:val="14"/>
            </w:pPr>
            <w:r>
              <w:t>缴纳森林植被恢复费时间</w:t>
            </w:r>
          </w:p>
        </w:tc>
        <w:tc>
          <w:tcPr>
            <w:tcW w:w="2268" w:type="dxa"/>
            <w:vAlign w:val="center"/>
          </w:tcPr>
          <w:p>
            <w:pPr>
              <w:pStyle w:val="14"/>
            </w:pPr>
            <w:r>
              <w:t>≤15天</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每平方米林地缴纳金额</w:t>
            </w:r>
          </w:p>
        </w:tc>
        <w:tc>
          <w:tcPr>
            <w:tcW w:w="5386" w:type="dxa"/>
            <w:vAlign w:val="center"/>
          </w:tcPr>
          <w:p>
            <w:pPr>
              <w:pStyle w:val="14"/>
            </w:pPr>
            <w:r>
              <w:t>每平方米林地缴纳金额（征收标准：2倍征收）</w:t>
            </w:r>
          </w:p>
        </w:tc>
        <w:tc>
          <w:tcPr>
            <w:tcW w:w="2268" w:type="dxa"/>
            <w:vAlign w:val="center"/>
          </w:tcPr>
          <w:p>
            <w:pPr>
              <w:pStyle w:val="14"/>
            </w:pPr>
            <w:r>
              <w:t>≤10元/平方米</w:t>
            </w:r>
          </w:p>
        </w:tc>
        <w:tc>
          <w:tcPr>
            <w:tcW w:w="1276" w:type="dxa"/>
            <w:vAlign w:val="center"/>
          </w:tcPr>
          <w:p>
            <w:pPr>
              <w:pStyle w:val="14"/>
            </w:pPr>
            <w:r>
              <w:t>根据相关文件冀财税【2016】25号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生态环境改善情况</w:t>
            </w:r>
          </w:p>
        </w:tc>
        <w:tc>
          <w:tcPr>
            <w:tcW w:w="5386" w:type="dxa"/>
            <w:vAlign w:val="center"/>
          </w:tcPr>
          <w:p>
            <w:pPr>
              <w:pStyle w:val="14"/>
            </w:pPr>
            <w:r>
              <w:t>持续对林业行业经济、生态的提升</w:t>
            </w:r>
          </w:p>
        </w:tc>
        <w:tc>
          <w:tcPr>
            <w:tcW w:w="2268" w:type="dxa"/>
            <w:vAlign w:val="center"/>
          </w:tcPr>
          <w:p>
            <w:pPr>
              <w:pStyle w:val="14"/>
            </w:pPr>
            <w:r>
              <w:t>改善</w:t>
            </w:r>
          </w:p>
        </w:tc>
        <w:tc>
          <w:tcPr>
            <w:tcW w:w="1276" w:type="dxa"/>
            <w:vAlign w:val="center"/>
          </w:tcPr>
          <w:p>
            <w:pPr>
              <w:pStyle w:val="14"/>
            </w:pPr>
            <w:r>
              <w:t>相关文件、批示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10、生态修复土地及综合整治费绩效目标表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13018625P00005810003L</w:t>
            </w:r>
          </w:p>
        </w:tc>
        <w:tc>
          <w:tcPr>
            <w:tcW w:w="2835" w:type="dxa"/>
            <w:vAlign w:val="center"/>
          </w:tcPr>
          <w:p>
            <w:pPr>
              <w:pStyle w:val="12"/>
            </w:pPr>
            <w:r>
              <w:t>项目名称</w:t>
            </w:r>
          </w:p>
        </w:tc>
        <w:tc>
          <w:tcPr>
            <w:tcW w:w="6095" w:type="dxa"/>
            <w:gridSpan w:val="3"/>
            <w:vAlign w:val="center"/>
          </w:tcPr>
          <w:p>
            <w:pPr>
              <w:pStyle w:val="14"/>
            </w:pPr>
            <w:r>
              <w:t>生态修复土地及综合整治费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1.拨付已完工的常山地块土壤修复工程款                                                                                                                                                                                                                                                                                                                                                          2.盛国化工污染地块的日常管理工作</w:t>
            </w:r>
          </w:p>
          <w:p>
            <w:pPr>
              <w:pStyle w:val="14"/>
            </w:pPr>
            <w:r>
              <w:t>3.依照管委会工作安排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100.00</w:t>
            </w:r>
          </w:p>
        </w:tc>
        <w:tc>
          <w:tcPr>
            <w:tcW w:w="2835" w:type="dxa"/>
            <w:vAlign w:val="center"/>
          </w:tcPr>
          <w:p>
            <w:pPr>
              <w:pStyle w:val="15"/>
            </w:pPr>
            <w:r>
              <w:t>200.00</w:t>
            </w:r>
          </w:p>
        </w:tc>
        <w:tc>
          <w:tcPr>
            <w:tcW w:w="2551" w:type="dxa"/>
            <w:vAlign w:val="center"/>
          </w:tcPr>
          <w:p>
            <w:pPr>
              <w:pStyle w:val="15"/>
            </w:pPr>
            <w:r>
              <w:t>300.00</w:t>
            </w:r>
          </w:p>
        </w:tc>
        <w:tc>
          <w:tcPr>
            <w:tcW w:w="3544" w:type="dxa"/>
            <w:gridSpan w:val="2"/>
            <w:vAlign w:val="center"/>
          </w:tcPr>
          <w:p>
            <w:pPr>
              <w:pStyle w:val="15"/>
            </w:pPr>
            <w:r>
              <w:t>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1.拨付已完工的常山地块土壤修复工程款。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完成土壤修复地块</w:t>
            </w:r>
          </w:p>
        </w:tc>
        <w:tc>
          <w:tcPr>
            <w:tcW w:w="5386" w:type="dxa"/>
            <w:vAlign w:val="center"/>
          </w:tcPr>
          <w:p>
            <w:pPr>
              <w:pStyle w:val="14"/>
            </w:pPr>
            <w:r>
              <w:t>完成土壤修复地块数量</w:t>
            </w:r>
          </w:p>
        </w:tc>
        <w:tc>
          <w:tcPr>
            <w:tcW w:w="2268" w:type="dxa"/>
            <w:vAlign w:val="center"/>
          </w:tcPr>
          <w:p>
            <w:pPr>
              <w:pStyle w:val="14"/>
            </w:pPr>
            <w:r>
              <w:t>≥1块</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污染土方量</w:t>
            </w:r>
          </w:p>
        </w:tc>
        <w:tc>
          <w:tcPr>
            <w:tcW w:w="5386" w:type="dxa"/>
            <w:vAlign w:val="center"/>
          </w:tcPr>
          <w:p>
            <w:pPr>
              <w:pStyle w:val="14"/>
            </w:pPr>
            <w:r>
              <w:t>常山地块的污染土壤量</w:t>
            </w:r>
          </w:p>
        </w:tc>
        <w:tc>
          <w:tcPr>
            <w:tcW w:w="2268" w:type="dxa"/>
            <w:vAlign w:val="center"/>
          </w:tcPr>
          <w:p>
            <w:pPr>
              <w:pStyle w:val="14"/>
            </w:pPr>
            <w:r>
              <w:t>≥18192立方米</w:t>
            </w:r>
          </w:p>
        </w:tc>
        <w:tc>
          <w:tcPr>
            <w:tcW w:w="1276" w:type="dxa"/>
            <w:vAlign w:val="center"/>
          </w:tcPr>
          <w:p>
            <w:pPr>
              <w:pStyle w:val="14"/>
            </w:pPr>
            <w:r>
              <w:t>土壤调查报告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土壤修复合格率</w:t>
            </w:r>
          </w:p>
        </w:tc>
        <w:tc>
          <w:tcPr>
            <w:tcW w:w="5386" w:type="dxa"/>
            <w:vAlign w:val="center"/>
          </w:tcPr>
          <w:p>
            <w:pPr>
              <w:pStyle w:val="14"/>
            </w:pPr>
            <w:r>
              <w:t>土壤修复合格地块/全部土壤修复地块*100%</w:t>
            </w:r>
          </w:p>
        </w:tc>
        <w:tc>
          <w:tcPr>
            <w:tcW w:w="2268" w:type="dxa"/>
            <w:vAlign w:val="center"/>
          </w:tcPr>
          <w:p>
            <w:pPr>
              <w:pStyle w:val="14"/>
            </w:pPr>
            <w:r>
              <w:t>≤90%</w:t>
            </w:r>
          </w:p>
        </w:tc>
        <w:tc>
          <w:tcPr>
            <w:tcW w:w="1276" w:type="dxa"/>
            <w:vAlign w:val="center"/>
          </w:tcPr>
          <w:p>
            <w:pPr>
              <w:pStyle w:val="14"/>
            </w:pPr>
            <w:r>
              <w:t>根据市生态环境局召开的专家评审会结果确定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土壤修复的工期</w:t>
            </w:r>
          </w:p>
        </w:tc>
        <w:tc>
          <w:tcPr>
            <w:tcW w:w="5386" w:type="dxa"/>
            <w:vAlign w:val="center"/>
          </w:tcPr>
          <w:p>
            <w:pPr>
              <w:pStyle w:val="14"/>
            </w:pPr>
            <w:r>
              <w:t>完成土壤修复现场工作工期</w:t>
            </w:r>
          </w:p>
        </w:tc>
        <w:tc>
          <w:tcPr>
            <w:tcW w:w="2268" w:type="dxa"/>
            <w:vAlign w:val="center"/>
          </w:tcPr>
          <w:p>
            <w:pPr>
              <w:pStyle w:val="14"/>
            </w:pPr>
            <w:r>
              <w:t>≤200天</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土壤修复成本</w:t>
            </w:r>
          </w:p>
        </w:tc>
        <w:tc>
          <w:tcPr>
            <w:tcW w:w="5386" w:type="dxa"/>
            <w:vAlign w:val="center"/>
          </w:tcPr>
          <w:p>
            <w:pPr>
              <w:pStyle w:val="14"/>
            </w:pPr>
            <w:r>
              <w:t>常山地块每立方米土壤修复成本</w:t>
            </w:r>
          </w:p>
        </w:tc>
        <w:tc>
          <w:tcPr>
            <w:tcW w:w="2268" w:type="dxa"/>
            <w:vAlign w:val="center"/>
          </w:tcPr>
          <w:p>
            <w:pPr>
              <w:pStyle w:val="14"/>
            </w:pPr>
            <w:r>
              <w:t>≤1500元/立方米</w:t>
            </w:r>
          </w:p>
        </w:tc>
        <w:tc>
          <w:tcPr>
            <w:tcW w:w="1276" w:type="dxa"/>
            <w:vAlign w:val="center"/>
          </w:tcPr>
          <w:p>
            <w:pPr>
              <w:pStyle w:val="14"/>
            </w:pPr>
            <w:r>
              <w:t>区间计算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提升生态环境</w:t>
            </w:r>
          </w:p>
        </w:tc>
        <w:tc>
          <w:tcPr>
            <w:tcW w:w="5386" w:type="dxa"/>
            <w:vAlign w:val="center"/>
          </w:tcPr>
          <w:p>
            <w:pPr>
              <w:pStyle w:val="14"/>
            </w:pPr>
            <w:r>
              <w:t>开展生态修复、提升生态环境</w:t>
            </w:r>
          </w:p>
        </w:tc>
        <w:tc>
          <w:tcPr>
            <w:tcW w:w="2268" w:type="dxa"/>
            <w:vAlign w:val="center"/>
          </w:tcPr>
          <w:p>
            <w:pPr>
              <w:pStyle w:val="14"/>
            </w:pPr>
            <w:r>
              <w:t>提升</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11、土地开发整理费绩效目标表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13018625P00027810002Y</w:t>
            </w:r>
          </w:p>
        </w:tc>
        <w:tc>
          <w:tcPr>
            <w:tcW w:w="2835" w:type="dxa"/>
            <w:vAlign w:val="center"/>
          </w:tcPr>
          <w:p>
            <w:pPr>
              <w:pStyle w:val="12"/>
            </w:pPr>
            <w:r>
              <w:t>项目名称</w:t>
            </w:r>
          </w:p>
        </w:tc>
        <w:tc>
          <w:tcPr>
            <w:tcW w:w="6095" w:type="dxa"/>
            <w:gridSpan w:val="3"/>
            <w:vAlign w:val="center"/>
          </w:tcPr>
          <w:p>
            <w:pPr>
              <w:pStyle w:val="14"/>
            </w:pPr>
            <w:r>
              <w:t>土地开发整理费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用于支付搭建围挡和滤网苫盖的工程款和尾款、定桩测量年服务费、依照工作计划开展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20.00</w:t>
            </w:r>
          </w:p>
        </w:tc>
        <w:tc>
          <w:tcPr>
            <w:tcW w:w="2551" w:type="dxa"/>
            <w:vAlign w:val="center"/>
          </w:tcPr>
          <w:p>
            <w:pPr>
              <w:pStyle w:val="15"/>
            </w:pPr>
            <w:r>
              <w:t>30.00</w:t>
            </w:r>
          </w:p>
        </w:tc>
        <w:tc>
          <w:tcPr>
            <w:tcW w:w="3544" w:type="dxa"/>
            <w:gridSpan w:val="2"/>
            <w:vAlign w:val="center"/>
          </w:tcPr>
          <w:p>
            <w:pPr>
              <w:pStyle w:val="15"/>
            </w:pPr>
            <w:r>
              <w:t>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1.用于支付搭建围挡和滤网苫盖的工程款和尾款、定桩测量年服务费、依照工作计划开展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搭建围挡工程数和滤网苫盖工程</w:t>
            </w:r>
          </w:p>
        </w:tc>
        <w:tc>
          <w:tcPr>
            <w:tcW w:w="5386" w:type="dxa"/>
            <w:vAlign w:val="center"/>
          </w:tcPr>
          <w:p>
            <w:pPr>
              <w:pStyle w:val="14"/>
            </w:pPr>
            <w:r>
              <w:t>完成搭建围挡和滤网苫盖的工程面积</w:t>
            </w:r>
          </w:p>
        </w:tc>
        <w:tc>
          <w:tcPr>
            <w:tcW w:w="2268" w:type="dxa"/>
            <w:vAlign w:val="center"/>
          </w:tcPr>
          <w:p>
            <w:pPr>
              <w:pStyle w:val="14"/>
            </w:pPr>
            <w:r>
              <w:t>≥18274平方米</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定桩测量面积</w:t>
            </w:r>
          </w:p>
        </w:tc>
        <w:tc>
          <w:tcPr>
            <w:tcW w:w="5386" w:type="dxa"/>
            <w:vAlign w:val="center"/>
          </w:tcPr>
          <w:p>
            <w:pPr>
              <w:pStyle w:val="14"/>
            </w:pPr>
            <w:r>
              <w:t>完成定桩测量面积</w:t>
            </w:r>
          </w:p>
        </w:tc>
        <w:tc>
          <w:tcPr>
            <w:tcW w:w="2268" w:type="dxa"/>
            <w:vAlign w:val="center"/>
          </w:tcPr>
          <w:p>
            <w:pPr>
              <w:pStyle w:val="14"/>
            </w:pPr>
            <w:r>
              <w:t>≥12.43平方米</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质量合格工程/总工程量*100%</w:t>
            </w:r>
          </w:p>
        </w:tc>
        <w:tc>
          <w:tcPr>
            <w:tcW w:w="2268" w:type="dxa"/>
            <w:vAlign w:val="center"/>
          </w:tcPr>
          <w:p>
            <w:pPr>
              <w:pStyle w:val="14"/>
            </w:pPr>
            <w:r>
              <w:t>≥90%</w:t>
            </w:r>
          </w:p>
        </w:tc>
        <w:tc>
          <w:tcPr>
            <w:tcW w:w="1276" w:type="dxa"/>
            <w:vAlign w:val="center"/>
          </w:tcPr>
          <w:p>
            <w:pPr>
              <w:pStyle w:val="14"/>
            </w:pPr>
            <w:r>
              <w:t>根据评审最终验收情况确定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工程完工周期</w:t>
            </w:r>
          </w:p>
        </w:tc>
        <w:tc>
          <w:tcPr>
            <w:tcW w:w="5386" w:type="dxa"/>
            <w:vAlign w:val="center"/>
          </w:tcPr>
          <w:p>
            <w:pPr>
              <w:pStyle w:val="14"/>
            </w:pPr>
            <w:r>
              <w:t>工程完工周期</w:t>
            </w:r>
          </w:p>
        </w:tc>
        <w:tc>
          <w:tcPr>
            <w:tcW w:w="2268" w:type="dxa"/>
            <w:vAlign w:val="center"/>
          </w:tcPr>
          <w:p>
            <w:pPr>
              <w:pStyle w:val="14"/>
            </w:pPr>
            <w:r>
              <w:t>≤10天</w:t>
            </w:r>
          </w:p>
        </w:tc>
        <w:tc>
          <w:tcPr>
            <w:tcW w:w="1276" w:type="dxa"/>
            <w:vAlign w:val="center"/>
          </w:tcPr>
          <w:p>
            <w:pPr>
              <w:pStyle w:val="14"/>
            </w:pPr>
            <w:r>
              <w:t>签订工程合同约定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每平方米围挡搭建成本</w:t>
            </w:r>
          </w:p>
        </w:tc>
        <w:tc>
          <w:tcPr>
            <w:tcW w:w="5386" w:type="dxa"/>
            <w:vAlign w:val="center"/>
          </w:tcPr>
          <w:p>
            <w:pPr>
              <w:pStyle w:val="14"/>
            </w:pPr>
            <w:r>
              <w:t>每平方米围挡搭建成本</w:t>
            </w:r>
          </w:p>
        </w:tc>
        <w:tc>
          <w:tcPr>
            <w:tcW w:w="2268" w:type="dxa"/>
            <w:vAlign w:val="center"/>
          </w:tcPr>
          <w:p>
            <w:pPr>
              <w:pStyle w:val="14"/>
            </w:pPr>
            <w:r>
              <w:t>≤50元/平方米</w:t>
            </w:r>
          </w:p>
        </w:tc>
        <w:tc>
          <w:tcPr>
            <w:tcW w:w="1276" w:type="dxa"/>
            <w:vAlign w:val="center"/>
          </w:tcPr>
          <w:p>
            <w:pPr>
              <w:pStyle w:val="14"/>
            </w:pPr>
            <w:r>
              <w:t>根据评估评审报告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每平方米定桩测量成本</w:t>
            </w:r>
          </w:p>
        </w:tc>
        <w:tc>
          <w:tcPr>
            <w:tcW w:w="5386" w:type="dxa"/>
            <w:vAlign w:val="center"/>
          </w:tcPr>
          <w:p>
            <w:pPr>
              <w:pStyle w:val="14"/>
            </w:pPr>
            <w:r>
              <w:t>每平方米定桩测量成本</w:t>
            </w:r>
          </w:p>
        </w:tc>
        <w:tc>
          <w:tcPr>
            <w:tcW w:w="2268" w:type="dxa"/>
            <w:vAlign w:val="center"/>
          </w:tcPr>
          <w:p>
            <w:pPr>
              <w:pStyle w:val="14"/>
            </w:pPr>
            <w:r>
              <w:t>≤0.37元/平方米</w:t>
            </w:r>
          </w:p>
        </w:tc>
        <w:tc>
          <w:tcPr>
            <w:tcW w:w="1276" w:type="dxa"/>
            <w:vAlign w:val="center"/>
          </w:tcPr>
          <w:p>
            <w:pPr>
              <w:pStyle w:val="14"/>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提高生态环境</w:t>
            </w:r>
          </w:p>
        </w:tc>
        <w:tc>
          <w:tcPr>
            <w:tcW w:w="5386" w:type="dxa"/>
            <w:vAlign w:val="center"/>
          </w:tcPr>
          <w:p>
            <w:pPr>
              <w:pStyle w:val="14"/>
            </w:pPr>
            <w:r>
              <w:t>提高生态环境抑制扬尘</w:t>
            </w:r>
          </w:p>
        </w:tc>
        <w:tc>
          <w:tcPr>
            <w:tcW w:w="2268" w:type="dxa"/>
            <w:vAlign w:val="center"/>
          </w:tcPr>
          <w:p>
            <w:pPr>
              <w:pStyle w:val="14"/>
            </w:pPr>
            <w:r>
              <w:t>提高</w:t>
            </w:r>
          </w:p>
        </w:tc>
        <w:tc>
          <w:tcPr>
            <w:tcW w:w="1276" w:type="dxa"/>
            <w:vAlign w:val="center"/>
          </w:tcPr>
          <w:p>
            <w:pPr>
              <w:pStyle w:val="14"/>
            </w:pPr>
            <w:r>
              <w:t>依据大气办规定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12、闲置资产管理费绩效目标表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13018625P00004510003C</w:t>
            </w:r>
          </w:p>
        </w:tc>
        <w:tc>
          <w:tcPr>
            <w:tcW w:w="2835" w:type="dxa"/>
            <w:vAlign w:val="center"/>
          </w:tcPr>
          <w:p>
            <w:pPr>
              <w:pStyle w:val="12"/>
            </w:pPr>
            <w:r>
              <w:t>项目名称</w:t>
            </w:r>
          </w:p>
        </w:tc>
        <w:tc>
          <w:tcPr>
            <w:tcW w:w="6095" w:type="dxa"/>
            <w:gridSpan w:val="3"/>
            <w:vAlign w:val="center"/>
          </w:tcPr>
          <w:p>
            <w:pPr>
              <w:pStyle w:val="14"/>
            </w:pPr>
            <w:r>
              <w:t>闲置资产管理费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增强闲置资产管理保障能力、管理及维护工作。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1.增强闲置资产管理保障能力、管理及维护工作。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管理及维护闲置房产</w:t>
            </w:r>
          </w:p>
        </w:tc>
        <w:tc>
          <w:tcPr>
            <w:tcW w:w="5386" w:type="dxa"/>
            <w:vAlign w:val="center"/>
          </w:tcPr>
          <w:p>
            <w:pPr>
              <w:pStyle w:val="14"/>
            </w:pPr>
            <w:r>
              <w:t>对需要管理和维护的房产盘点数量</w:t>
            </w:r>
          </w:p>
        </w:tc>
        <w:tc>
          <w:tcPr>
            <w:tcW w:w="2268" w:type="dxa"/>
            <w:vAlign w:val="center"/>
          </w:tcPr>
          <w:p>
            <w:pPr>
              <w:pStyle w:val="14"/>
            </w:pPr>
            <w:r>
              <w:t>≥2处</w:t>
            </w:r>
          </w:p>
        </w:tc>
        <w:tc>
          <w:tcPr>
            <w:tcW w:w="1276" w:type="dxa"/>
            <w:vAlign w:val="center"/>
          </w:tcPr>
          <w:p>
            <w:pPr>
              <w:pStyle w:val="14"/>
            </w:pPr>
            <w:r>
              <w:t>以前年度数据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闲置资产质量合格率</w:t>
            </w:r>
          </w:p>
        </w:tc>
        <w:tc>
          <w:tcPr>
            <w:tcW w:w="5386" w:type="dxa"/>
            <w:vAlign w:val="center"/>
          </w:tcPr>
          <w:p>
            <w:pPr>
              <w:pStyle w:val="14"/>
            </w:pPr>
            <w:r>
              <w:t>质量合格闲置资产/总闲置资产*100%</w:t>
            </w:r>
          </w:p>
        </w:tc>
        <w:tc>
          <w:tcPr>
            <w:tcW w:w="2268" w:type="dxa"/>
            <w:vAlign w:val="center"/>
          </w:tcPr>
          <w:p>
            <w:pPr>
              <w:pStyle w:val="14"/>
            </w:pPr>
            <w:r>
              <w:t>≥80%</w:t>
            </w:r>
          </w:p>
        </w:tc>
        <w:tc>
          <w:tcPr>
            <w:tcW w:w="1276" w:type="dxa"/>
            <w:vAlign w:val="center"/>
          </w:tcPr>
          <w:p>
            <w:pPr>
              <w:pStyle w:val="14"/>
            </w:pPr>
            <w:r>
              <w:t>根据房屋使用程度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维护闲置资产周期</w:t>
            </w:r>
          </w:p>
        </w:tc>
        <w:tc>
          <w:tcPr>
            <w:tcW w:w="5386" w:type="dxa"/>
            <w:vAlign w:val="center"/>
          </w:tcPr>
          <w:p>
            <w:pPr>
              <w:pStyle w:val="14"/>
            </w:pPr>
            <w:r>
              <w:t>对闲置资产进行管理及维护</w:t>
            </w:r>
          </w:p>
        </w:tc>
        <w:tc>
          <w:tcPr>
            <w:tcW w:w="2268" w:type="dxa"/>
            <w:vAlign w:val="center"/>
          </w:tcPr>
          <w:p>
            <w:pPr>
              <w:pStyle w:val="14"/>
            </w:pPr>
            <w:r>
              <w:t>≤60天</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每处闲置房产管理及维护成本</w:t>
            </w:r>
          </w:p>
        </w:tc>
        <w:tc>
          <w:tcPr>
            <w:tcW w:w="5386" w:type="dxa"/>
            <w:vAlign w:val="center"/>
          </w:tcPr>
          <w:p>
            <w:pPr>
              <w:pStyle w:val="14"/>
            </w:pPr>
            <w:r>
              <w:t>每处闲置房产管理及维护成本</w:t>
            </w:r>
          </w:p>
        </w:tc>
        <w:tc>
          <w:tcPr>
            <w:tcW w:w="2268" w:type="dxa"/>
            <w:vAlign w:val="center"/>
          </w:tcPr>
          <w:p>
            <w:pPr>
              <w:pStyle w:val="14"/>
            </w:pPr>
            <w:r>
              <w:t>≤2.5万元</w:t>
            </w:r>
          </w:p>
        </w:tc>
        <w:tc>
          <w:tcPr>
            <w:tcW w:w="1276" w:type="dxa"/>
            <w:vAlign w:val="center"/>
          </w:tcPr>
          <w:p>
            <w:pPr>
              <w:pStyle w:val="14"/>
            </w:pPr>
            <w:r>
              <w:t>按市场价格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提高闲置资产安全性</w:t>
            </w:r>
          </w:p>
        </w:tc>
        <w:tc>
          <w:tcPr>
            <w:tcW w:w="5386" w:type="dxa"/>
            <w:vAlign w:val="center"/>
          </w:tcPr>
          <w:p>
            <w:pPr>
              <w:pStyle w:val="14"/>
            </w:pPr>
            <w:r>
              <w:t>提高闲置资产安全性</w:t>
            </w:r>
          </w:p>
        </w:tc>
        <w:tc>
          <w:tcPr>
            <w:tcW w:w="2268" w:type="dxa"/>
            <w:vAlign w:val="center"/>
          </w:tcPr>
          <w:p>
            <w:pPr>
              <w:pStyle w:val="14"/>
            </w:pPr>
            <w:r>
              <w:t>提高</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13、征地补偿款及土地利息绩效目标表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13018625P000381100026</w:t>
            </w:r>
          </w:p>
        </w:tc>
        <w:tc>
          <w:tcPr>
            <w:tcW w:w="2835" w:type="dxa"/>
            <w:vAlign w:val="center"/>
          </w:tcPr>
          <w:p>
            <w:pPr>
              <w:pStyle w:val="12"/>
            </w:pPr>
            <w:r>
              <w:t>项目名称</w:t>
            </w:r>
          </w:p>
        </w:tc>
        <w:tc>
          <w:tcPr>
            <w:tcW w:w="6095" w:type="dxa"/>
            <w:gridSpan w:val="3"/>
            <w:vAlign w:val="center"/>
          </w:tcPr>
          <w:p>
            <w:pPr>
              <w:pStyle w:val="14"/>
            </w:pPr>
            <w:r>
              <w:t>征地补偿款及土地利息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w:t>
            </w:r>
          </w:p>
        </w:tc>
        <w:tc>
          <w:tcPr>
            <w:tcW w:w="2835" w:type="dxa"/>
            <w:vAlign w:val="center"/>
          </w:tcPr>
          <w:p>
            <w:pPr>
              <w:pStyle w:val="12"/>
            </w:pPr>
            <w:r>
              <w:t>其中：财政    资金</w:t>
            </w:r>
          </w:p>
        </w:tc>
        <w:tc>
          <w:tcPr>
            <w:tcW w:w="2551" w:type="dxa"/>
            <w:vAlign w:val="center"/>
          </w:tcPr>
          <w:p>
            <w:pPr>
              <w:pStyle w:val="14"/>
            </w:pPr>
            <w:r>
              <w:t>10000.00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支付2025-2026年度土地收储利息做好土地的管理储备工作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5000.00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1.支付2025-2026年度土地收储利息做好土地的管理储备工作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需支付利息土地亩数</w:t>
            </w:r>
          </w:p>
        </w:tc>
        <w:tc>
          <w:tcPr>
            <w:tcW w:w="5386" w:type="dxa"/>
            <w:vAlign w:val="center"/>
          </w:tcPr>
          <w:p>
            <w:pPr>
              <w:pStyle w:val="14"/>
            </w:pPr>
            <w:r>
              <w:t>需支付土地利息的20个村庄总亩数</w:t>
            </w:r>
          </w:p>
        </w:tc>
        <w:tc>
          <w:tcPr>
            <w:tcW w:w="2268" w:type="dxa"/>
            <w:vAlign w:val="center"/>
          </w:tcPr>
          <w:p>
            <w:pPr>
              <w:pStyle w:val="14"/>
            </w:pPr>
            <w:r>
              <w:t>62567.22亩</w:t>
            </w:r>
          </w:p>
        </w:tc>
        <w:tc>
          <w:tcPr>
            <w:tcW w:w="1276" w:type="dxa"/>
            <w:vAlign w:val="center"/>
          </w:tcPr>
          <w:p>
            <w:pPr>
              <w:pStyle w:val="14"/>
            </w:pPr>
            <w:r>
              <w:t>根据土地收储面积确定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支付利息完成率</w:t>
            </w:r>
          </w:p>
        </w:tc>
        <w:tc>
          <w:tcPr>
            <w:tcW w:w="5386" w:type="dxa"/>
            <w:vAlign w:val="center"/>
          </w:tcPr>
          <w:p>
            <w:pPr>
              <w:pStyle w:val="14"/>
            </w:pPr>
            <w:r>
              <w:t>已支付土地利息/计划支付土地利息*100%</w:t>
            </w:r>
          </w:p>
        </w:tc>
        <w:tc>
          <w:tcPr>
            <w:tcW w:w="2268" w:type="dxa"/>
            <w:vAlign w:val="center"/>
          </w:tcPr>
          <w:p>
            <w:pPr>
              <w:pStyle w:val="14"/>
            </w:pPr>
            <w:r>
              <w:t>≥90%</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支付2025-2026年度土地收储利息时间</w:t>
            </w:r>
          </w:p>
        </w:tc>
        <w:tc>
          <w:tcPr>
            <w:tcW w:w="5386" w:type="dxa"/>
            <w:vAlign w:val="center"/>
          </w:tcPr>
          <w:p>
            <w:pPr>
              <w:pStyle w:val="14"/>
            </w:pPr>
            <w:r>
              <w:t>支付2025-2026年度土地收储利息时间</w:t>
            </w:r>
          </w:p>
        </w:tc>
        <w:tc>
          <w:tcPr>
            <w:tcW w:w="2268" w:type="dxa"/>
            <w:vAlign w:val="center"/>
          </w:tcPr>
          <w:p>
            <w:pPr>
              <w:pStyle w:val="14"/>
            </w:pPr>
            <w:r>
              <w:t>≤1年</w:t>
            </w:r>
          </w:p>
        </w:tc>
        <w:tc>
          <w:tcPr>
            <w:tcW w:w="1276" w:type="dxa"/>
            <w:vAlign w:val="center"/>
          </w:tcPr>
          <w:p>
            <w:pPr>
              <w:pStyle w:val="14"/>
            </w:pPr>
            <w:r>
              <w:t>收储协议签订时间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每亩建设用地征地金额</w:t>
            </w:r>
          </w:p>
        </w:tc>
        <w:tc>
          <w:tcPr>
            <w:tcW w:w="5386" w:type="dxa"/>
            <w:vAlign w:val="center"/>
          </w:tcPr>
          <w:p>
            <w:pPr>
              <w:pStyle w:val="14"/>
            </w:pPr>
            <w:r>
              <w:t>每亩建设用地征地金额</w:t>
            </w:r>
          </w:p>
        </w:tc>
        <w:tc>
          <w:tcPr>
            <w:tcW w:w="2268" w:type="dxa"/>
            <w:vAlign w:val="center"/>
          </w:tcPr>
          <w:p>
            <w:pPr>
              <w:pStyle w:val="14"/>
            </w:pPr>
            <w:r>
              <w:t>&lt;0.24万元/亩</w:t>
            </w:r>
          </w:p>
        </w:tc>
        <w:tc>
          <w:tcPr>
            <w:tcW w:w="1276" w:type="dxa"/>
            <w:vAlign w:val="center"/>
          </w:tcPr>
          <w:p>
            <w:pPr>
              <w:pStyle w:val="14"/>
            </w:pPr>
            <w:r>
              <w:t>根据当年签订协议区片价确定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提高人民生活水平</w:t>
            </w:r>
          </w:p>
        </w:tc>
        <w:tc>
          <w:tcPr>
            <w:tcW w:w="5386" w:type="dxa"/>
            <w:vAlign w:val="center"/>
          </w:tcPr>
          <w:p>
            <w:pPr>
              <w:pStyle w:val="14"/>
            </w:pPr>
            <w:r>
              <w:t>促进社会经济发展、提高人民生活水平</w:t>
            </w:r>
          </w:p>
        </w:tc>
        <w:tc>
          <w:tcPr>
            <w:tcW w:w="2268" w:type="dxa"/>
            <w:vAlign w:val="center"/>
          </w:tcPr>
          <w:p>
            <w:pPr>
              <w:pStyle w:val="14"/>
            </w:pPr>
            <w:r>
              <w:t>加快促进社会经济发展</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14、征地补偿款及土地利息绩效目标表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13018625P000382100018</w:t>
            </w:r>
          </w:p>
        </w:tc>
        <w:tc>
          <w:tcPr>
            <w:tcW w:w="2835" w:type="dxa"/>
            <w:vAlign w:val="center"/>
          </w:tcPr>
          <w:p>
            <w:pPr>
              <w:pStyle w:val="12"/>
            </w:pPr>
            <w:r>
              <w:t>项目名称</w:t>
            </w:r>
          </w:p>
        </w:tc>
        <w:tc>
          <w:tcPr>
            <w:tcW w:w="6095" w:type="dxa"/>
            <w:gridSpan w:val="3"/>
            <w:vAlign w:val="center"/>
          </w:tcPr>
          <w:p>
            <w:pPr>
              <w:pStyle w:val="14"/>
            </w:pPr>
            <w:r>
              <w:t>征地补偿款及土地利息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w:t>
            </w:r>
          </w:p>
        </w:tc>
        <w:tc>
          <w:tcPr>
            <w:tcW w:w="2835" w:type="dxa"/>
            <w:vAlign w:val="center"/>
          </w:tcPr>
          <w:p>
            <w:pPr>
              <w:pStyle w:val="12"/>
            </w:pPr>
            <w:r>
              <w:t>其中：财政    资金</w:t>
            </w:r>
          </w:p>
        </w:tc>
        <w:tc>
          <w:tcPr>
            <w:tcW w:w="2551" w:type="dxa"/>
            <w:vAlign w:val="center"/>
          </w:tcPr>
          <w:p>
            <w:pPr>
              <w:pStyle w:val="14"/>
            </w:pPr>
            <w:r>
              <w:t>10000.00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支付2025-2026年度土地收储利息做好土地的管理储备工作。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6000.00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1.支付2025-2026年度土地收储利息做好土地的管理储备工作。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需支付利息土地亩数</w:t>
            </w:r>
          </w:p>
        </w:tc>
        <w:tc>
          <w:tcPr>
            <w:tcW w:w="5386" w:type="dxa"/>
            <w:vAlign w:val="center"/>
          </w:tcPr>
          <w:p>
            <w:pPr>
              <w:pStyle w:val="14"/>
            </w:pPr>
            <w:r>
              <w:t>需支付土地利息的20个村庄总亩数</w:t>
            </w:r>
          </w:p>
        </w:tc>
        <w:tc>
          <w:tcPr>
            <w:tcW w:w="2268" w:type="dxa"/>
            <w:vAlign w:val="center"/>
          </w:tcPr>
          <w:p>
            <w:pPr>
              <w:pStyle w:val="14"/>
            </w:pPr>
            <w:r>
              <w:t>62567.22亩</w:t>
            </w:r>
          </w:p>
        </w:tc>
        <w:tc>
          <w:tcPr>
            <w:tcW w:w="1276" w:type="dxa"/>
            <w:vAlign w:val="center"/>
          </w:tcPr>
          <w:p>
            <w:pPr>
              <w:pStyle w:val="14"/>
            </w:pPr>
            <w:r>
              <w:t>根据土地收储面积确定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支付利息完成率</w:t>
            </w:r>
          </w:p>
        </w:tc>
        <w:tc>
          <w:tcPr>
            <w:tcW w:w="5386" w:type="dxa"/>
            <w:vAlign w:val="center"/>
          </w:tcPr>
          <w:p>
            <w:pPr>
              <w:pStyle w:val="14"/>
            </w:pPr>
            <w:r>
              <w:t>已支付土地利息/计划支付土地利息*100%</w:t>
            </w:r>
          </w:p>
        </w:tc>
        <w:tc>
          <w:tcPr>
            <w:tcW w:w="2268" w:type="dxa"/>
            <w:vAlign w:val="center"/>
          </w:tcPr>
          <w:p>
            <w:pPr>
              <w:pStyle w:val="14"/>
            </w:pPr>
            <w:r>
              <w:t>≥90%</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支付2025-2026年度土地收储利息时间</w:t>
            </w:r>
          </w:p>
        </w:tc>
        <w:tc>
          <w:tcPr>
            <w:tcW w:w="5386" w:type="dxa"/>
            <w:vAlign w:val="center"/>
          </w:tcPr>
          <w:p>
            <w:pPr>
              <w:pStyle w:val="14"/>
            </w:pPr>
            <w:r>
              <w:t>支付2025-2026年度土地收储利息时间</w:t>
            </w:r>
          </w:p>
        </w:tc>
        <w:tc>
          <w:tcPr>
            <w:tcW w:w="2268" w:type="dxa"/>
            <w:vAlign w:val="center"/>
          </w:tcPr>
          <w:p>
            <w:pPr>
              <w:pStyle w:val="14"/>
            </w:pPr>
            <w:r>
              <w:t>≤1年</w:t>
            </w:r>
          </w:p>
        </w:tc>
        <w:tc>
          <w:tcPr>
            <w:tcW w:w="1276" w:type="dxa"/>
            <w:vAlign w:val="center"/>
          </w:tcPr>
          <w:p>
            <w:pPr>
              <w:pStyle w:val="14"/>
            </w:pPr>
            <w:r>
              <w:t>收储协议签订时间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每亩建设用地征地金额</w:t>
            </w:r>
          </w:p>
        </w:tc>
        <w:tc>
          <w:tcPr>
            <w:tcW w:w="5386" w:type="dxa"/>
            <w:vAlign w:val="center"/>
          </w:tcPr>
          <w:p>
            <w:pPr>
              <w:pStyle w:val="14"/>
            </w:pPr>
            <w:r>
              <w:t>每亩建设用地征地金额</w:t>
            </w:r>
          </w:p>
        </w:tc>
        <w:tc>
          <w:tcPr>
            <w:tcW w:w="2268" w:type="dxa"/>
            <w:vAlign w:val="center"/>
          </w:tcPr>
          <w:p>
            <w:pPr>
              <w:pStyle w:val="14"/>
            </w:pPr>
            <w:r>
              <w:t>&lt;0.24万元/亩</w:t>
            </w:r>
          </w:p>
        </w:tc>
        <w:tc>
          <w:tcPr>
            <w:tcW w:w="1276" w:type="dxa"/>
            <w:vAlign w:val="center"/>
          </w:tcPr>
          <w:p>
            <w:pPr>
              <w:pStyle w:val="14"/>
            </w:pPr>
            <w:r>
              <w:t>根据当年签订协议区片价确定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提高人民生活水平</w:t>
            </w:r>
          </w:p>
        </w:tc>
        <w:tc>
          <w:tcPr>
            <w:tcW w:w="5386" w:type="dxa"/>
            <w:vAlign w:val="center"/>
          </w:tcPr>
          <w:p>
            <w:pPr>
              <w:pStyle w:val="14"/>
            </w:pPr>
            <w:r>
              <w:t>促进社会经济发展、提高人民生活水平</w:t>
            </w:r>
          </w:p>
        </w:tc>
        <w:tc>
          <w:tcPr>
            <w:tcW w:w="2268" w:type="dxa"/>
            <w:vAlign w:val="center"/>
          </w:tcPr>
          <w:p>
            <w:pPr>
              <w:pStyle w:val="14"/>
            </w:pPr>
            <w:r>
              <w:t>加快促进社会经济发展</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15、专业档案整理工作经费绩效目标表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13018625P00005910003A</w:t>
            </w:r>
          </w:p>
        </w:tc>
        <w:tc>
          <w:tcPr>
            <w:tcW w:w="2835" w:type="dxa"/>
            <w:vAlign w:val="center"/>
          </w:tcPr>
          <w:p>
            <w:pPr>
              <w:pStyle w:val="12"/>
            </w:pPr>
            <w:r>
              <w:t>项目名称</w:t>
            </w:r>
          </w:p>
        </w:tc>
        <w:tc>
          <w:tcPr>
            <w:tcW w:w="6095" w:type="dxa"/>
            <w:gridSpan w:val="3"/>
            <w:vAlign w:val="center"/>
          </w:tcPr>
          <w:p>
            <w:pPr>
              <w:pStyle w:val="14"/>
            </w:pPr>
            <w:r>
              <w:t>专业档案整理工作经费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对征收档案进行扫描电子版及纸质版装订工作。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rPr>
                <w:rFonts w:hint="eastAsia" w:eastAsia="方正书宋_GBK"/>
                <w:lang w:eastAsia="zh-CN"/>
              </w:rPr>
            </w:pPr>
            <w:r>
              <w:rPr>
                <w:rFonts w:hint="eastAsia"/>
                <w:lang w:eastAsia="zh-CN"/>
              </w:rPr>
              <w:t>累计支出金额</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9.00</w:t>
            </w:r>
          </w:p>
        </w:tc>
        <w:tc>
          <w:tcPr>
            <w:tcW w:w="3544" w:type="dxa"/>
            <w:gridSpan w:val="2"/>
            <w:vAlign w:val="center"/>
          </w:tcPr>
          <w:p>
            <w:pPr>
              <w:pStyle w:val="15"/>
            </w:pPr>
            <w:r>
              <w:t>18.00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1.对征收档案进行扫描电子版及纸质版装订工作。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征收档案数量</w:t>
            </w:r>
          </w:p>
        </w:tc>
        <w:tc>
          <w:tcPr>
            <w:tcW w:w="5386" w:type="dxa"/>
            <w:vAlign w:val="center"/>
          </w:tcPr>
          <w:p>
            <w:pPr>
              <w:pStyle w:val="14"/>
            </w:pPr>
            <w:r>
              <w:t>征收档案进行整理份数</w:t>
            </w:r>
          </w:p>
        </w:tc>
        <w:tc>
          <w:tcPr>
            <w:tcW w:w="2268" w:type="dxa"/>
            <w:vAlign w:val="center"/>
          </w:tcPr>
          <w:p>
            <w:pPr>
              <w:pStyle w:val="14"/>
            </w:pPr>
            <w:r>
              <w:t>≥1000份</w:t>
            </w:r>
          </w:p>
        </w:tc>
        <w:tc>
          <w:tcPr>
            <w:tcW w:w="1276" w:type="dxa"/>
            <w:vAlign w:val="center"/>
          </w:tcPr>
          <w:p>
            <w:pPr>
              <w:pStyle w:val="14"/>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档案整理合格率</w:t>
            </w:r>
          </w:p>
        </w:tc>
        <w:tc>
          <w:tcPr>
            <w:tcW w:w="5386" w:type="dxa"/>
            <w:vAlign w:val="center"/>
          </w:tcPr>
          <w:p>
            <w:pPr>
              <w:pStyle w:val="14"/>
            </w:pPr>
            <w:r>
              <w:t>整理合格的档案数量/全部档案数量*100%</w:t>
            </w:r>
          </w:p>
        </w:tc>
        <w:tc>
          <w:tcPr>
            <w:tcW w:w="2268" w:type="dxa"/>
            <w:vAlign w:val="center"/>
          </w:tcPr>
          <w:p>
            <w:pPr>
              <w:pStyle w:val="14"/>
            </w:pPr>
            <w:r>
              <w:t>≥90%</w:t>
            </w:r>
          </w:p>
        </w:tc>
        <w:tc>
          <w:tcPr>
            <w:tcW w:w="1276" w:type="dxa"/>
            <w:vAlign w:val="center"/>
          </w:tcPr>
          <w:p>
            <w:pPr>
              <w:pStyle w:val="14"/>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档案整理工作时间</w:t>
            </w:r>
          </w:p>
        </w:tc>
        <w:tc>
          <w:tcPr>
            <w:tcW w:w="5386" w:type="dxa"/>
            <w:vAlign w:val="center"/>
          </w:tcPr>
          <w:p>
            <w:pPr>
              <w:pStyle w:val="14"/>
            </w:pPr>
            <w:r>
              <w:t>完成档案整理工作时间</w:t>
            </w:r>
          </w:p>
        </w:tc>
        <w:tc>
          <w:tcPr>
            <w:tcW w:w="2268" w:type="dxa"/>
            <w:vAlign w:val="center"/>
          </w:tcPr>
          <w:p>
            <w:pPr>
              <w:pStyle w:val="14"/>
            </w:pPr>
            <w:r>
              <w:t>≤200天</w:t>
            </w:r>
          </w:p>
        </w:tc>
        <w:tc>
          <w:tcPr>
            <w:tcW w:w="1276" w:type="dxa"/>
            <w:vAlign w:val="center"/>
          </w:tcPr>
          <w:p>
            <w:pPr>
              <w:pStyle w:val="14"/>
            </w:pPr>
            <w:r>
              <w:t>档案整理合同约定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档案扫描成本</w:t>
            </w:r>
          </w:p>
        </w:tc>
        <w:tc>
          <w:tcPr>
            <w:tcW w:w="5386" w:type="dxa"/>
            <w:vAlign w:val="center"/>
          </w:tcPr>
          <w:p>
            <w:pPr>
              <w:pStyle w:val="14"/>
            </w:pPr>
            <w:r>
              <w:t>档案扫描成本</w:t>
            </w:r>
          </w:p>
        </w:tc>
        <w:tc>
          <w:tcPr>
            <w:tcW w:w="2268" w:type="dxa"/>
            <w:vAlign w:val="center"/>
          </w:tcPr>
          <w:p>
            <w:pPr>
              <w:pStyle w:val="14"/>
            </w:pPr>
            <w:r>
              <w:t>≤0.8元/页</w:t>
            </w:r>
          </w:p>
        </w:tc>
        <w:tc>
          <w:tcPr>
            <w:tcW w:w="1276" w:type="dxa"/>
            <w:vAlign w:val="center"/>
          </w:tcPr>
          <w:p>
            <w:pPr>
              <w:pStyle w:val="14"/>
            </w:pPr>
            <w:r>
              <w:t>年初预算安排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档案整理成本</w:t>
            </w:r>
          </w:p>
        </w:tc>
        <w:tc>
          <w:tcPr>
            <w:tcW w:w="5386" w:type="dxa"/>
            <w:vAlign w:val="center"/>
          </w:tcPr>
          <w:p>
            <w:pPr>
              <w:pStyle w:val="14"/>
            </w:pPr>
            <w:r>
              <w:t>档案整理成本</w:t>
            </w:r>
          </w:p>
        </w:tc>
        <w:tc>
          <w:tcPr>
            <w:tcW w:w="2268" w:type="dxa"/>
            <w:vAlign w:val="center"/>
          </w:tcPr>
          <w:p>
            <w:pPr>
              <w:pStyle w:val="14"/>
            </w:pPr>
            <w:r>
              <w:t>≤8元/份</w:t>
            </w:r>
          </w:p>
        </w:tc>
        <w:tc>
          <w:tcPr>
            <w:tcW w:w="1276" w:type="dxa"/>
            <w:vAlign w:val="center"/>
          </w:tcPr>
          <w:p>
            <w:pPr>
              <w:pStyle w:val="14"/>
            </w:pPr>
            <w:r>
              <w:t>年初预算安排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档案整理材料档案盒成本</w:t>
            </w:r>
          </w:p>
        </w:tc>
        <w:tc>
          <w:tcPr>
            <w:tcW w:w="5386" w:type="dxa"/>
            <w:vAlign w:val="center"/>
          </w:tcPr>
          <w:p>
            <w:pPr>
              <w:pStyle w:val="14"/>
            </w:pPr>
            <w:r>
              <w:t>档案整理材料档案盒成本</w:t>
            </w:r>
          </w:p>
        </w:tc>
        <w:tc>
          <w:tcPr>
            <w:tcW w:w="2268" w:type="dxa"/>
            <w:vAlign w:val="center"/>
          </w:tcPr>
          <w:p>
            <w:pPr>
              <w:pStyle w:val="14"/>
            </w:pPr>
            <w:r>
              <w:t>≤8元/个</w:t>
            </w:r>
          </w:p>
        </w:tc>
        <w:tc>
          <w:tcPr>
            <w:tcW w:w="1276" w:type="dxa"/>
            <w:vAlign w:val="center"/>
          </w:tcPr>
          <w:p>
            <w:pPr>
              <w:pStyle w:val="14"/>
            </w:pPr>
            <w:r>
              <w:t>年初预算安排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网络档案系统成本</w:t>
            </w:r>
          </w:p>
        </w:tc>
        <w:tc>
          <w:tcPr>
            <w:tcW w:w="5386" w:type="dxa"/>
            <w:vAlign w:val="center"/>
          </w:tcPr>
          <w:p>
            <w:pPr>
              <w:pStyle w:val="14"/>
            </w:pPr>
            <w:r>
              <w:t>电子档案系统成本</w:t>
            </w:r>
          </w:p>
        </w:tc>
        <w:tc>
          <w:tcPr>
            <w:tcW w:w="2268" w:type="dxa"/>
            <w:vAlign w:val="center"/>
          </w:tcPr>
          <w:p>
            <w:pPr>
              <w:pStyle w:val="14"/>
            </w:pPr>
            <w:r>
              <w:t>≤8万元</w:t>
            </w:r>
          </w:p>
        </w:tc>
        <w:tc>
          <w:tcPr>
            <w:tcW w:w="1276" w:type="dxa"/>
            <w:vAlign w:val="center"/>
          </w:tcPr>
          <w:p>
            <w:pPr>
              <w:pStyle w:val="14"/>
            </w:pPr>
            <w:r>
              <w:t>档案整理合同约定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提高工作效率</w:t>
            </w:r>
          </w:p>
        </w:tc>
        <w:tc>
          <w:tcPr>
            <w:tcW w:w="5386" w:type="dxa"/>
            <w:vAlign w:val="center"/>
          </w:tcPr>
          <w:p>
            <w:pPr>
              <w:pStyle w:val="14"/>
            </w:pPr>
            <w:r>
              <w:t>促进社会经济发展、提高工作效率</w:t>
            </w:r>
          </w:p>
        </w:tc>
        <w:tc>
          <w:tcPr>
            <w:tcW w:w="2268" w:type="dxa"/>
            <w:vAlign w:val="center"/>
          </w:tcPr>
          <w:p>
            <w:pPr>
              <w:pStyle w:val="14"/>
            </w:pPr>
            <w:r>
              <w:t>提高</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569.00</w:t>
            </w:r>
          </w:p>
        </w:tc>
        <w:tc>
          <w:tcPr>
            <w:tcW w:w="964" w:type="dxa"/>
            <w:vAlign w:val="center"/>
          </w:tcPr>
          <w:p>
            <w:pPr>
              <w:pStyle w:val="17"/>
            </w:pPr>
            <w:r>
              <w:t>92.00</w:t>
            </w:r>
          </w:p>
        </w:tc>
        <w:tc>
          <w:tcPr>
            <w:tcW w:w="964" w:type="dxa"/>
            <w:vAlign w:val="center"/>
          </w:tcPr>
          <w:p>
            <w:pPr>
              <w:pStyle w:val="17"/>
            </w:pPr>
            <w:r>
              <w:t>477.00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569.00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石家庄市正定新区土地收储中心本级小计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569.00</w:t>
            </w:r>
          </w:p>
        </w:tc>
        <w:tc>
          <w:tcPr>
            <w:tcW w:w="964" w:type="dxa"/>
            <w:vAlign w:val="center"/>
          </w:tcPr>
          <w:p>
            <w:pPr>
              <w:pStyle w:val="17"/>
            </w:pPr>
            <w:r>
              <w:t>92.00</w:t>
            </w:r>
          </w:p>
        </w:tc>
        <w:tc>
          <w:tcPr>
            <w:tcW w:w="964" w:type="dxa"/>
            <w:vAlign w:val="center"/>
          </w:tcPr>
          <w:p>
            <w:pPr>
              <w:pStyle w:val="17"/>
            </w:pPr>
            <w:r>
              <w:t>477.00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569.00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公用经费二</w:t>
            </w:r>
          </w:p>
        </w:tc>
        <w:tc>
          <w:tcPr>
            <w:tcW w:w="964" w:type="dxa"/>
            <w:vAlign w:val="center"/>
          </w:tcPr>
          <w:p>
            <w:pPr>
              <w:pStyle w:val="13"/>
            </w:pPr>
            <w:r>
              <w:t>8.59</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辆</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场地调查与风险评估</w:t>
            </w:r>
          </w:p>
        </w:tc>
        <w:tc>
          <w:tcPr>
            <w:tcW w:w="964" w:type="dxa"/>
            <w:vAlign w:val="center"/>
          </w:tcPr>
          <w:p>
            <w:pPr>
              <w:pStyle w:val="13"/>
            </w:pPr>
            <w:r>
              <w:t>6.00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接入业务网络设备、视频会议及系统维护费</w:t>
            </w:r>
          </w:p>
        </w:tc>
        <w:tc>
          <w:tcPr>
            <w:tcW w:w="964" w:type="dxa"/>
            <w:vAlign w:val="center"/>
          </w:tcPr>
          <w:p>
            <w:pPr>
              <w:pStyle w:val="13"/>
            </w:pPr>
            <w:r>
              <w:t>18.00</w:t>
            </w:r>
          </w:p>
        </w:tc>
        <w:tc>
          <w:tcPr>
            <w:tcW w:w="1134" w:type="dxa"/>
            <w:vAlign w:val="center"/>
          </w:tcPr>
          <w:p>
            <w:pPr>
              <w:pStyle w:val="14"/>
            </w:pPr>
            <w:r>
              <w:t>其他运行维护服务</w:t>
            </w:r>
          </w:p>
        </w:tc>
        <w:tc>
          <w:tcPr>
            <w:tcW w:w="1134" w:type="dxa"/>
            <w:vAlign w:val="center"/>
          </w:tcPr>
          <w:p>
            <w:pPr>
              <w:pStyle w:val="14"/>
            </w:pPr>
            <w:r>
              <w:t>C16079900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18.00</w:t>
            </w:r>
          </w:p>
        </w:tc>
        <w:tc>
          <w:tcPr>
            <w:tcW w:w="964" w:type="dxa"/>
            <w:vAlign w:val="center"/>
          </w:tcPr>
          <w:p>
            <w:pPr>
              <w:pStyle w:val="13"/>
            </w:pPr>
            <w:r>
              <w:t>18.00</w:t>
            </w:r>
          </w:p>
        </w:tc>
        <w:tc>
          <w:tcPr>
            <w:tcW w:w="964" w:type="dxa"/>
            <w:vAlign w:val="center"/>
          </w:tcPr>
          <w:p>
            <w:pPr>
              <w:pStyle w:val="13"/>
            </w:pPr>
            <w:r>
              <w:t>18.00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律师服务费</w:t>
            </w:r>
          </w:p>
        </w:tc>
        <w:tc>
          <w:tcPr>
            <w:tcW w:w="964" w:type="dxa"/>
            <w:vAlign w:val="center"/>
          </w:tcPr>
          <w:p>
            <w:pPr>
              <w:pStyle w:val="13"/>
            </w:pPr>
            <w:r>
              <w:t>13.00</w:t>
            </w:r>
          </w:p>
        </w:tc>
        <w:tc>
          <w:tcPr>
            <w:tcW w:w="1134" w:type="dxa"/>
            <w:vAlign w:val="center"/>
          </w:tcPr>
          <w:p>
            <w:pPr>
              <w:pStyle w:val="14"/>
            </w:pPr>
            <w:r>
              <w:t>法律咨询服务</w:t>
            </w:r>
          </w:p>
        </w:tc>
        <w:tc>
          <w:tcPr>
            <w:tcW w:w="1134" w:type="dxa"/>
            <w:vAlign w:val="center"/>
          </w:tcPr>
          <w:p>
            <w:pPr>
              <w:pStyle w:val="14"/>
            </w:pPr>
            <w:r>
              <w:t>C20030300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企业征收费</w:t>
            </w:r>
          </w:p>
        </w:tc>
        <w:tc>
          <w:tcPr>
            <w:tcW w:w="964" w:type="dxa"/>
            <w:vAlign w:val="center"/>
          </w:tcPr>
          <w:p>
            <w:pPr>
              <w:pStyle w:val="13"/>
            </w:pPr>
            <w:r>
              <w:t>171.00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171.00</w:t>
            </w:r>
          </w:p>
        </w:tc>
        <w:tc>
          <w:tcPr>
            <w:tcW w:w="964" w:type="dxa"/>
            <w:vAlign w:val="center"/>
          </w:tcPr>
          <w:p>
            <w:pPr>
              <w:pStyle w:val="13"/>
            </w:pPr>
            <w:r>
              <w:t>171.00</w:t>
            </w:r>
          </w:p>
        </w:tc>
        <w:tc>
          <w:tcPr>
            <w:tcW w:w="964" w:type="dxa"/>
            <w:vAlign w:val="center"/>
          </w:tcPr>
          <w:p>
            <w:pPr>
              <w:pStyle w:val="13"/>
            </w:pPr>
          </w:p>
        </w:tc>
        <w:tc>
          <w:tcPr>
            <w:tcW w:w="964" w:type="dxa"/>
            <w:vAlign w:val="center"/>
          </w:tcPr>
          <w:p>
            <w:pPr>
              <w:pStyle w:val="13"/>
            </w:pPr>
            <w:r>
              <w:t>171.00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全民所有土地资产管理信息系统管理维护费</w:t>
            </w:r>
          </w:p>
        </w:tc>
        <w:tc>
          <w:tcPr>
            <w:tcW w:w="964" w:type="dxa"/>
            <w:vAlign w:val="center"/>
          </w:tcPr>
          <w:p>
            <w:pPr>
              <w:pStyle w:val="13"/>
            </w:pPr>
            <w:r>
              <w:t>10.00</w:t>
            </w:r>
          </w:p>
        </w:tc>
        <w:tc>
          <w:tcPr>
            <w:tcW w:w="1134" w:type="dxa"/>
            <w:vAlign w:val="center"/>
          </w:tcPr>
          <w:p>
            <w:pPr>
              <w:pStyle w:val="14"/>
            </w:pPr>
            <w:r>
              <w:t>其他运行维护服务</w:t>
            </w:r>
          </w:p>
        </w:tc>
        <w:tc>
          <w:tcPr>
            <w:tcW w:w="1134" w:type="dxa"/>
            <w:vAlign w:val="center"/>
          </w:tcPr>
          <w:p>
            <w:pPr>
              <w:pStyle w:val="14"/>
            </w:pPr>
            <w:r>
              <w:t>C16079900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生态修复土地及综合整治费</w:t>
            </w:r>
          </w:p>
        </w:tc>
        <w:tc>
          <w:tcPr>
            <w:tcW w:w="964" w:type="dxa"/>
            <w:vAlign w:val="center"/>
          </w:tcPr>
          <w:p>
            <w:pPr>
              <w:pStyle w:val="13"/>
            </w:pPr>
            <w:r>
              <w:t>300.00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300.00</w:t>
            </w: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土地开发整理费</w:t>
            </w:r>
          </w:p>
        </w:tc>
        <w:tc>
          <w:tcPr>
            <w:tcW w:w="964" w:type="dxa"/>
            <w:vAlign w:val="center"/>
          </w:tcPr>
          <w:p>
            <w:pPr>
              <w:pStyle w:val="13"/>
            </w:pPr>
            <w:r>
              <w:t>30.00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专业档案整理工作经费</w:t>
            </w:r>
          </w:p>
        </w:tc>
        <w:tc>
          <w:tcPr>
            <w:tcW w:w="964" w:type="dxa"/>
            <w:vAlign w:val="center"/>
          </w:tcPr>
          <w:p>
            <w:pPr>
              <w:pStyle w:val="13"/>
            </w:pPr>
            <w:r>
              <w:t>18.00</w:t>
            </w:r>
          </w:p>
        </w:tc>
        <w:tc>
          <w:tcPr>
            <w:tcW w:w="1134" w:type="dxa"/>
            <w:vAlign w:val="center"/>
          </w:tcPr>
          <w:p>
            <w:pPr>
              <w:pStyle w:val="14"/>
            </w:pPr>
            <w:r>
              <w:t>档案管理服务</w:t>
            </w:r>
          </w:p>
        </w:tc>
        <w:tc>
          <w:tcPr>
            <w:tcW w:w="1134" w:type="dxa"/>
            <w:vAlign w:val="center"/>
          </w:tcPr>
          <w:p>
            <w:pPr>
              <w:pStyle w:val="14"/>
            </w:pPr>
            <w:r>
              <w:t>C23200000</w:t>
            </w:r>
          </w:p>
        </w:tc>
        <w:tc>
          <w:tcPr>
            <w:tcW w:w="709" w:type="dxa"/>
            <w:vAlign w:val="center"/>
          </w:tcPr>
          <w:p>
            <w:pPr>
              <w:pStyle w:val="15"/>
            </w:pPr>
            <w:r>
              <w:t xml:space="preserve"> 次</w:t>
            </w:r>
          </w:p>
        </w:tc>
        <w:tc>
          <w:tcPr>
            <w:tcW w:w="850" w:type="dxa"/>
            <w:vAlign w:val="center"/>
          </w:tcPr>
          <w:p>
            <w:pPr>
              <w:pStyle w:val="13"/>
            </w:pPr>
            <w:r>
              <w:t>1</w:t>
            </w:r>
          </w:p>
        </w:tc>
        <w:tc>
          <w:tcPr>
            <w:tcW w:w="850" w:type="dxa"/>
            <w:vAlign w:val="center"/>
          </w:tcPr>
          <w:p>
            <w:pPr>
              <w:pStyle w:val="13"/>
            </w:pPr>
            <w:r>
              <w:t>18.00</w:t>
            </w:r>
          </w:p>
        </w:tc>
        <w:tc>
          <w:tcPr>
            <w:tcW w:w="964" w:type="dxa"/>
            <w:vAlign w:val="center"/>
          </w:tcPr>
          <w:p>
            <w:pPr>
              <w:pStyle w:val="13"/>
            </w:pPr>
            <w:r>
              <w:t>18.00</w:t>
            </w:r>
          </w:p>
        </w:tc>
        <w:tc>
          <w:tcPr>
            <w:tcW w:w="964" w:type="dxa"/>
            <w:vAlign w:val="center"/>
          </w:tcPr>
          <w:p>
            <w:pPr>
              <w:pStyle w:val="13"/>
            </w:pPr>
            <w:r>
              <w:t>18.00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石家庄市正定新区土地收储中心（含所属单位）上年末固定资产金额为54.03万元（详见下表）。本年度拟购置固定资产总额为0.00万元，已按要求列入政府采购预算，详见政府采购预算表。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325石家庄市正定新区土地收储中心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54.03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7.23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940</w:t>
            </w:r>
          </w:p>
        </w:tc>
        <w:tc>
          <w:tcPr>
            <w:tcW w:w="2835" w:type="dxa"/>
            <w:vAlign w:val="center"/>
          </w:tcPr>
          <w:p>
            <w:pPr>
              <w:pStyle w:val="13"/>
            </w:pPr>
            <w:r>
              <w:t>46.80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FFBDC7"/>
    <w:multiLevelType w:val="singleLevel"/>
    <w:tmpl w:val="9EFFBDC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B67734"/>
    <w:rsid w:val="04A43C3E"/>
    <w:rsid w:val="1CEE2CB4"/>
    <w:rsid w:val="201E4F6A"/>
    <w:rsid w:val="202923A5"/>
    <w:rsid w:val="39635724"/>
    <w:rsid w:val="5704613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Words>7552</Words>
  <Characters>9496</Characters>
  <TotalTime>12</TotalTime>
  <ScaleCrop>false</ScaleCrop>
  <LinksUpToDate>false</LinksUpToDate>
  <CharactersWithSpaces>10000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2025-01-23T14:15:00Z</dcterms:created>
  <dc:creator>Administrator</dc:creator>
  <cp:lastModifiedBy>hp</cp:lastModifiedBy>
  <dcterms:modified xsi:type="dcterms:W3CDTF">2025-11-21T06:56:04Z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eyJoZGlkIjoiMGM2NjEwZjg2Mzg2ZDQ2NTFlMzFiNDFjODJlZmM1MGYifQ==</vt:lpwstr>
  </property>
  <property fmtid="{D5CDD505-2E9C-101B-9397-08002B2CF9AE}" pid="3" name="KSOProductBuildVer">
    <vt:lpwstr>2052-11.8.2.9022</vt:lpwstr>
  </property>
  <property fmtid="{D5CDD505-2E9C-101B-9397-08002B2CF9AE}" pid="4" name="ICV">
    <vt:lpwstr>C3CE5E26888449E390B8F47AC46EB524_12</vt:lpwstr>
  </property>
</Properties>
</file>