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2025年度“双随机、一公开”抽查结果公示</w:t>
      </w:r>
    </w:p>
    <w:p>
      <w:pP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根据“双随机、一公开”工作要求，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月3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日，我局牵头对食盐经营行业进行了跨部门联合抽查，按照信用风险分级分类等级随机抽取食盐经营行业主体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家，分别是正定瑞天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大厦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、正定瑞天超市南岗店、正定北国商城有限责任公司、正定瑞天超市塔元庄店，对其经销票据、台账等进行了检查，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其中，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正定北国商城有限责任公司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暂未经营，超市装修中，其他3家检查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未发现任何问题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ind w:firstLine="640" w:firstLineChars="200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133790"/>
    <w:rsid w:val="2E64460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2025-11-04T02:51:05Z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