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75F3A3">
      <w:pPr>
        <w:spacing w:after="0" w:line="560" w:lineRule="exact"/>
        <w:jc w:val="both"/>
        <w:rPr>
          <w:rFonts w:ascii="方正小标宋简体" w:eastAsia="方正小标宋简体"/>
          <w:sz w:val="44"/>
          <w:szCs w:val="44"/>
        </w:rPr>
      </w:pPr>
    </w:p>
    <w:p w14:paraId="604A706B">
      <w:pPr>
        <w:spacing w:after="0" w:line="560" w:lineRule="exact"/>
        <w:jc w:val="center"/>
        <w:rPr>
          <w:rFonts w:hint="eastAsia" w:ascii="方正小标宋简体" w:eastAsia="方正小标宋简体"/>
          <w:sz w:val="44"/>
          <w:szCs w:val="44"/>
        </w:rPr>
      </w:pPr>
      <w:bookmarkStart w:id="1" w:name="_GoBack"/>
      <w:bookmarkEnd w:id="1"/>
      <w:r>
        <w:rPr>
          <w:rFonts w:hint="eastAsia" w:ascii="方正小标宋简体" w:eastAsia="方正小标宋简体"/>
          <w:sz w:val="44"/>
          <w:szCs w:val="44"/>
          <w:lang w:val="en-US" w:eastAsia="zh-CN"/>
        </w:rPr>
        <w:t>自然资源领域涉企行政</w:t>
      </w:r>
      <w:r>
        <w:rPr>
          <w:rFonts w:hint="eastAsia" w:ascii="方正小标宋简体" w:eastAsia="方正小标宋简体"/>
          <w:sz w:val="44"/>
          <w:szCs w:val="44"/>
        </w:rPr>
        <w:t>检查标准</w:t>
      </w:r>
    </w:p>
    <w:p w14:paraId="2FA3B4F9">
      <w:pPr>
        <w:spacing w:after="0" w:line="560" w:lineRule="exact"/>
        <w:jc w:val="both"/>
        <w:rPr>
          <w:rFonts w:hint="eastAsia" w:ascii="仿宋_GB2312" w:eastAsia="仿宋_GB2312"/>
          <w:sz w:val="32"/>
          <w:szCs w:val="32"/>
        </w:rPr>
      </w:pPr>
    </w:p>
    <w:p w14:paraId="7189B1F7">
      <w:pPr>
        <w:spacing w:after="0" w:line="560" w:lineRule="exact"/>
        <w:jc w:val="both"/>
        <w:rPr>
          <w:rFonts w:hint="eastAsia" w:ascii="黑体" w:hAnsi="黑体" w:eastAsia="黑体"/>
          <w:sz w:val="32"/>
          <w:szCs w:val="32"/>
        </w:rPr>
      </w:pPr>
      <w:r>
        <w:rPr>
          <w:rFonts w:hint="eastAsia" w:ascii="黑体" w:hAnsi="黑体" w:eastAsia="黑体"/>
          <w:sz w:val="32"/>
          <w:szCs w:val="32"/>
        </w:rPr>
        <w:t>一、对土地估价行业的监督检查</w:t>
      </w:r>
    </w:p>
    <w:p w14:paraId="427204C1">
      <w:pPr>
        <w:spacing w:after="0" w:line="560" w:lineRule="exact"/>
        <w:ind w:firstLine="640" w:firstLineChars="200"/>
        <w:jc w:val="both"/>
        <w:rPr>
          <w:rFonts w:hint="eastAsia" w:ascii="楷体_GB2312" w:eastAsia="楷体_GB2312"/>
          <w:sz w:val="32"/>
          <w:szCs w:val="32"/>
        </w:rPr>
      </w:pPr>
      <w:r>
        <w:rPr>
          <w:rFonts w:hint="eastAsia" w:ascii="楷体_GB2312" w:eastAsia="楷体_GB2312"/>
          <w:sz w:val="32"/>
          <w:szCs w:val="32"/>
        </w:rPr>
        <w:t>（一）土地估价专业的评估师监督检查</w:t>
      </w:r>
    </w:p>
    <w:p w14:paraId="382FE539">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私自接受委托从事业务、收取费用的；同时在两个以上评估机构从事业务的；采用欺骗、利诱、胁迫，或者贬损、诋毁其他土地评估专业人员等不正当手段招揽业务的；允许他人以本人名义从事业务，或者冒用他人名义从事业务的；签署本人未承担业务的评估报告、签署虚假评估报告或者有重大遗漏的评估报告的；索要、收受或者变相索要、收受合同约定以外的酬金、财物，或者谋取其他不正当利益的；其他违反法律、行政法规行为情况的。</w:t>
      </w:r>
    </w:p>
    <w:p w14:paraId="2079A0A3">
      <w:pPr>
        <w:spacing w:after="0" w:line="560" w:lineRule="exact"/>
        <w:ind w:firstLine="640" w:firstLineChars="200"/>
        <w:jc w:val="both"/>
        <w:rPr>
          <w:rFonts w:hint="eastAsia" w:ascii="楷体_GB2312" w:eastAsia="楷体_GB2312"/>
          <w:sz w:val="32"/>
          <w:szCs w:val="32"/>
        </w:rPr>
      </w:pPr>
      <w:r>
        <w:rPr>
          <w:rFonts w:hint="eastAsia" w:ascii="楷体_GB2312" w:eastAsia="楷体_GB2312"/>
          <w:sz w:val="32"/>
          <w:szCs w:val="32"/>
        </w:rPr>
        <w:t>（二）土地估价机构监督检查</w:t>
      </w:r>
    </w:p>
    <w:p w14:paraId="35BEC0C1">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利用开展业务之便，谋取不正当利益的；允许其他机构以本机构名义开展业务，或者冒用其他机构名义开展业务的；以恶性压价、支付回扣、虚假宣传，或者贬损、诋毁其他评估机构等不正当手段招揽业务的；受理与自身有利害关系的业务的；分别接受利益冲突双方的委托，对同一评估对象进行评估的；出具虚假土地评估报告或有重大遗漏的土地评估报告的；未按规定的期限保存土地评估档案的；聘用或者指定不符合《中华人民共和国资产评估法》等规定的人员从事土地评估业务的；质量控制和内部管理制度不健全，对本机构的土地评估专业人员疏于管理，造成不良后果的。</w:t>
      </w:r>
    </w:p>
    <w:p w14:paraId="71F57E75">
      <w:pPr>
        <w:spacing w:after="0" w:line="560" w:lineRule="exact"/>
        <w:ind w:firstLine="640" w:firstLineChars="200"/>
        <w:jc w:val="both"/>
        <w:rPr>
          <w:rFonts w:hint="eastAsia" w:ascii="楷体_GB2312" w:eastAsia="楷体_GB2312"/>
          <w:sz w:val="32"/>
          <w:szCs w:val="32"/>
        </w:rPr>
      </w:pPr>
      <w:r>
        <w:rPr>
          <w:rFonts w:hint="eastAsia" w:ascii="楷体_GB2312" w:eastAsia="楷体_GB2312"/>
          <w:sz w:val="32"/>
          <w:szCs w:val="32"/>
        </w:rPr>
        <w:t>（三）土地估价行业协会监督检查</w:t>
      </w:r>
    </w:p>
    <w:p w14:paraId="0F5B1C46">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协会对会员实行自律管理，相关评估执业准则和职业道德准则制定执行情况；开展会员继续教育情况；建立会员信用档案及信用档案管理情况；检查会员建立风险防范机制情况；受理对会员的投诉、举报和会员的申诉，调解会员执业纠纷情况；规范会员从业行为，定期对会员出具的评估报告进行检查，按照章程规定对会员给予奖惩，并将奖惩情况及时报告自然资源行政管理部门等情况；保障会员依法开展业务，维护会员合法权益情况。</w:t>
      </w:r>
    </w:p>
    <w:p w14:paraId="4A95A21D">
      <w:pPr>
        <w:spacing w:after="0" w:line="560" w:lineRule="exact"/>
        <w:ind w:firstLine="640" w:firstLineChars="200"/>
        <w:jc w:val="both"/>
        <w:rPr>
          <w:rFonts w:ascii="黑体" w:hAnsi="黑体" w:eastAsia="黑体"/>
          <w:sz w:val="32"/>
          <w:szCs w:val="32"/>
        </w:rPr>
      </w:pPr>
      <w:r>
        <w:rPr>
          <w:rFonts w:hint="eastAsia" w:ascii="黑体" w:hAnsi="黑体" w:eastAsia="黑体"/>
          <w:sz w:val="32"/>
          <w:szCs w:val="32"/>
        </w:rPr>
        <w:t>二、对城乡规划编制单位的行政检查</w:t>
      </w:r>
    </w:p>
    <w:p w14:paraId="5EBC6C2F">
      <w:pPr>
        <w:spacing w:after="0" w:line="560" w:lineRule="exact"/>
        <w:ind w:firstLine="640" w:firstLineChars="200"/>
        <w:jc w:val="both"/>
        <w:rPr>
          <w:rFonts w:ascii="仿宋_GB2312" w:eastAsia="仿宋_GB2312"/>
          <w:sz w:val="32"/>
          <w:szCs w:val="32"/>
        </w:rPr>
      </w:pPr>
      <w:r>
        <w:rPr>
          <w:rFonts w:hint="eastAsia" w:ascii="仿宋_GB2312" w:eastAsia="仿宋_GB2312"/>
          <w:sz w:val="32"/>
          <w:szCs w:val="32"/>
        </w:rPr>
        <w:t>我省对城乡规划乙级资质编制单位，主要检查规划编制单位法定代表人和主要技术负责人、注册规划师、专业技术人员和工作场所等有无变化，对申报技术人员的职称证书、注册证书、学历证书、社会保险证明等进行核验，检查是否符合乙级资质的规定条件，对法人资格及工作场所、专业技术人员（含注册规划师）材料、人证分离等情况进行核查；并填写城乡规划编制单位资质核查表。</w:t>
      </w:r>
    </w:p>
    <w:p w14:paraId="685EEA20">
      <w:pPr>
        <w:spacing w:after="0" w:line="560" w:lineRule="exact"/>
        <w:rPr>
          <w:rFonts w:hint="eastAsia" w:ascii="仿宋_GB2312" w:eastAsia="仿宋_GB2312"/>
          <w:sz w:val="32"/>
          <w:szCs w:val="32"/>
        </w:rPr>
      </w:pPr>
    </w:p>
    <w:p w14:paraId="2B784474">
      <w:pPr>
        <w:spacing w:after="0" w:line="560" w:lineRule="exact"/>
        <w:rPr>
          <w:rFonts w:ascii="仿宋_GB2312" w:eastAsia="仿宋_GB2312"/>
          <w:sz w:val="32"/>
          <w:szCs w:val="32"/>
        </w:rPr>
      </w:pPr>
    </w:p>
    <w:p w14:paraId="0DB7375F">
      <w:pPr>
        <w:spacing w:after="0" w:line="560" w:lineRule="exact"/>
        <w:rPr>
          <w:rFonts w:hint="eastAsia" w:ascii="仿宋_GB2312" w:eastAsia="仿宋_GB2312"/>
          <w:sz w:val="32"/>
          <w:szCs w:val="32"/>
        </w:rPr>
      </w:pPr>
    </w:p>
    <w:p w14:paraId="051E7B42">
      <w:pPr>
        <w:rPr>
          <w:rFonts w:hint="eastAsia" w:ascii="仿宋_GB2312" w:eastAsia="仿宋_GB2312"/>
          <w:sz w:val="32"/>
          <w:szCs w:val="32"/>
        </w:rPr>
      </w:pPr>
    </w:p>
    <w:p w14:paraId="17CB1E32">
      <w:pPr>
        <w:rPr>
          <w:rFonts w:hint="eastAsia" w:ascii="仿宋_GB2312" w:eastAsia="仿宋_GB2312"/>
          <w:sz w:val="32"/>
          <w:szCs w:val="32"/>
        </w:rPr>
      </w:pPr>
    </w:p>
    <w:p w14:paraId="764AC148">
      <w:pPr>
        <w:jc w:val="center"/>
        <w:rPr>
          <w:rFonts w:hint="eastAsia" w:ascii="仿宋_GB2312" w:eastAsia="仿宋_GB2312"/>
          <w:sz w:val="32"/>
          <w:szCs w:val="32"/>
        </w:rPr>
      </w:pPr>
    </w:p>
    <w:p w14:paraId="3FE6E8F0">
      <w:pPr>
        <w:rPr>
          <w:rFonts w:hint="eastAsia" w:ascii="仿宋_GB2312" w:eastAsia="仿宋_GB2312"/>
          <w:sz w:val="32"/>
          <w:szCs w:val="32"/>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cols w:space="425" w:num="1"/>
          <w:docGrid w:type="lines" w:linePitch="312" w:charSpace="0"/>
        </w:sectPr>
      </w:pPr>
    </w:p>
    <w:p w14:paraId="4DC91340">
      <w:pPr>
        <w:autoSpaceDN w:val="0"/>
        <w:spacing w:after="0" w:line="900" w:lineRule="exact"/>
        <w:jc w:val="center"/>
        <w:rPr>
          <w:rFonts w:hint="eastAsia" w:ascii="方正小标宋_GBK" w:hAnsi="Calibri" w:eastAsia="方正小标宋_GBK" w:cs="Times New Roman"/>
          <w:sz w:val="44"/>
          <w:szCs w:val="44"/>
          <w14:ligatures w14:val="none"/>
        </w:rPr>
      </w:pPr>
      <w:bookmarkStart w:id="0" w:name="OLE_LINK1"/>
      <w:r>
        <w:rPr>
          <w:rFonts w:hint="eastAsia" w:ascii="方正小标宋_GBK" w:hAnsi="Calibri" w:eastAsia="方正小标宋_GBK" w:cs="Times New Roman"/>
          <w:sz w:val="44"/>
          <w:szCs w:val="44"/>
          <w14:ligatures w14:val="none"/>
        </w:rPr>
        <w:t>城乡规划编制单位资质核查表</w:t>
      </w:r>
    </w:p>
    <w:p w14:paraId="35F46906">
      <w:pPr>
        <w:autoSpaceDN w:val="0"/>
        <w:spacing w:after="0" w:line="240" w:lineRule="auto"/>
        <w:rPr>
          <w:rFonts w:ascii="Calibri" w:hAnsi="Calibri" w:eastAsia="宋体" w:cs="Times New Roman"/>
          <w:sz w:val="21"/>
          <w14:ligatures w14:val="none"/>
        </w:rPr>
      </w:pPr>
      <w:r>
        <w:rPr>
          <w:rFonts w:hint="eastAsia" w:ascii="Times New Roman" w:hAnsi="Calibri" w:eastAsia="仿宋_GB2312" w:cs="Times New Roman"/>
          <w:sz w:val="30"/>
          <w:szCs w:val="30"/>
          <w14:ligatures w14:val="none"/>
        </w:rPr>
        <w:t>规划编制单位名称：</w:t>
      </w:r>
      <w:r>
        <w:rPr>
          <w:rFonts w:ascii="Times New Roman" w:hAnsi="Times New Roman" w:eastAsia="仿宋_GB2312" w:cs="Times New Roman"/>
          <w:sz w:val="30"/>
          <w:szCs w:val="30"/>
          <w:u w:val="single"/>
          <w14:ligatures w14:val="none"/>
        </w:rPr>
        <w:t xml:space="preserve">                    </w:t>
      </w:r>
      <w:r>
        <w:rPr>
          <w:rFonts w:ascii="Times New Roman" w:hAnsi="Times New Roman" w:eastAsia="仿宋_GB2312" w:cs="Times New Roman"/>
          <w:sz w:val="30"/>
          <w:szCs w:val="30"/>
          <w14:ligatures w14:val="none"/>
        </w:rPr>
        <w:t xml:space="preserve">              </w:t>
      </w:r>
      <w:r>
        <w:rPr>
          <w:rFonts w:hint="eastAsia" w:ascii="Times New Roman" w:hAnsi="Calibri" w:eastAsia="仿宋_GB2312" w:cs="Times New Roman"/>
          <w:sz w:val="30"/>
          <w:szCs w:val="30"/>
          <w14:ligatures w14:val="none"/>
        </w:rPr>
        <w:t>核查单位名称：</w:t>
      </w:r>
      <w:r>
        <w:rPr>
          <w:rFonts w:ascii="Times New Roman" w:hAnsi="Times New Roman" w:eastAsia="仿宋_GB2312" w:cs="Times New Roman"/>
          <w:sz w:val="30"/>
          <w:szCs w:val="30"/>
          <w:u w:val="single"/>
          <w14:ligatures w14:val="none"/>
        </w:rPr>
        <w:t xml:space="preserve">                       </w:t>
      </w:r>
      <w:r>
        <w:rPr>
          <w:rFonts w:ascii="Times New Roman" w:hAnsi="Times New Roman" w:eastAsia="仿宋_GB2312" w:cs="Times New Roman"/>
          <w:sz w:val="32"/>
          <w:szCs w:val="32"/>
          <w14:ligatures w14:val="none"/>
        </w:rPr>
        <w:t xml:space="preserve">    </w:t>
      </w:r>
    </w:p>
    <w:tbl>
      <w:tblPr>
        <w:tblStyle w:val="15"/>
        <w:tblW w:w="14739"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071"/>
        <w:gridCol w:w="9110"/>
        <w:gridCol w:w="1929"/>
        <w:gridCol w:w="2629"/>
      </w:tblGrid>
      <w:tr w14:paraId="5071E10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71" w:hRule="atLeast"/>
          <w:jc w:val="center"/>
        </w:trPr>
        <w:tc>
          <w:tcPr>
            <w:tcW w:w="1071" w:type="dxa"/>
            <w:tcBorders>
              <w:top w:val="single" w:color="auto" w:sz="4" w:space="0"/>
              <w:left w:val="single" w:color="auto" w:sz="4" w:space="0"/>
              <w:bottom w:val="single" w:color="auto" w:sz="4" w:space="0"/>
              <w:right w:val="single" w:color="auto" w:sz="4" w:space="0"/>
            </w:tcBorders>
            <w:vAlign w:val="center"/>
          </w:tcPr>
          <w:p w14:paraId="7C6DDECC">
            <w:pPr>
              <w:autoSpaceDN w:val="0"/>
              <w:spacing w:after="0" w:line="360" w:lineRule="exact"/>
              <w:jc w:val="center"/>
              <w:rPr>
                <w:rFonts w:ascii="Calibri" w:hAnsi="Calibri" w:eastAsia="宋体" w:cs="Times New Roman"/>
                <w:sz w:val="21"/>
                <w14:ligatures w14:val="none"/>
              </w:rPr>
            </w:pPr>
            <w:r>
              <w:rPr>
                <w:rFonts w:hint="eastAsia" w:ascii="Times New Roman" w:hAnsi="黑体" w:eastAsia="黑体" w:cs="Times New Roman"/>
                <w:sz w:val="28"/>
                <w:szCs w:val="28"/>
                <w14:ligatures w14:val="none"/>
              </w:rPr>
              <w:t>序</w:t>
            </w:r>
            <w:r>
              <w:rPr>
                <w:rFonts w:ascii="Times New Roman" w:hAnsi="Times New Roman" w:eastAsia="黑体" w:cs="Times New Roman"/>
                <w:sz w:val="28"/>
                <w:szCs w:val="28"/>
                <w14:ligatures w14:val="none"/>
              </w:rPr>
              <w:t xml:space="preserve"> </w:t>
            </w:r>
            <w:r>
              <w:rPr>
                <w:rFonts w:hint="eastAsia" w:ascii="Times New Roman" w:hAnsi="黑体" w:eastAsia="黑体" w:cs="Times New Roman"/>
                <w:sz w:val="28"/>
                <w:szCs w:val="28"/>
                <w14:ligatures w14:val="none"/>
              </w:rPr>
              <w:t>号</w:t>
            </w:r>
          </w:p>
        </w:tc>
        <w:tc>
          <w:tcPr>
            <w:tcW w:w="9110" w:type="dxa"/>
            <w:tcBorders>
              <w:top w:val="single" w:color="auto" w:sz="4" w:space="0"/>
              <w:left w:val="single" w:color="auto" w:sz="4" w:space="0"/>
              <w:bottom w:val="single" w:color="auto" w:sz="4" w:space="0"/>
              <w:right w:val="single" w:color="auto" w:sz="4" w:space="0"/>
            </w:tcBorders>
            <w:vAlign w:val="center"/>
          </w:tcPr>
          <w:p w14:paraId="1E092D3A">
            <w:pPr>
              <w:autoSpaceDN w:val="0"/>
              <w:spacing w:after="0" w:line="360" w:lineRule="exact"/>
              <w:jc w:val="center"/>
              <w:rPr>
                <w:rFonts w:ascii="Calibri" w:hAnsi="Calibri" w:eastAsia="宋体" w:cs="Times New Roman"/>
                <w:sz w:val="21"/>
                <w14:ligatures w14:val="none"/>
              </w:rPr>
            </w:pPr>
            <w:r>
              <w:rPr>
                <w:rFonts w:hint="eastAsia" w:ascii="Times New Roman" w:hAnsi="黑体" w:eastAsia="黑体" w:cs="Times New Roman"/>
                <w:sz w:val="28"/>
                <w:szCs w:val="28"/>
                <w14:ligatures w14:val="none"/>
              </w:rPr>
              <w:t>核</w:t>
            </w:r>
            <w:r>
              <w:rPr>
                <w:rFonts w:ascii="Times New Roman" w:hAnsi="Times New Roman" w:eastAsia="黑体" w:cs="Times New Roman"/>
                <w:sz w:val="28"/>
                <w:szCs w:val="28"/>
                <w14:ligatures w14:val="none"/>
              </w:rPr>
              <w:t xml:space="preserve"> </w:t>
            </w:r>
            <w:r>
              <w:rPr>
                <w:rFonts w:hint="eastAsia" w:ascii="Times New Roman" w:hAnsi="黑体" w:eastAsia="黑体" w:cs="Times New Roman"/>
                <w:sz w:val="28"/>
                <w:szCs w:val="28"/>
                <w14:ligatures w14:val="none"/>
              </w:rPr>
              <w:t>查</w:t>
            </w:r>
            <w:r>
              <w:rPr>
                <w:rFonts w:ascii="Times New Roman" w:hAnsi="Times New Roman" w:eastAsia="黑体" w:cs="Times New Roman"/>
                <w:sz w:val="28"/>
                <w:szCs w:val="28"/>
                <w14:ligatures w14:val="none"/>
              </w:rPr>
              <w:t xml:space="preserve"> </w:t>
            </w:r>
            <w:r>
              <w:rPr>
                <w:rFonts w:hint="eastAsia" w:ascii="Times New Roman" w:hAnsi="黑体" w:eastAsia="黑体" w:cs="Times New Roman"/>
                <w:sz w:val="28"/>
                <w:szCs w:val="28"/>
                <w14:ligatures w14:val="none"/>
              </w:rPr>
              <w:t>主</w:t>
            </w:r>
            <w:r>
              <w:rPr>
                <w:rFonts w:ascii="Times New Roman" w:hAnsi="Times New Roman" w:eastAsia="黑体" w:cs="Times New Roman"/>
                <w:sz w:val="28"/>
                <w:szCs w:val="28"/>
                <w14:ligatures w14:val="none"/>
              </w:rPr>
              <w:t xml:space="preserve"> </w:t>
            </w:r>
            <w:r>
              <w:rPr>
                <w:rFonts w:hint="eastAsia" w:ascii="Times New Roman" w:hAnsi="黑体" w:eastAsia="黑体" w:cs="Times New Roman"/>
                <w:sz w:val="28"/>
                <w:szCs w:val="28"/>
                <w14:ligatures w14:val="none"/>
              </w:rPr>
              <w:t>要</w:t>
            </w:r>
            <w:r>
              <w:rPr>
                <w:rFonts w:ascii="Times New Roman" w:hAnsi="Times New Roman" w:eastAsia="黑体" w:cs="Times New Roman"/>
                <w:sz w:val="28"/>
                <w:szCs w:val="28"/>
                <w14:ligatures w14:val="none"/>
              </w:rPr>
              <w:t xml:space="preserve"> </w:t>
            </w:r>
            <w:r>
              <w:rPr>
                <w:rFonts w:hint="eastAsia" w:ascii="Times New Roman" w:hAnsi="黑体" w:eastAsia="黑体" w:cs="Times New Roman"/>
                <w:sz w:val="28"/>
                <w:szCs w:val="28"/>
                <w14:ligatures w14:val="none"/>
              </w:rPr>
              <w:t>内</w:t>
            </w:r>
            <w:r>
              <w:rPr>
                <w:rFonts w:ascii="Times New Roman" w:hAnsi="Times New Roman" w:eastAsia="黑体" w:cs="Times New Roman"/>
                <w:sz w:val="28"/>
                <w:szCs w:val="28"/>
                <w14:ligatures w14:val="none"/>
              </w:rPr>
              <w:t xml:space="preserve"> </w:t>
            </w:r>
            <w:r>
              <w:rPr>
                <w:rFonts w:hint="eastAsia" w:ascii="Times New Roman" w:hAnsi="黑体" w:eastAsia="黑体" w:cs="Times New Roman"/>
                <w:sz w:val="28"/>
                <w:szCs w:val="28"/>
                <w14:ligatures w14:val="none"/>
              </w:rPr>
              <w:t>容</w:t>
            </w:r>
            <w:r>
              <w:rPr>
                <w:rFonts w:ascii="Times New Roman" w:hAnsi="Times New Roman" w:eastAsia="黑体" w:cs="Times New Roman"/>
                <w:sz w:val="28"/>
                <w:szCs w:val="28"/>
                <w14:ligatures w14:val="none"/>
              </w:rPr>
              <w:t xml:space="preserve"> </w:t>
            </w:r>
            <w:r>
              <w:rPr>
                <w:rFonts w:hint="eastAsia" w:ascii="Times New Roman" w:hAnsi="黑体" w:eastAsia="黑体" w:cs="Times New Roman"/>
                <w:sz w:val="28"/>
                <w:szCs w:val="28"/>
                <w14:ligatures w14:val="none"/>
              </w:rPr>
              <w:t>及</w:t>
            </w:r>
            <w:r>
              <w:rPr>
                <w:rFonts w:ascii="Times New Roman" w:hAnsi="Times New Roman" w:eastAsia="黑体" w:cs="Times New Roman"/>
                <w:sz w:val="28"/>
                <w:szCs w:val="28"/>
                <w14:ligatures w14:val="none"/>
              </w:rPr>
              <w:t xml:space="preserve"> </w:t>
            </w:r>
            <w:r>
              <w:rPr>
                <w:rFonts w:hint="eastAsia" w:ascii="Times New Roman" w:hAnsi="黑体" w:eastAsia="黑体" w:cs="Times New Roman"/>
                <w:sz w:val="28"/>
                <w:szCs w:val="28"/>
                <w14:ligatures w14:val="none"/>
              </w:rPr>
              <w:t>要</w:t>
            </w:r>
            <w:r>
              <w:rPr>
                <w:rFonts w:ascii="Times New Roman" w:hAnsi="Times New Roman" w:eastAsia="黑体" w:cs="Times New Roman"/>
                <w:sz w:val="28"/>
                <w:szCs w:val="28"/>
                <w14:ligatures w14:val="none"/>
              </w:rPr>
              <w:t xml:space="preserve"> </w:t>
            </w:r>
            <w:r>
              <w:rPr>
                <w:rFonts w:hint="eastAsia" w:ascii="Times New Roman" w:hAnsi="黑体" w:eastAsia="黑体" w:cs="Times New Roman"/>
                <w:sz w:val="28"/>
                <w:szCs w:val="28"/>
                <w14:ligatures w14:val="none"/>
              </w:rPr>
              <w:t>点</w:t>
            </w:r>
          </w:p>
        </w:tc>
        <w:tc>
          <w:tcPr>
            <w:tcW w:w="1929" w:type="dxa"/>
            <w:tcBorders>
              <w:top w:val="single" w:color="auto" w:sz="4" w:space="0"/>
              <w:left w:val="single" w:color="auto" w:sz="4" w:space="0"/>
              <w:bottom w:val="single" w:color="auto" w:sz="4" w:space="0"/>
              <w:right w:val="single" w:color="auto" w:sz="4" w:space="0"/>
            </w:tcBorders>
            <w:vAlign w:val="center"/>
          </w:tcPr>
          <w:p w14:paraId="6118B9F3">
            <w:pPr>
              <w:autoSpaceDN w:val="0"/>
              <w:spacing w:after="0" w:line="360" w:lineRule="exact"/>
              <w:jc w:val="center"/>
              <w:rPr>
                <w:rFonts w:ascii="Calibri" w:hAnsi="Calibri" w:eastAsia="宋体" w:cs="Times New Roman"/>
                <w:sz w:val="21"/>
                <w14:ligatures w14:val="none"/>
              </w:rPr>
            </w:pPr>
            <w:r>
              <w:rPr>
                <w:rFonts w:hint="eastAsia" w:ascii="Times New Roman" w:hAnsi="黑体" w:eastAsia="黑体" w:cs="Times New Roman"/>
                <w:sz w:val="28"/>
                <w:szCs w:val="28"/>
                <w14:ligatures w14:val="none"/>
              </w:rPr>
              <w:t>合格</w:t>
            </w:r>
            <w:r>
              <w:rPr>
                <w:rFonts w:ascii="Times New Roman" w:hAnsi="Times New Roman" w:eastAsia="黑体" w:cs="Times New Roman"/>
                <w:sz w:val="28"/>
                <w:szCs w:val="28"/>
                <w14:ligatures w14:val="none"/>
              </w:rPr>
              <w:t>/</w:t>
            </w:r>
            <w:r>
              <w:rPr>
                <w:rFonts w:hint="eastAsia" w:ascii="Times New Roman" w:hAnsi="黑体" w:eastAsia="黑体" w:cs="Times New Roman"/>
                <w:sz w:val="28"/>
                <w:szCs w:val="28"/>
                <w14:ligatures w14:val="none"/>
              </w:rPr>
              <w:t>不合格</w:t>
            </w:r>
          </w:p>
        </w:tc>
        <w:tc>
          <w:tcPr>
            <w:tcW w:w="2629" w:type="dxa"/>
            <w:tcBorders>
              <w:top w:val="single" w:color="auto" w:sz="4" w:space="0"/>
              <w:left w:val="single" w:color="auto" w:sz="4" w:space="0"/>
              <w:bottom w:val="single" w:color="auto" w:sz="4" w:space="0"/>
              <w:right w:val="single" w:color="auto" w:sz="4" w:space="0"/>
            </w:tcBorders>
            <w:vAlign w:val="center"/>
          </w:tcPr>
          <w:p w14:paraId="0CA27BBE">
            <w:pPr>
              <w:autoSpaceDN w:val="0"/>
              <w:spacing w:after="0" w:line="360" w:lineRule="exact"/>
              <w:jc w:val="center"/>
              <w:rPr>
                <w:rFonts w:ascii="Calibri" w:hAnsi="Calibri" w:eastAsia="宋体" w:cs="Times New Roman"/>
                <w:sz w:val="21"/>
                <w14:ligatures w14:val="none"/>
              </w:rPr>
            </w:pPr>
            <w:r>
              <w:rPr>
                <w:rFonts w:hint="eastAsia" w:ascii="Times New Roman" w:hAnsi="黑体" w:eastAsia="黑体" w:cs="Times New Roman"/>
                <w:sz w:val="28"/>
                <w:szCs w:val="28"/>
                <w14:ligatures w14:val="none"/>
              </w:rPr>
              <w:t>具体情况</w:t>
            </w:r>
          </w:p>
        </w:tc>
      </w:tr>
      <w:tr w14:paraId="3322004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59" w:hRule="atLeast"/>
          <w:jc w:val="center"/>
        </w:trPr>
        <w:tc>
          <w:tcPr>
            <w:tcW w:w="14739" w:type="dxa"/>
            <w:gridSpan w:val="4"/>
            <w:tcBorders>
              <w:top w:val="single" w:color="auto" w:sz="4" w:space="0"/>
              <w:left w:val="single" w:color="auto" w:sz="4" w:space="0"/>
              <w:bottom w:val="single" w:color="auto" w:sz="4" w:space="0"/>
              <w:right w:val="single" w:color="auto" w:sz="4" w:space="0"/>
            </w:tcBorders>
            <w:vAlign w:val="center"/>
          </w:tcPr>
          <w:p w14:paraId="3BD3459A">
            <w:pPr>
              <w:autoSpaceDN w:val="0"/>
              <w:spacing w:after="0" w:line="360" w:lineRule="exact"/>
              <w:jc w:val="both"/>
              <w:rPr>
                <w:rFonts w:ascii="Calibri" w:hAnsi="Calibri" w:eastAsia="宋体" w:cs="Times New Roman"/>
                <w:sz w:val="21"/>
                <w14:ligatures w14:val="none"/>
              </w:rPr>
            </w:pPr>
            <w:r>
              <w:rPr>
                <w:rFonts w:hint="eastAsia" w:ascii="Times New Roman" w:hAnsi="黑体" w:eastAsia="黑体" w:cs="Times New Roman"/>
                <w:sz w:val="28"/>
                <w:szCs w:val="28"/>
                <w14:ligatures w14:val="none"/>
              </w:rPr>
              <w:t>一、法人资格及工作场所</w:t>
            </w:r>
          </w:p>
        </w:tc>
      </w:tr>
      <w:tr w14:paraId="088BAB3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80" w:hRule="atLeast"/>
          <w:jc w:val="center"/>
        </w:trPr>
        <w:tc>
          <w:tcPr>
            <w:tcW w:w="1071" w:type="dxa"/>
            <w:tcBorders>
              <w:top w:val="single" w:color="auto" w:sz="4" w:space="0"/>
              <w:left w:val="single" w:color="auto" w:sz="4" w:space="0"/>
              <w:bottom w:val="single" w:color="auto" w:sz="4" w:space="0"/>
              <w:right w:val="single" w:color="auto" w:sz="4" w:space="0"/>
            </w:tcBorders>
            <w:vAlign w:val="center"/>
          </w:tcPr>
          <w:p w14:paraId="3A71B41B">
            <w:pPr>
              <w:autoSpaceDN w:val="0"/>
              <w:spacing w:after="0" w:line="360" w:lineRule="exact"/>
              <w:jc w:val="center"/>
              <w:rPr>
                <w:rFonts w:ascii="Calibri" w:hAnsi="Calibri" w:eastAsia="宋体" w:cs="Times New Roman"/>
                <w:sz w:val="21"/>
                <w14:ligatures w14:val="none"/>
              </w:rPr>
            </w:pPr>
            <w:r>
              <w:rPr>
                <w:rFonts w:ascii="Times New Roman" w:hAnsi="Times New Roman" w:eastAsia="仿宋_GB2312" w:cs="Times New Roman"/>
                <w:sz w:val="28"/>
                <w:szCs w:val="28"/>
                <w14:ligatures w14:val="none"/>
              </w:rPr>
              <w:t>1</w:t>
            </w:r>
          </w:p>
        </w:tc>
        <w:tc>
          <w:tcPr>
            <w:tcW w:w="9110" w:type="dxa"/>
            <w:tcBorders>
              <w:top w:val="single" w:color="auto" w:sz="4" w:space="0"/>
              <w:left w:val="single" w:color="auto" w:sz="4" w:space="0"/>
              <w:bottom w:val="single" w:color="auto" w:sz="4" w:space="0"/>
              <w:right w:val="single" w:color="auto" w:sz="4" w:space="0"/>
            </w:tcBorders>
            <w:vAlign w:val="center"/>
          </w:tcPr>
          <w:p w14:paraId="37174381">
            <w:pPr>
              <w:autoSpaceDN w:val="0"/>
              <w:spacing w:after="0" w:line="360" w:lineRule="exact"/>
              <w:jc w:val="both"/>
              <w:rPr>
                <w:rFonts w:ascii="Calibri" w:hAnsi="Calibri" w:eastAsia="宋体" w:cs="Times New Roman"/>
                <w:sz w:val="21"/>
                <w14:ligatures w14:val="none"/>
              </w:rPr>
            </w:pPr>
            <w:r>
              <w:rPr>
                <w:rFonts w:hint="eastAsia" w:ascii="Times New Roman" w:hAnsi="Calibri" w:eastAsia="仿宋_GB2312" w:cs="Times New Roman"/>
                <w:sz w:val="28"/>
                <w:szCs w:val="28"/>
                <w14:ligatures w14:val="none"/>
              </w:rPr>
              <w:t>法人资格证明材料或营业执照。</w:t>
            </w:r>
          </w:p>
        </w:tc>
        <w:tc>
          <w:tcPr>
            <w:tcW w:w="1929" w:type="dxa"/>
            <w:tcBorders>
              <w:top w:val="single" w:color="auto" w:sz="4" w:space="0"/>
              <w:left w:val="single" w:color="auto" w:sz="4" w:space="0"/>
              <w:bottom w:val="single" w:color="auto" w:sz="4" w:space="0"/>
              <w:right w:val="single" w:color="auto" w:sz="4" w:space="0"/>
            </w:tcBorders>
            <w:vAlign w:val="center"/>
          </w:tcPr>
          <w:p w14:paraId="12858196">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vAlign w:val="center"/>
          </w:tcPr>
          <w:p w14:paraId="26C9032D">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r>
      <w:tr w14:paraId="20CB6A4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260" w:hRule="atLeast"/>
          <w:jc w:val="center"/>
        </w:trPr>
        <w:tc>
          <w:tcPr>
            <w:tcW w:w="1071" w:type="dxa"/>
            <w:tcBorders>
              <w:top w:val="single" w:color="auto" w:sz="4" w:space="0"/>
              <w:left w:val="single" w:color="auto" w:sz="4" w:space="0"/>
              <w:bottom w:val="single" w:color="auto" w:sz="4" w:space="0"/>
              <w:right w:val="single" w:color="auto" w:sz="4" w:space="0"/>
            </w:tcBorders>
            <w:vAlign w:val="center"/>
          </w:tcPr>
          <w:p w14:paraId="71343CF6">
            <w:pPr>
              <w:autoSpaceDN w:val="0"/>
              <w:spacing w:after="0" w:line="360" w:lineRule="exact"/>
              <w:jc w:val="center"/>
              <w:rPr>
                <w:rFonts w:ascii="Calibri" w:hAnsi="Calibri" w:eastAsia="宋体" w:cs="Times New Roman"/>
                <w:sz w:val="21"/>
                <w14:ligatures w14:val="none"/>
              </w:rPr>
            </w:pPr>
            <w:r>
              <w:rPr>
                <w:rFonts w:ascii="Times New Roman" w:hAnsi="Times New Roman" w:eastAsia="仿宋_GB2312" w:cs="Times New Roman"/>
                <w:sz w:val="28"/>
                <w:szCs w:val="28"/>
                <w14:ligatures w14:val="none"/>
              </w:rPr>
              <w:t>2</w:t>
            </w:r>
          </w:p>
        </w:tc>
        <w:tc>
          <w:tcPr>
            <w:tcW w:w="9110" w:type="dxa"/>
            <w:tcBorders>
              <w:top w:val="single" w:color="auto" w:sz="4" w:space="0"/>
              <w:left w:val="single" w:color="auto" w:sz="4" w:space="0"/>
              <w:bottom w:val="single" w:color="auto" w:sz="4" w:space="0"/>
              <w:right w:val="single" w:color="auto" w:sz="4" w:space="0"/>
            </w:tcBorders>
            <w:vAlign w:val="center"/>
          </w:tcPr>
          <w:p w14:paraId="7C139D5A">
            <w:pPr>
              <w:autoSpaceDN w:val="0"/>
              <w:spacing w:after="0" w:line="360" w:lineRule="exact"/>
              <w:jc w:val="both"/>
              <w:rPr>
                <w:rFonts w:ascii="Calibri" w:hAnsi="Calibri" w:eastAsia="宋体" w:cs="Times New Roman"/>
                <w:sz w:val="21"/>
                <w14:ligatures w14:val="none"/>
              </w:rPr>
            </w:pPr>
            <w:r>
              <w:rPr>
                <w:rFonts w:hint="eastAsia" w:ascii="仿宋_GB2312" w:hAnsi="Calibri" w:eastAsia="仿宋_GB2312" w:cs="仿宋_GB2312"/>
                <w:sz w:val="28"/>
                <w:szCs w:val="28"/>
                <w14:ligatures w14:val="none"/>
              </w:rPr>
              <w:t>有200平方米以上的固定工作场所，并与资质证书场所一致</w:t>
            </w:r>
            <w:r>
              <w:rPr>
                <w:rFonts w:hint="eastAsia" w:ascii="楷体_GB2312" w:hAnsi="Calibri" w:eastAsia="楷体_GB2312" w:cs="楷体_GB2312"/>
                <w:sz w:val="28"/>
                <w:szCs w:val="28"/>
                <w14:ligatures w14:val="none"/>
              </w:rPr>
              <w:t>（如不一致，需提供新的办公场所房屋租赁合同或产权证等原件，并在行业管理系统“资质证书信息”变更模块进行变更）</w:t>
            </w:r>
            <w:r>
              <w:rPr>
                <w:rFonts w:hint="eastAsia" w:ascii="Times New Roman" w:hAnsi="Calibri" w:eastAsia="仿宋_GB2312" w:cs="Times New Roman"/>
                <w:sz w:val="28"/>
                <w:szCs w:val="28"/>
                <w14:ligatures w14:val="none"/>
              </w:rPr>
              <w:t>。</w:t>
            </w:r>
          </w:p>
        </w:tc>
        <w:tc>
          <w:tcPr>
            <w:tcW w:w="1929" w:type="dxa"/>
            <w:tcBorders>
              <w:top w:val="single" w:color="auto" w:sz="4" w:space="0"/>
              <w:left w:val="single" w:color="auto" w:sz="4" w:space="0"/>
              <w:bottom w:val="single" w:color="auto" w:sz="4" w:space="0"/>
              <w:right w:val="single" w:color="auto" w:sz="4" w:space="0"/>
            </w:tcBorders>
            <w:vAlign w:val="center"/>
          </w:tcPr>
          <w:p w14:paraId="17888CCB">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vAlign w:val="center"/>
          </w:tcPr>
          <w:p w14:paraId="6C8E0E67">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r>
      <w:tr w14:paraId="346DB71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82" w:hRule="atLeast"/>
          <w:jc w:val="center"/>
        </w:trPr>
        <w:tc>
          <w:tcPr>
            <w:tcW w:w="1071" w:type="dxa"/>
            <w:tcBorders>
              <w:top w:val="single" w:color="auto" w:sz="4" w:space="0"/>
              <w:left w:val="single" w:color="auto" w:sz="4" w:space="0"/>
              <w:bottom w:val="single" w:color="auto" w:sz="4" w:space="0"/>
              <w:right w:val="single" w:color="auto" w:sz="4" w:space="0"/>
            </w:tcBorders>
            <w:vAlign w:val="center"/>
          </w:tcPr>
          <w:p w14:paraId="36B8C5CA">
            <w:pPr>
              <w:autoSpaceDN w:val="0"/>
              <w:spacing w:after="0" w:line="360" w:lineRule="exact"/>
              <w:jc w:val="center"/>
              <w:rPr>
                <w:rFonts w:ascii="Calibri" w:hAnsi="Calibri" w:eastAsia="宋体" w:cs="Times New Roman"/>
                <w:sz w:val="21"/>
                <w14:ligatures w14:val="none"/>
              </w:rPr>
            </w:pPr>
            <w:r>
              <w:rPr>
                <w:rFonts w:ascii="Times New Roman" w:hAnsi="Times New Roman" w:eastAsia="仿宋_GB2312" w:cs="Times New Roman"/>
                <w:sz w:val="28"/>
                <w:szCs w:val="28"/>
                <w14:ligatures w14:val="none"/>
              </w:rPr>
              <w:t>3</w:t>
            </w:r>
          </w:p>
        </w:tc>
        <w:tc>
          <w:tcPr>
            <w:tcW w:w="9110" w:type="dxa"/>
            <w:tcBorders>
              <w:top w:val="single" w:color="auto" w:sz="4" w:space="0"/>
              <w:left w:val="single" w:color="auto" w:sz="4" w:space="0"/>
              <w:bottom w:val="single" w:color="auto" w:sz="4" w:space="0"/>
              <w:right w:val="single" w:color="auto" w:sz="4" w:space="0"/>
            </w:tcBorders>
            <w:vAlign w:val="center"/>
          </w:tcPr>
          <w:p w14:paraId="69889F5C">
            <w:pPr>
              <w:autoSpaceDN w:val="0"/>
              <w:spacing w:after="0" w:line="360" w:lineRule="exact"/>
              <w:jc w:val="both"/>
              <w:rPr>
                <w:rFonts w:ascii="Calibri" w:hAnsi="Calibri" w:eastAsia="宋体" w:cs="Times New Roman"/>
                <w:sz w:val="21"/>
                <w14:ligatures w14:val="none"/>
              </w:rPr>
            </w:pPr>
            <w:r>
              <w:rPr>
                <w:rFonts w:hint="eastAsia" w:ascii="仿宋_GB2312" w:hAnsi="Calibri" w:eastAsia="仿宋_GB2312" w:cs="仿宋_GB2312"/>
                <w:sz w:val="28"/>
                <w:szCs w:val="28"/>
                <w14:ligatures w14:val="none"/>
              </w:rPr>
              <w:t>技术、质量、安全、保密、档案、财务管理制度是否完备</w:t>
            </w:r>
            <w:r>
              <w:rPr>
                <w:rFonts w:hint="eastAsia" w:ascii="楷体_GB2312" w:hAnsi="Calibri" w:eastAsia="楷体_GB2312" w:cs="楷体_GB2312"/>
                <w:sz w:val="28"/>
                <w:szCs w:val="28"/>
                <w14:ligatures w14:val="none"/>
              </w:rPr>
              <w:t>（要求查阅安全、保密等制度文件，并询问相关制度落实情况）</w:t>
            </w:r>
            <w:r>
              <w:rPr>
                <w:rFonts w:hint="eastAsia" w:ascii="仿宋_GB2312" w:hAnsi="Calibri" w:eastAsia="仿宋_GB2312" w:cs="仿宋_GB2312"/>
                <w:sz w:val="28"/>
                <w:szCs w:val="28"/>
                <w14:ligatures w14:val="none"/>
              </w:rPr>
              <w:t>。</w:t>
            </w:r>
          </w:p>
        </w:tc>
        <w:tc>
          <w:tcPr>
            <w:tcW w:w="1929" w:type="dxa"/>
            <w:tcBorders>
              <w:top w:val="single" w:color="auto" w:sz="4" w:space="0"/>
              <w:left w:val="single" w:color="auto" w:sz="4" w:space="0"/>
              <w:bottom w:val="single" w:color="auto" w:sz="4" w:space="0"/>
              <w:right w:val="single" w:color="auto" w:sz="4" w:space="0"/>
            </w:tcBorders>
            <w:vAlign w:val="center"/>
          </w:tcPr>
          <w:p w14:paraId="3956897A">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vAlign w:val="center"/>
          </w:tcPr>
          <w:p w14:paraId="47E4ED3A">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r>
      <w:tr w14:paraId="102E27D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72" w:hRule="atLeast"/>
          <w:jc w:val="center"/>
        </w:trPr>
        <w:tc>
          <w:tcPr>
            <w:tcW w:w="14739" w:type="dxa"/>
            <w:gridSpan w:val="4"/>
            <w:tcBorders>
              <w:top w:val="single" w:color="auto" w:sz="4" w:space="0"/>
              <w:left w:val="single" w:color="auto" w:sz="4" w:space="0"/>
              <w:bottom w:val="single" w:color="auto" w:sz="4" w:space="0"/>
              <w:right w:val="single" w:color="auto" w:sz="4" w:space="0"/>
            </w:tcBorders>
            <w:vAlign w:val="center"/>
          </w:tcPr>
          <w:p w14:paraId="7015D235">
            <w:pPr>
              <w:autoSpaceDN w:val="0"/>
              <w:spacing w:after="0" w:line="360" w:lineRule="exact"/>
              <w:jc w:val="both"/>
              <w:rPr>
                <w:rFonts w:ascii="Calibri" w:hAnsi="Calibri" w:eastAsia="宋体" w:cs="Times New Roman"/>
                <w:sz w:val="21"/>
                <w14:ligatures w14:val="none"/>
              </w:rPr>
            </w:pPr>
            <w:r>
              <w:rPr>
                <w:rFonts w:hint="eastAsia" w:ascii="Times New Roman" w:hAnsi="黑体" w:eastAsia="黑体" w:cs="Times New Roman"/>
                <w:sz w:val="28"/>
                <w:szCs w:val="28"/>
                <w14:ligatures w14:val="none"/>
              </w:rPr>
              <w:t>二、专业技术人员（</w:t>
            </w:r>
            <w:r>
              <w:rPr>
                <w:rFonts w:hint="eastAsia" w:ascii="Times New Roman" w:hAnsi="黑体" w:eastAsia="黑体" w:cs="Times New Roman"/>
                <w:color w:val="000000"/>
                <w:sz w:val="28"/>
                <w:szCs w:val="28"/>
                <w14:ligatures w14:val="none"/>
              </w:rPr>
              <w:t>含</w:t>
            </w:r>
            <w:r>
              <w:rPr>
                <w:rFonts w:hint="eastAsia" w:ascii="Times New Roman" w:hAnsi="黑体" w:eastAsia="黑体" w:cs="Times New Roman"/>
                <w:sz w:val="28"/>
                <w:szCs w:val="28"/>
                <w14:ligatures w14:val="none"/>
              </w:rPr>
              <w:t>注册规划师）材料</w:t>
            </w:r>
          </w:p>
        </w:tc>
      </w:tr>
      <w:tr w14:paraId="58542A1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6" w:hRule="atLeast"/>
          <w:jc w:val="center"/>
        </w:trPr>
        <w:tc>
          <w:tcPr>
            <w:tcW w:w="1071" w:type="dxa"/>
            <w:tcBorders>
              <w:top w:val="single" w:color="auto" w:sz="4" w:space="0"/>
              <w:left w:val="single" w:color="auto" w:sz="4" w:space="0"/>
              <w:bottom w:val="single" w:color="auto" w:sz="4" w:space="0"/>
              <w:right w:val="single" w:color="auto" w:sz="4" w:space="0"/>
            </w:tcBorders>
            <w:vAlign w:val="center"/>
          </w:tcPr>
          <w:p w14:paraId="55BAAB22">
            <w:pPr>
              <w:autoSpaceDN w:val="0"/>
              <w:spacing w:after="0" w:line="360" w:lineRule="exact"/>
              <w:jc w:val="center"/>
              <w:rPr>
                <w:rFonts w:ascii="Calibri" w:hAnsi="Calibri" w:eastAsia="宋体" w:cs="Times New Roman"/>
                <w:sz w:val="21"/>
                <w14:ligatures w14:val="none"/>
              </w:rPr>
            </w:pPr>
            <w:r>
              <w:rPr>
                <w:rFonts w:ascii="Times New Roman" w:hAnsi="Times New Roman" w:eastAsia="仿宋_GB2312" w:cs="Times New Roman"/>
                <w:sz w:val="28"/>
                <w:szCs w:val="28"/>
                <w14:ligatures w14:val="none"/>
              </w:rPr>
              <w:t>4</w:t>
            </w:r>
          </w:p>
        </w:tc>
        <w:tc>
          <w:tcPr>
            <w:tcW w:w="9110" w:type="dxa"/>
            <w:tcBorders>
              <w:top w:val="single" w:color="auto" w:sz="4" w:space="0"/>
              <w:left w:val="single" w:color="auto" w:sz="4" w:space="0"/>
              <w:bottom w:val="single" w:color="auto" w:sz="4" w:space="0"/>
              <w:right w:val="single" w:color="auto" w:sz="4" w:space="0"/>
            </w:tcBorders>
            <w:vAlign w:val="center"/>
          </w:tcPr>
          <w:p w14:paraId="75441D40">
            <w:pPr>
              <w:autoSpaceDN w:val="0"/>
              <w:spacing w:after="0" w:line="360" w:lineRule="exact"/>
              <w:jc w:val="both"/>
              <w:rPr>
                <w:rFonts w:ascii="Calibri" w:hAnsi="Calibri" w:eastAsia="宋体" w:cs="Times New Roman"/>
                <w:sz w:val="21"/>
                <w14:ligatures w14:val="none"/>
              </w:rPr>
            </w:pPr>
            <w:r>
              <w:rPr>
                <w:rFonts w:hint="eastAsia" w:ascii="Times New Roman" w:hAnsi="Calibri" w:eastAsia="仿宋_GB2312" w:cs="Times New Roman"/>
                <w:sz w:val="28"/>
                <w:szCs w:val="28"/>
                <w14:ligatures w14:val="none"/>
              </w:rPr>
              <w:t>主要技术负责人身份证明、任职证明、学历（位）证书、职称证书等原件。</w:t>
            </w:r>
          </w:p>
        </w:tc>
        <w:tc>
          <w:tcPr>
            <w:tcW w:w="1929" w:type="dxa"/>
            <w:tcBorders>
              <w:top w:val="single" w:color="auto" w:sz="4" w:space="0"/>
              <w:left w:val="single" w:color="auto" w:sz="4" w:space="0"/>
              <w:bottom w:val="single" w:color="auto" w:sz="4" w:space="0"/>
              <w:right w:val="single" w:color="auto" w:sz="4" w:space="0"/>
            </w:tcBorders>
            <w:vAlign w:val="center"/>
          </w:tcPr>
          <w:p w14:paraId="512321A7">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vAlign w:val="center"/>
          </w:tcPr>
          <w:p w14:paraId="4BCED1D1">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r>
      <w:tr w14:paraId="52E531D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90" w:hRule="atLeast"/>
          <w:jc w:val="center"/>
        </w:trPr>
        <w:tc>
          <w:tcPr>
            <w:tcW w:w="1071" w:type="dxa"/>
            <w:tcBorders>
              <w:top w:val="single" w:color="auto" w:sz="4" w:space="0"/>
              <w:left w:val="single" w:color="auto" w:sz="4" w:space="0"/>
              <w:bottom w:val="single" w:color="auto" w:sz="4" w:space="0"/>
              <w:right w:val="single" w:color="auto" w:sz="4" w:space="0"/>
            </w:tcBorders>
            <w:vAlign w:val="center"/>
          </w:tcPr>
          <w:p w14:paraId="2FDEEB01">
            <w:pPr>
              <w:autoSpaceDN w:val="0"/>
              <w:spacing w:after="0" w:line="360" w:lineRule="exact"/>
              <w:jc w:val="center"/>
              <w:rPr>
                <w:rFonts w:ascii="Calibri" w:hAnsi="Calibri" w:eastAsia="宋体" w:cs="Times New Roman"/>
                <w:sz w:val="21"/>
                <w14:ligatures w14:val="none"/>
              </w:rPr>
            </w:pPr>
            <w:r>
              <w:rPr>
                <w:rFonts w:ascii="Times New Roman" w:hAnsi="Times New Roman" w:eastAsia="仿宋_GB2312" w:cs="Times New Roman"/>
                <w:sz w:val="28"/>
                <w:szCs w:val="28"/>
                <w14:ligatures w14:val="none"/>
              </w:rPr>
              <w:t>5</w:t>
            </w:r>
          </w:p>
        </w:tc>
        <w:tc>
          <w:tcPr>
            <w:tcW w:w="9110" w:type="dxa"/>
            <w:tcBorders>
              <w:top w:val="single" w:color="auto" w:sz="4" w:space="0"/>
              <w:left w:val="single" w:color="auto" w:sz="4" w:space="0"/>
              <w:bottom w:val="single" w:color="auto" w:sz="4" w:space="0"/>
              <w:right w:val="single" w:color="auto" w:sz="4" w:space="0"/>
            </w:tcBorders>
            <w:vAlign w:val="center"/>
          </w:tcPr>
          <w:p w14:paraId="15EA3F83">
            <w:pPr>
              <w:autoSpaceDN w:val="0"/>
              <w:spacing w:after="0" w:line="360" w:lineRule="exact"/>
              <w:jc w:val="both"/>
              <w:rPr>
                <w:rFonts w:ascii="Calibri" w:hAnsi="Calibri" w:eastAsia="宋体" w:cs="Times New Roman"/>
                <w:sz w:val="21"/>
                <w14:ligatures w14:val="none"/>
              </w:rPr>
            </w:pPr>
            <w:r>
              <w:rPr>
                <w:rFonts w:hint="eastAsia" w:ascii="Times New Roman" w:hAnsi="Calibri" w:eastAsia="仿宋_GB2312" w:cs="Times New Roman"/>
                <w:sz w:val="28"/>
                <w:szCs w:val="28"/>
                <w14:ligatures w14:val="none"/>
              </w:rPr>
              <w:t>专业技术人员学历（位）证书、职称证书、原任职单位离职证明等原件是否与申报材料一致。</w:t>
            </w:r>
          </w:p>
        </w:tc>
        <w:tc>
          <w:tcPr>
            <w:tcW w:w="1929" w:type="dxa"/>
            <w:tcBorders>
              <w:top w:val="single" w:color="auto" w:sz="4" w:space="0"/>
              <w:left w:val="single" w:color="auto" w:sz="4" w:space="0"/>
              <w:bottom w:val="single" w:color="auto" w:sz="4" w:space="0"/>
              <w:right w:val="single" w:color="auto" w:sz="4" w:space="0"/>
            </w:tcBorders>
            <w:vAlign w:val="center"/>
          </w:tcPr>
          <w:p w14:paraId="56933644">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vAlign w:val="center"/>
          </w:tcPr>
          <w:p w14:paraId="6895B8F3">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r>
      <w:tr w14:paraId="1A58CFA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29" w:hRule="atLeast"/>
          <w:jc w:val="center"/>
        </w:trPr>
        <w:tc>
          <w:tcPr>
            <w:tcW w:w="1071" w:type="dxa"/>
            <w:tcBorders>
              <w:top w:val="single" w:color="auto" w:sz="4" w:space="0"/>
              <w:left w:val="single" w:color="auto" w:sz="4" w:space="0"/>
              <w:bottom w:val="single" w:color="auto" w:sz="4" w:space="0"/>
              <w:right w:val="single" w:color="auto" w:sz="4" w:space="0"/>
            </w:tcBorders>
            <w:vAlign w:val="center"/>
          </w:tcPr>
          <w:p w14:paraId="3DB61711">
            <w:pPr>
              <w:autoSpaceDN w:val="0"/>
              <w:spacing w:after="0" w:line="360" w:lineRule="exact"/>
              <w:jc w:val="center"/>
              <w:rPr>
                <w:rFonts w:ascii="Calibri" w:hAnsi="Calibri" w:eastAsia="宋体" w:cs="Times New Roman"/>
                <w:sz w:val="21"/>
                <w14:ligatures w14:val="none"/>
              </w:rPr>
            </w:pPr>
            <w:r>
              <w:rPr>
                <w:rFonts w:ascii="Times New Roman" w:hAnsi="Times New Roman" w:eastAsia="仿宋_GB2312" w:cs="Times New Roman"/>
                <w:sz w:val="28"/>
                <w:szCs w:val="28"/>
                <w14:ligatures w14:val="none"/>
              </w:rPr>
              <w:t>6</w:t>
            </w:r>
          </w:p>
        </w:tc>
        <w:tc>
          <w:tcPr>
            <w:tcW w:w="9110" w:type="dxa"/>
            <w:tcBorders>
              <w:top w:val="single" w:color="auto" w:sz="4" w:space="0"/>
              <w:left w:val="single" w:color="auto" w:sz="4" w:space="0"/>
              <w:bottom w:val="single" w:color="auto" w:sz="4" w:space="0"/>
              <w:right w:val="single" w:color="auto" w:sz="4" w:space="0"/>
            </w:tcBorders>
            <w:vAlign w:val="center"/>
          </w:tcPr>
          <w:p w14:paraId="0D9FBAB9">
            <w:pPr>
              <w:autoSpaceDN w:val="0"/>
              <w:spacing w:after="0" w:line="360" w:lineRule="exact"/>
              <w:jc w:val="both"/>
              <w:rPr>
                <w:rFonts w:ascii="Calibri" w:hAnsi="Calibri" w:eastAsia="宋体" w:cs="Times New Roman"/>
                <w:sz w:val="21"/>
                <w14:ligatures w14:val="none"/>
              </w:rPr>
            </w:pPr>
            <w:r>
              <w:rPr>
                <w:rFonts w:hint="eastAsia" w:ascii="Times New Roman" w:hAnsi="Calibri" w:eastAsia="仿宋_GB2312" w:cs="Times New Roman"/>
                <w:sz w:val="28"/>
                <w:szCs w:val="28"/>
                <w14:ligatures w14:val="none"/>
              </w:rPr>
              <w:t>核验不少于</w:t>
            </w:r>
            <w:r>
              <w:rPr>
                <w:rFonts w:ascii="Times New Roman" w:hAnsi="Times New Roman" w:eastAsia="仿宋_GB2312" w:cs="Times New Roman"/>
                <w:sz w:val="28"/>
                <w:szCs w:val="28"/>
                <w14:ligatures w14:val="none"/>
              </w:rPr>
              <w:t>3</w:t>
            </w:r>
            <w:r>
              <w:rPr>
                <w:rFonts w:hint="eastAsia" w:ascii="Times New Roman" w:hAnsi="Calibri" w:eastAsia="仿宋_GB2312" w:cs="Times New Roman"/>
                <w:sz w:val="28"/>
                <w:szCs w:val="28"/>
                <w14:ligatures w14:val="none"/>
              </w:rPr>
              <w:t>名</w:t>
            </w:r>
            <w:r>
              <w:rPr>
                <w:rFonts w:hint="eastAsia" w:ascii="仿宋_GB2312" w:hAnsi="Calibri" w:eastAsia="仿宋_GB2312" w:cs="仿宋_GB2312"/>
                <w:sz w:val="28"/>
                <w:szCs w:val="28"/>
                <w14:ligatures w14:val="none"/>
              </w:rPr>
              <w:t>注册规划师资格证。</w:t>
            </w:r>
            <w:r>
              <w:rPr>
                <w:rFonts w:hint="eastAsia" w:ascii="楷体_GB2312" w:hAnsi="Calibri" w:eastAsia="楷体_GB2312" w:cs="楷体_GB2312"/>
                <w:sz w:val="28"/>
                <w:szCs w:val="28"/>
                <w14:ligatures w14:val="none"/>
              </w:rPr>
              <w:t>（通过“行业管理系统”—“人员管理”进行查询，仍未查到的，查看证书原件并在此表具体情况</w:t>
            </w:r>
            <w:r>
              <w:rPr>
                <w:rFonts w:hint="eastAsia" w:ascii="楷体_GB2312" w:hAnsi="Calibri" w:eastAsia="楷体_GB2312" w:cs="楷体_GB2312"/>
                <w:color w:val="000000"/>
                <w:sz w:val="28"/>
                <w:szCs w:val="28"/>
                <w14:ligatures w14:val="none"/>
              </w:rPr>
              <w:t>栏</w:t>
            </w:r>
            <w:r>
              <w:rPr>
                <w:rFonts w:hint="eastAsia" w:ascii="楷体_GB2312" w:hAnsi="Calibri" w:eastAsia="楷体_GB2312" w:cs="楷体_GB2312"/>
                <w:sz w:val="28"/>
                <w:szCs w:val="28"/>
                <w14:ligatures w14:val="none"/>
              </w:rPr>
              <w:t>记录）</w:t>
            </w:r>
          </w:p>
        </w:tc>
        <w:tc>
          <w:tcPr>
            <w:tcW w:w="1929" w:type="dxa"/>
            <w:tcBorders>
              <w:top w:val="single" w:color="auto" w:sz="4" w:space="0"/>
              <w:left w:val="single" w:color="auto" w:sz="4" w:space="0"/>
              <w:bottom w:val="single" w:color="auto" w:sz="4" w:space="0"/>
              <w:right w:val="single" w:color="auto" w:sz="4" w:space="0"/>
            </w:tcBorders>
            <w:vAlign w:val="center"/>
          </w:tcPr>
          <w:p w14:paraId="43CB12FD">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vAlign w:val="center"/>
          </w:tcPr>
          <w:p w14:paraId="60A44E32">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r>
      <w:tr w14:paraId="624720E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048" w:hRule="atLeast"/>
          <w:jc w:val="center"/>
        </w:trPr>
        <w:tc>
          <w:tcPr>
            <w:tcW w:w="1071" w:type="dxa"/>
            <w:tcBorders>
              <w:top w:val="single" w:color="auto" w:sz="4" w:space="0"/>
              <w:left w:val="single" w:color="auto" w:sz="4" w:space="0"/>
              <w:bottom w:val="single" w:color="auto" w:sz="4" w:space="0"/>
              <w:right w:val="single" w:color="auto" w:sz="4" w:space="0"/>
            </w:tcBorders>
            <w:vAlign w:val="center"/>
          </w:tcPr>
          <w:p w14:paraId="5C22D3F7">
            <w:pPr>
              <w:autoSpaceDN w:val="0"/>
              <w:spacing w:after="0" w:line="360" w:lineRule="exact"/>
              <w:jc w:val="center"/>
              <w:rPr>
                <w:rFonts w:ascii="Calibri" w:hAnsi="Calibri" w:eastAsia="宋体" w:cs="Times New Roman"/>
                <w:sz w:val="21"/>
                <w14:ligatures w14:val="none"/>
              </w:rPr>
            </w:pPr>
            <w:r>
              <w:rPr>
                <w:rFonts w:ascii="Times New Roman" w:hAnsi="Times New Roman" w:eastAsia="仿宋_GB2312" w:cs="Times New Roman"/>
                <w:sz w:val="28"/>
                <w:szCs w:val="28"/>
                <w14:ligatures w14:val="none"/>
              </w:rPr>
              <w:t>7</w:t>
            </w:r>
          </w:p>
        </w:tc>
        <w:tc>
          <w:tcPr>
            <w:tcW w:w="9110" w:type="dxa"/>
            <w:tcBorders>
              <w:top w:val="single" w:color="auto" w:sz="4" w:space="0"/>
              <w:left w:val="single" w:color="auto" w:sz="4" w:space="0"/>
              <w:bottom w:val="single" w:color="auto" w:sz="4" w:space="0"/>
              <w:right w:val="single" w:color="auto" w:sz="4" w:space="0"/>
            </w:tcBorders>
            <w:vAlign w:val="center"/>
          </w:tcPr>
          <w:p w14:paraId="3F2AA191">
            <w:pPr>
              <w:autoSpaceDN w:val="0"/>
              <w:spacing w:after="0" w:line="360" w:lineRule="exact"/>
              <w:jc w:val="both"/>
              <w:rPr>
                <w:rFonts w:ascii="Calibri" w:hAnsi="Calibri" w:eastAsia="宋体" w:cs="Times New Roman"/>
                <w:sz w:val="21"/>
                <w14:ligatures w14:val="none"/>
              </w:rPr>
            </w:pPr>
            <w:r>
              <w:rPr>
                <w:rFonts w:hint="eastAsia" w:ascii="Times New Roman" w:hAnsi="Calibri" w:eastAsia="仿宋_GB2312" w:cs="Times New Roman"/>
                <w:sz w:val="28"/>
                <w:szCs w:val="28"/>
                <w14:ligatures w14:val="none"/>
              </w:rPr>
              <w:t>核查之日起回溯近</w:t>
            </w:r>
            <w:r>
              <w:rPr>
                <w:rFonts w:ascii="Times New Roman" w:hAnsi="Times New Roman" w:eastAsia="仿宋_GB2312" w:cs="Times New Roman"/>
                <w:sz w:val="28"/>
                <w:szCs w:val="28"/>
                <w14:ligatures w14:val="none"/>
              </w:rPr>
              <w:t>3</w:t>
            </w:r>
            <w:r>
              <w:rPr>
                <w:rFonts w:hint="eastAsia" w:ascii="Times New Roman" w:hAnsi="Calibri" w:eastAsia="仿宋_GB2312" w:cs="Times New Roman"/>
                <w:sz w:val="28"/>
                <w:szCs w:val="28"/>
                <w14:ligatures w14:val="none"/>
              </w:rPr>
              <w:t>个月社保缴纳情况。</w:t>
            </w:r>
            <w:r>
              <w:rPr>
                <w:rFonts w:hint="eastAsia" w:ascii="楷体_GB2312" w:hAnsi="Calibri" w:eastAsia="楷体_GB2312" w:cs="楷体_GB2312"/>
                <w:sz w:val="28"/>
                <w:szCs w:val="28"/>
                <w14:ligatures w14:val="none"/>
              </w:rPr>
              <w:t>（具备网上查询条件的，可</w:t>
            </w:r>
            <w:r>
              <w:rPr>
                <w:rFonts w:hint="eastAsia" w:ascii="楷体_GB2312" w:hAnsi="Calibri" w:eastAsia="楷体_GB2312" w:cs="楷体_GB2312"/>
                <w:color w:val="000000"/>
                <w:sz w:val="28"/>
                <w:szCs w:val="28"/>
                <w14:ligatures w14:val="none"/>
              </w:rPr>
              <w:t>登录</w:t>
            </w:r>
            <w:r>
              <w:rPr>
                <w:rFonts w:hint="eastAsia" w:ascii="楷体_GB2312" w:hAnsi="Calibri" w:eastAsia="楷体_GB2312" w:cs="楷体_GB2312"/>
                <w:sz w:val="28"/>
                <w:szCs w:val="28"/>
                <w14:ligatures w14:val="none"/>
              </w:rPr>
              <w:t>人社部门网站直接查询；不具备网络查询条件的，需提供原件）</w:t>
            </w:r>
          </w:p>
        </w:tc>
        <w:tc>
          <w:tcPr>
            <w:tcW w:w="1929" w:type="dxa"/>
            <w:tcBorders>
              <w:top w:val="single" w:color="auto" w:sz="4" w:space="0"/>
              <w:left w:val="single" w:color="auto" w:sz="4" w:space="0"/>
              <w:bottom w:val="single" w:color="auto" w:sz="4" w:space="0"/>
              <w:right w:val="single" w:color="auto" w:sz="4" w:space="0"/>
            </w:tcBorders>
            <w:vAlign w:val="center"/>
          </w:tcPr>
          <w:p w14:paraId="618514A9">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vAlign w:val="center"/>
          </w:tcPr>
          <w:p w14:paraId="49768131">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r>
      <w:tr w14:paraId="30E70CF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72" w:hRule="atLeast"/>
          <w:jc w:val="center"/>
        </w:trPr>
        <w:tc>
          <w:tcPr>
            <w:tcW w:w="14739" w:type="dxa"/>
            <w:gridSpan w:val="4"/>
            <w:tcBorders>
              <w:top w:val="single" w:color="auto" w:sz="4" w:space="0"/>
              <w:left w:val="single" w:color="auto" w:sz="4" w:space="0"/>
              <w:bottom w:val="single" w:color="auto" w:sz="4" w:space="0"/>
              <w:right w:val="single" w:color="auto" w:sz="4" w:space="0"/>
            </w:tcBorders>
            <w:vAlign w:val="center"/>
          </w:tcPr>
          <w:p w14:paraId="5DC6DBB1">
            <w:pPr>
              <w:autoSpaceDN w:val="0"/>
              <w:spacing w:after="0" w:line="360" w:lineRule="exact"/>
              <w:jc w:val="both"/>
              <w:rPr>
                <w:rFonts w:ascii="Calibri" w:hAnsi="Calibri" w:eastAsia="宋体" w:cs="Times New Roman"/>
                <w:sz w:val="21"/>
                <w14:ligatures w14:val="none"/>
              </w:rPr>
            </w:pPr>
            <w:r>
              <w:rPr>
                <w:rFonts w:hint="eastAsia" w:ascii="Times New Roman" w:hAnsi="黑体" w:eastAsia="黑体" w:cs="Times New Roman"/>
                <w:sz w:val="28"/>
                <w:szCs w:val="28"/>
                <w14:ligatures w14:val="none"/>
              </w:rPr>
              <w:t>三、人证分离核查</w:t>
            </w:r>
          </w:p>
        </w:tc>
      </w:tr>
      <w:tr w14:paraId="7839CE1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57" w:hRule="atLeast"/>
          <w:jc w:val="center"/>
        </w:trPr>
        <w:tc>
          <w:tcPr>
            <w:tcW w:w="1071" w:type="dxa"/>
            <w:tcBorders>
              <w:top w:val="single" w:color="auto" w:sz="4" w:space="0"/>
              <w:left w:val="single" w:color="auto" w:sz="4" w:space="0"/>
              <w:bottom w:val="single" w:color="auto" w:sz="4" w:space="0"/>
              <w:right w:val="single" w:color="auto" w:sz="4" w:space="0"/>
            </w:tcBorders>
            <w:vAlign w:val="center"/>
          </w:tcPr>
          <w:p w14:paraId="2AE91648">
            <w:pPr>
              <w:autoSpaceDN w:val="0"/>
              <w:spacing w:after="0" w:line="360" w:lineRule="exact"/>
              <w:jc w:val="center"/>
              <w:rPr>
                <w:rFonts w:ascii="Calibri" w:hAnsi="Calibri" w:eastAsia="宋体" w:cs="Times New Roman"/>
                <w:sz w:val="21"/>
                <w14:ligatures w14:val="none"/>
              </w:rPr>
            </w:pPr>
            <w:r>
              <w:rPr>
                <w:rFonts w:ascii="Times New Roman" w:hAnsi="Times New Roman" w:eastAsia="仿宋_GB2312" w:cs="Times New Roman"/>
                <w:sz w:val="28"/>
                <w:szCs w:val="28"/>
                <w14:ligatures w14:val="none"/>
              </w:rPr>
              <w:t>8</w:t>
            </w:r>
          </w:p>
        </w:tc>
        <w:tc>
          <w:tcPr>
            <w:tcW w:w="9110" w:type="dxa"/>
            <w:tcBorders>
              <w:top w:val="single" w:color="auto" w:sz="4" w:space="0"/>
              <w:left w:val="single" w:color="auto" w:sz="4" w:space="0"/>
              <w:bottom w:val="single" w:color="auto" w:sz="4" w:space="0"/>
              <w:right w:val="single" w:color="auto" w:sz="4" w:space="0"/>
            </w:tcBorders>
            <w:vAlign w:val="center"/>
          </w:tcPr>
          <w:p w14:paraId="4B08849F">
            <w:pPr>
              <w:autoSpaceDN w:val="0"/>
              <w:spacing w:after="0" w:line="360" w:lineRule="exact"/>
              <w:jc w:val="both"/>
              <w:rPr>
                <w:rFonts w:ascii="Calibri" w:hAnsi="Calibri" w:eastAsia="宋体" w:cs="Times New Roman"/>
                <w:sz w:val="21"/>
                <w14:ligatures w14:val="none"/>
              </w:rPr>
            </w:pPr>
            <w:r>
              <w:rPr>
                <w:rFonts w:hint="eastAsia" w:ascii="Times New Roman" w:hAnsi="Calibri" w:eastAsia="仿宋_GB2312" w:cs="Times New Roman"/>
                <w:sz w:val="28"/>
                <w:szCs w:val="28"/>
                <w14:ligatures w14:val="none"/>
              </w:rPr>
              <w:t>对高级技术职称专业人员等进行重点核查。</w:t>
            </w:r>
          </w:p>
        </w:tc>
        <w:tc>
          <w:tcPr>
            <w:tcW w:w="1929" w:type="dxa"/>
            <w:tcBorders>
              <w:top w:val="single" w:color="auto" w:sz="4" w:space="0"/>
              <w:left w:val="single" w:color="auto" w:sz="4" w:space="0"/>
              <w:bottom w:val="single" w:color="auto" w:sz="4" w:space="0"/>
              <w:right w:val="single" w:color="auto" w:sz="4" w:space="0"/>
            </w:tcBorders>
            <w:vAlign w:val="center"/>
          </w:tcPr>
          <w:p w14:paraId="20D4B802">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vAlign w:val="center"/>
          </w:tcPr>
          <w:p w14:paraId="1BA3DBF4">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r>
      <w:tr w14:paraId="290CBED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72" w:hRule="atLeast"/>
          <w:jc w:val="center"/>
        </w:trPr>
        <w:tc>
          <w:tcPr>
            <w:tcW w:w="14739" w:type="dxa"/>
            <w:gridSpan w:val="4"/>
            <w:tcBorders>
              <w:top w:val="single" w:color="auto" w:sz="4" w:space="0"/>
              <w:left w:val="single" w:color="auto" w:sz="4" w:space="0"/>
              <w:bottom w:val="single" w:color="auto" w:sz="4" w:space="0"/>
              <w:right w:val="single" w:color="auto" w:sz="4" w:space="0"/>
            </w:tcBorders>
            <w:vAlign w:val="center"/>
          </w:tcPr>
          <w:p w14:paraId="5CA4603C">
            <w:pPr>
              <w:autoSpaceDN w:val="0"/>
              <w:spacing w:after="0" w:line="360" w:lineRule="exact"/>
              <w:jc w:val="both"/>
              <w:rPr>
                <w:rFonts w:ascii="Calibri" w:hAnsi="Calibri" w:eastAsia="宋体" w:cs="Times New Roman"/>
                <w:sz w:val="21"/>
                <w14:ligatures w14:val="none"/>
              </w:rPr>
            </w:pPr>
            <w:r>
              <w:rPr>
                <w:rFonts w:hint="eastAsia" w:ascii="Times New Roman" w:hAnsi="黑体" w:eastAsia="黑体" w:cs="Times New Roman"/>
                <w:sz w:val="28"/>
                <w:szCs w:val="28"/>
                <w14:ligatures w14:val="none"/>
              </w:rPr>
              <w:t>四、资质条件具备情况</w:t>
            </w:r>
          </w:p>
        </w:tc>
      </w:tr>
      <w:tr w14:paraId="0F20D05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9" w:hRule="atLeast"/>
          <w:jc w:val="center"/>
        </w:trPr>
        <w:tc>
          <w:tcPr>
            <w:tcW w:w="1071" w:type="dxa"/>
            <w:tcBorders>
              <w:top w:val="single" w:color="auto" w:sz="4" w:space="0"/>
              <w:left w:val="single" w:color="auto" w:sz="4" w:space="0"/>
              <w:bottom w:val="single" w:color="auto" w:sz="4" w:space="0"/>
              <w:right w:val="single" w:color="auto" w:sz="4" w:space="0"/>
            </w:tcBorders>
            <w:vAlign w:val="center"/>
          </w:tcPr>
          <w:p w14:paraId="6901AD78">
            <w:pPr>
              <w:autoSpaceDN w:val="0"/>
              <w:spacing w:after="0" w:line="360" w:lineRule="exact"/>
              <w:jc w:val="center"/>
              <w:rPr>
                <w:rFonts w:ascii="Calibri" w:hAnsi="Calibri" w:eastAsia="宋体" w:cs="Times New Roman"/>
                <w:sz w:val="21"/>
                <w14:ligatures w14:val="none"/>
              </w:rPr>
            </w:pPr>
            <w:r>
              <w:rPr>
                <w:rFonts w:ascii="Times New Roman" w:hAnsi="Times New Roman" w:eastAsia="仿宋_GB2312" w:cs="Times New Roman"/>
                <w:sz w:val="28"/>
                <w:szCs w:val="28"/>
                <w14:ligatures w14:val="none"/>
              </w:rPr>
              <w:t>9</w:t>
            </w:r>
          </w:p>
        </w:tc>
        <w:tc>
          <w:tcPr>
            <w:tcW w:w="9110" w:type="dxa"/>
            <w:tcBorders>
              <w:top w:val="single" w:color="auto" w:sz="4" w:space="0"/>
              <w:left w:val="single" w:color="auto" w:sz="4" w:space="0"/>
              <w:bottom w:val="single" w:color="auto" w:sz="4" w:space="0"/>
              <w:right w:val="single" w:color="auto" w:sz="4" w:space="0"/>
            </w:tcBorders>
            <w:vAlign w:val="center"/>
          </w:tcPr>
          <w:p w14:paraId="0068C85D">
            <w:pPr>
              <w:autoSpaceDN w:val="0"/>
              <w:spacing w:after="0" w:line="360" w:lineRule="exact"/>
              <w:jc w:val="both"/>
              <w:rPr>
                <w:rFonts w:ascii="Calibri" w:hAnsi="Calibri" w:eastAsia="宋体" w:cs="Times New Roman"/>
                <w:sz w:val="21"/>
                <w14:ligatures w14:val="none"/>
              </w:rPr>
            </w:pPr>
            <w:r>
              <w:rPr>
                <w:rFonts w:hint="eastAsia" w:ascii="Times New Roman" w:hAnsi="Calibri" w:eastAsia="仿宋_GB2312" w:cs="Times New Roman"/>
                <w:sz w:val="28"/>
                <w:szCs w:val="28"/>
                <w14:ligatures w14:val="none"/>
              </w:rPr>
              <w:t>是否存在取得资质后，不再符合相应资质条件情况。</w:t>
            </w:r>
            <w:r>
              <w:rPr>
                <w:rFonts w:hint="eastAsia" w:ascii="方正楷体简体" w:hAnsi="Calibri" w:eastAsia="方正楷体简体" w:cs="Times New Roman"/>
                <w:sz w:val="28"/>
                <w:szCs w:val="28"/>
                <w14:ligatures w14:val="none"/>
              </w:rPr>
              <w:t>（如有，请列举）</w:t>
            </w:r>
          </w:p>
        </w:tc>
        <w:tc>
          <w:tcPr>
            <w:tcW w:w="1929" w:type="dxa"/>
            <w:tcBorders>
              <w:top w:val="single" w:color="auto" w:sz="4" w:space="0"/>
              <w:left w:val="single" w:color="auto" w:sz="4" w:space="0"/>
              <w:bottom w:val="single" w:color="auto" w:sz="4" w:space="0"/>
              <w:right w:val="single" w:color="auto" w:sz="4" w:space="0"/>
            </w:tcBorders>
            <w:vAlign w:val="center"/>
          </w:tcPr>
          <w:p w14:paraId="4EDB3D40">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tcPr>
          <w:p w14:paraId="4BC99332">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r>
      <w:tr w14:paraId="6BD6CE6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72" w:hRule="atLeast"/>
          <w:jc w:val="center"/>
        </w:trPr>
        <w:tc>
          <w:tcPr>
            <w:tcW w:w="14739" w:type="dxa"/>
            <w:gridSpan w:val="4"/>
            <w:tcBorders>
              <w:top w:val="single" w:color="auto" w:sz="4" w:space="0"/>
              <w:left w:val="single" w:color="auto" w:sz="4" w:space="0"/>
              <w:bottom w:val="single" w:color="auto" w:sz="4" w:space="0"/>
              <w:right w:val="single" w:color="auto" w:sz="4" w:space="0"/>
            </w:tcBorders>
            <w:vAlign w:val="center"/>
          </w:tcPr>
          <w:p w14:paraId="78E45D28">
            <w:pPr>
              <w:autoSpaceDN w:val="0"/>
              <w:spacing w:after="0" w:line="360" w:lineRule="exact"/>
              <w:jc w:val="both"/>
              <w:rPr>
                <w:rFonts w:ascii="Calibri" w:hAnsi="Calibri" w:eastAsia="宋体" w:cs="Times New Roman"/>
                <w:sz w:val="21"/>
                <w14:ligatures w14:val="none"/>
              </w:rPr>
            </w:pPr>
            <w:r>
              <w:rPr>
                <w:rFonts w:hint="eastAsia" w:ascii="Times New Roman" w:hAnsi="黑体" w:eastAsia="黑体" w:cs="Times New Roman"/>
                <w:sz w:val="28"/>
                <w:szCs w:val="28"/>
                <w14:ligatures w14:val="none"/>
              </w:rPr>
              <w:t>五、其他情况</w:t>
            </w:r>
          </w:p>
        </w:tc>
      </w:tr>
      <w:tr w14:paraId="1A8280E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892" w:hRule="atLeast"/>
          <w:jc w:val="center"/>
        </w:trPr>
        <w:tc>
          <w:tcPr>
            <w:tcW w:w="1071" w:type="dxa"/>
            <w:vMerge w:val="restart"/>
            <w:tcBorders>
              <w:top w:val="single" w:color="auto" w:sz="4" w:space="0"/>
              <w:left w:val="single" w:color="auto" w:sz="4" w:space="0"/>
              <w:bottom w:val="single" w:color="auto" w:sz="4" w:space="0"/>
              <w:right w:val="single" w:color="auto" w:sz="4" w:space="0"/>
            </w:tcBorders>
            <w:vAlign w:val="center"/>
          </w:tcPr>
          <w:p w14:paraId="2AB91D76">
            <w:pPr>
              <w:autoSpaceDN w:val="0"/>
              <w:spacing w:after="0" w:line="360" w:lineRule="exact"/>
              <w:jc w:val="center"/>
              <w:rPr>
                <w:rFonts w:ascii="Calibri" w:hAnsi="Calibri" w:eastAsia="宋体" w:cs="Times New Roman"/>
                <w:sz w:val="21"/>
                <w14:ligatures w14:val="none"/>
              </w:rPr>
            </w:pPr>
            <w:r>
              <w:rPr>
                <w:rFonts w:ascii="Times New Roman" w:hAnsi="Times New Roman" w:eastAsia="仿宋_GB2312" w:cs="Times New Roman"/>
                <w:sz w:val="28"/>
                <w:szCs w:val="28"/>
                <w14:ligatures w14:val="none"/>
              </w:rPr>
              <w:t>10</w:t>
            </w:r>
          </w:p>
        </w:tc>
        <w:tc>
          <w:tcPr>
            <w:tcW w:w="9110" w:type="dxa"/>
            <w:tcBorders>
              <w:top w:val="single" w:color="auto" w:sz="4" w:space="0"/>
              <w:left w:val="single" w:color="auto" w:sz="4" w:space="0"/>
              <w:bottom w:val="single" w:color="auto" w:sz="4" w:space="0"/>
              <w:right w:val="single" w:color="auto" w:sz="4" w:space="0"/>
            </w:tcBorders>
            <w:vAlign w:val="center"/>
          </w:tcPr>
          <w:p w14:paraId="1AABFBD4">
            <w:pPr>
              <w:autoSpaceDN w:val="0"/>
              <w:spacing w:after="0" w:line="360" w:lineRule="exact"/>
              <w:jc w:val="both"/>
              <w:rPr>
                <w:rFonts w:ascii="Calibri" w:hAnsi="Calibri" w:eastAsia="宋体" w:cs="Times New Roman"/>
                <w:sz w:val="21"/>
                <w14:ligatures w14:val="none"/>
              </w:rPr>
            </w:pPr>
            <w:r>
              <w:rPr>
                <w:rFonts w:hint="eastAsia" w:ascii="Times New Roman" w:hAnsi="Calibri" w:eastAsia="仿宋_GB2312" w:cs="Times New Roman"/>
                <w:sz w:val="28"/>
                <w:szCs w:val="28"/>
                <w14:ligatures w14:val="none"/>
              </w:rPr>
              <w:t>是否存在规划编制单位发生分立、重组、合并变更，未重新申请核定资质情况。</w:t>
            </w:r>
          </w:p>
        </w:tc>
        <w:tc>
          <w:tcPr>
            <w:tcW w:w="1929" w:type="dxa"/>
            <w:tcBorders>
              <w:top w:val="single" w:color="auto" w:sz="4" w:space="0"/>
              <w:left w:val="single" w:color="auto" w:sz="4" w:space="0"/>
              <w:bottom w:val="single" w:color="auto" w:sz="4" w:space="0"/>
              <w:right w:val="single" w:color="auto" w:sz="4" w:space="0"/>
            </w:tcBorders>
          </w:tcPr>
          <w:p w14:paraId="52E8C430">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tcPr>
          <w:p w14:paraId="46BB4CEA">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r>
      <w:tr w14:paraId="2C29824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34" w:hRule="atLeast"/>
          <w:jc w:val="center"/>
        </w:trPr>
        <w:tc>
          <w:tcPr>
            <w:tcW w:w="14739" w:type="dxa"/>
            <w:vMerge w:val="continue"/>
            <w:tcBorders>
              <w:top w:val="single" w:color="auto" w:sz="4" w:space="0"/>
              <w:left w:val="single" w:color="auto" w:sz="4" w:space="0"/>
              <w:bottom w:val="single" w:color="auto" w:sz="4" w:space="0"/>
              <w:right w:val="single" w:color="auto" w:sz="4" w:space="0"/>
            </w:tcBorders>
            <w:vAlign w:val="center"/>
          </w:tcPr>
          <w:p w14:paraId="1B98EEB9">
            <w:pPr>
              <w:widowControl/>
              <w:spacing w:after="0" w:line="240" w:lineRule="auto"/>
              <w:rPr>
                <w:rFonts w:ascii="Calibri" w:hAnsi="Calibri" w:eastAsia="宋体" w:cs="Times New Roman"/>
                <w:sz w:val="21"/>
                <w14:ligatures w14:val="none"/>
              </w:rPr>
            </w:pPr>
          </w:p>
        </w:tc>
        <w:tc>
          <w:tcPr>
            <w:tcW w:w="9110" w:type="dxa"/>
            <w:tcBorders>
              <w:top w:val="single" w:color="auto" w:sz="4" w:space="0"/>
              <w:left w:val="single" w:color="auto" w:sz="4" w:space="0"/>
              <w:bottom w:val="single" w:color="auto" w:sz="4" w:space="0"/>
              <w:right w:val="single" w:color="auto" w:sz="4" w:space="0"/>
            </w:tcBorders>
            <w:vAlign w:val="center"/>
          </w:tcPr>
          <w:p w14:paraId="550AF4E4">
            <w:pPr>
              <w:autoSpaceDN w:val="0"/>
              <w:spacing w:after="0" w:line="360" w:lineRule="exact"/>
              <w:jc w:val="both"/>
              <w:rPr>
                <w:rFonts w:ascii="Calibri" w:hAnsi="Calibri" w:eastAsia="宋体" w:cs="Times New Roman"/>
                <w:sz w:val="21"/>
                <w14:ligatures w14:val="none"/>
              </w:rPr>
            </w:pPr>
            <w:r>
              <w:rPr>
                <w:rFonts w:hint="eastAsia" w:ascii="Times New Roman" w:hAnsi="Calibri" w:eastAsia="仿宋_GB2312" w:cs="Times New Roman"/>
                <w:sz w:val="28"/>
                <w:szCs w:val="28"/>
                <w14:ligatures w14:val="none"/>
              </w:rPr>
              <w:t>是否存在资质证书有效期内，单位名称、地址、法定代表人等资质证书信息发生变更而未及时申请变更情况。</w:t>
            </w:r>
          </w:p>
        </w:tc>
        <w:tc>
          <w:tcPr>
            <w:tcW w:w="1929" w:type="dxa"/>
            <w:tcBorders>
              <w:top w:val="single" w:color="auto" w:sz="4" w:space="0"/>
              <w:left w:val="single" w:color="auto" w:sz="4" w:space="0"/>
              <w:bottom w:val="single" w:color="auto" w:sz="4" w:space="0"/>
              <w:right w:val="single" w:color="auto" w:sz="4" w:space="0"/>
            </w:tcBorders>
          </w:tcPr>
          <w:p w14:paraId="2061A5D2">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tcPr>
          <w:p w14:paraId="5D233EB5">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r>
      <w:tr w14:paraId="392C1D5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12" w:hRule="atLeast"/>
          <w:jc w:val="center"/>
        </w:trPr>
        <w:tc>
          <w:tcPr>
            <w:tcW w:w="14739" w:type="dxa"/>
            <w:vMerge w:val="continue"/>
            <w:tcBorders>
              <w:top w:val="single" w:color="auto" w:sz="4" w:space="0"/>
              <w:left w:val="single" w:color="auto" w:sz="4" w:space="0"/>
              <w:bottom w:val="single" w:color="auto" w:sz="4" w:space="0"/>
              <w:right w:val="single" w:color="auto" w:sz="4" w:space="0"/>
            </w:tcBorders>
            <w:vAlign w:val="center"/>
          </w:tcPr>
          <w:p w14:paraId="4F78373C">
            <w:pPr>
              <w:widowControl/>
              <w:spacing w:after="0" w:line="240" w:lineRule="auto"/>
              <w:rPr>
                <w:rFonts w:ascii="Calibri" w:hAnsi="Calibri" w:eastAsia="宋体" w:cs="Times New Roman"/>
                <w:sz w:val="21"/>
                <w14:ligatures w14:val="none"/>
              </w:rPr>
            </w:pPr>
          </w:p>
        </w:tc>
        <w:tc>
          <w:tcPr>
            <w:tcW w:w="9110" w:type="dxa"/>
            <w:tcBorders>
              <w:top w:val="single" w:color="auto" w:sz="4" w:space="0"/>
              <w:left w:val="single" w:color="auto" w:sz="4" w:space="0"/>
              <w:bottom w:val="single" w:color="auto" w:sz="4" w:space="0"/>
              <w:right w:val="single" w:color="auto" w:sz="4" w:space="0"/>
            </w:tcBorders>
            <w:vAlign w:val="center"/>
          </w:tcPr>
          <w:p w14:paraId="51EBD748">
            <w:pPr>
              <w:autoSpaceDN w:val="0"/>
              <w:spacing w:after="0" w:line="360" w:lineRule="exact"/>
              <w:jc w:val="both"/>
              <w:rPr>
                <w:rFonts w:ascii="Calibri" w:hAnsi="Calibri" w:eastAsia="宋体" w:cs="Times New Roman"/>
                <w:sz w:val="21"/>
                <w14:ligatures w14:val="none"/>
              </w:rPr>
            </w:pPr>
            <w:r>
              <w:rPr>
                <w:rFonts w:hint="eastAsia" w:ascii="Times New Roman" w:hAnsi="Calibri" w:eastAsia="仿宋_GB2312" w:cs="Times New Roman"/>
                <w:sz w:val="28"/>
                <w:szCs w:val="28"/>
                <w14:ligatures w14:val="none"/>
              </w:rPr>
              <w:t>是否有涂改、倒卖、出租、出借或者以其他形式非法转让资质证书情况。</w:t>
            </w:r>
          </w:p>
        </w:tc>
        <w:tc>
          <w:tcPr>
            <w:tcW w:w="1929" w:type="dxa"/>
            <w:tcBorders>
              <w:top w:val="single" w:color="auto" w:sz="4" w:space="0"/>
              <w:left w:val="single" w:color="auto" w:sz="4" w:space="0"/>
              <w:bottom w:val="single" w:color="auto" w:sz="4" w:space="0"/>
              <w:right w:val="single" w:color="auto" w:sz="4" w:space="0"/>
            </w:tcBorders>
          </w:tcPr>
          <w:p w14:paraId="5FAEC0DE">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tcPr>
          <w:p w14:paraId="4E29EB13">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r>
      <w:tr w14:paraId="4B414C4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88" w:hRule="atLeast"/>
          <w:jc w:val="center"/>
        </w:trPr>
        <w:tc>
          <w:tcPr>
            <w:tcW w:w="14739" w:type="dxa"/>
            <w:vMerge w:val="continue"/>
            <w:tcBorders>
              <w:top w:val="single" w:color="auto" w:sz="4" w:space="0"/>
              <w:left w:val="single" w:color="auto" w:sz="4" w:space="0"/>
              <w:bottom w:val="single" w:color="auto" w:sz="4" w:space="0"/>
              <w:right w:val="single" w:color="auto" w:sz="4" w:space="0"/>
            </w:tcBorders>
            <w:vAlign w:val="center"/>
          </w:tcPr>
          <w:p w14:paraId="6C6F03A6">
            <w:pPr>
              <w:widowControl/>
              <w:spacing w:after="0" w:line="240" w:lineRule="auto"/>
              <w:rPr>
                <w:rFonts w:ascii="Calibri" w:hAnsi="Calibri" w:eastAsia="宋体" w:cs="Times New Roman"/>
                <w:sz w:val="21"/>
                <w14:ligatures w14:val="none"/>
              </w:rPr>
            </w:pPr>
          </w:p>
        </w:tc>
        <w:tc>
          <w:tcPr>
            <w:tcW w:w="9110" w:type="dxa"/>
            <w:tcBorders>
              <w:top w:val="single" w:color="auto" w:sz="4" w:space="0"/>
              <w:left w:val="single" w:color="auto" w:sz="4" w:space="0"/>
              <w:bottom w:val="single" w:color="auto" w:sz="4" w:space="0"/>
              <w:right w:val="single" w:color="auto" w:sz="4" w:space="0"/>
            </w:tcBorders>
            <w:vAlign w:val="center"/>
          </w:tcPr>
          <w:p w14:paraId="79EBDE1A">
            <w:pPr>
              <w:autoSpaceDN w:val="0"/>
              <w:spacing w:after="0" w:line="360" w:lineRule="exact"/>
              <w:jc w:val="both"/>
              <w:rPr>
                <w:rFonts w:ascii="Calibri" w:hAnsi="Calibri" w:eastAsia="宋体" w:cs="Times New Roman"/>
                <w:sz w:val="21"/>
                <w14:ligatures w14:val="none"/>
              </w:rPr>
            </w:pPr>
            <w:r>
              <w:rPr>
                <w:rFonts w:hint="eastAsia" w:ascii="Times New Roman" w:hAnsi="Calibri" w:eastAsia="仿宋_GB2312" w:cs="Times New Roman"/>
                <w:sz w:val="28"/>
                <w:szCs w:val="28"/>
                <w14:ligatures w14:val="none"/>
              </w:rPr>
              <w:t>是否发现未落实安全生产主体责任情况。</w:t>
            </w:r>
          </w:p>
        </w:tc>
        <w:tc>
          <w:tcPr>
            <w:tcW w:w="1929" w:type="dxa"/>
            <w:tcBorders>
              <w:top w:val="single" w:color="auto" w:sz="4" w:space="0"/>
              <w:left w:val="single" w:color="auto" w:sz="4" w:space="0"/>
              <w:bottom w:val="single" w:color="auto" w:sz="4" w:space="0"/>
              <w:right w:val="single" w:color="auto" w:sz="4" w:space="0"/>
            </w:tcBorders>
          </w:tcPr>
          <w:p w14:paraId="68B493BD">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tcPr>
          <w:p w14:paraId="7294A315">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r>
      <w:tr w14:paraId="43CB3E9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14" w:hRule="atLeast"/>
          <w:jc w:val="center"/>
        </w:trPr>
        <w:tc>
          <w:tcPr>
            <w:tcW w:w="14739" w:type="dxa"/>
            <w:vMerge w:val="continue"/>
            <w:tcBorders>
              <w:top w:val="single" w:color="auto" w:sz="4" w:space="0"/>
              <w:left w:val="single" w:color="auto" w:sz="4" w:space="0"/>
              <w:bottom w:val="single" w:color="auto" w:sz="4" w:space="0"/>
              <w:right w:val="single" w:color="auto" w:sz="4" w:space="0"/>
            </w:tcBorders>
            <w:vAlign w:val="center"/>
          </w:tcPr>
          <w:p w14:paraId="2317E5C9">
            <w:pPr>
              <w:widowControl/>
              <w:spacing w:after="0" w:line="240" w:lineRule="auto"/>
              <w:rPr>
                <w:rFonts w:ascii="Calibri" w:hAnsi="Calibri" w:eastAsia="宋体" w:cs="Times New Roman"/>
                <w:sz w:val="21"/>
                <w14:ligatures w14:val="none"/>
              </w:rPr>
            </w:pPr>
          </w:p>
        </w:tc>
        <w:tc>
          <w:tcPr>
            <w:tcW w:w="9110" w:type="dxa"/>
            <w:tcBorders>
              <w:top w:val="single" w:color="auto" w:sz="4" w:space="0"/>
              <w:left w:val="single" w:color="auto" w:sz="4" w:space="0"/>
              <w:bottom w:val="single" w:color="auto" w:sz="4" w:space="0"/>
              <w:right w:val="single" w:color="auto" w:sz="4" w:space="0"/>
            </w:tcBorders>
            <w:vAlign w:val="center"/>
          </w:tcPr>
          <w:p w14:paraId="66D70704">
            <w:pPr>
              <w:autoSpaceDN w:val="0"/>
              <w:spacing w:after="0" w:line="360" w:lineRule="exact"/>
              <w:jc w:val="both"/>
              <w:rPr>
                <w:rFonts w:ascii="Calibri" w:hAnsi="Calibri" w:eastAsia="宋体" w:cs="Times New Roman"/>
                <w:sz w:val="21"/>
                <w14:ligatures w14:val="none"/>
              </w:rPr>
            </w:pPr>
            <w:r>
              <w:rPr>
                <w:rFonts w:hint="eastAsia" w:ascii="Times New Roman" w:hAnsi="Calibri" w:eastAsia="仿宋_GB2312" w:cs="Times New Roman"/>
                <w:sz w:val="28"/>
                <w:szCs w:val="28"/>
                <w14:ligatures w14:val="none"/>
              </w:rPr>
              <w:t>是否发现失、泄密安全隐患。</w:t>
            </w:r>
          </w:p>
        </w:tc>
        <w:tc>
          <w:tcPr>
            <w:tcW w:w="1929" w:type="dxa"/>
            <w:tcBorders>
              <w:top w:val="single" w:color="auto" w:sz="4" w:space="0"/>
              <w:left w:val="single" w:color="auto" w:sz="4" w:space="0"/>
              <w:bottom w:val="single" w:color="auto" w:sz="4" w:space="0"/>
              <w:right w:val="single" w:color="auto" w:sz="4" w:space="0"/>
            </w:tcBorders>
          </w:tcPr>
          <w:p w14:paraId="62350ABA">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tcPr>
          <w:p w14:paraId="27E97F74">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r>
      <w:tr w14:paraId="176C4FC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19" w:hRule="atLeast"/>
          <w:jc w:val="center"/>
        </w:trPr>
        <w:tc>
          <w:tcPr>
            <w:tcW w:w="14739" w:type="dxa"/>
            <w:vMerge w:val="continue"/>
            <w:tcBorders>
              <w:top w:val="single" w:color="auto" w:sz="4" w:space="0"/>
              <w:left w:val="single" w:color="auto" w:sz="4" w:space="0"/>
              <w:bottom w:val="single" w:color="auto" w:sz="4" w:space="0"/>
              <w:right w:val="single" w:color="auto" w:sz="4" w:space="0"/>
            </w:tcBorders>
            <w:vAlign w:val="center"/>
          </w:tcPr>
          <w:p w14:paraId="672DCCB9">
            <w:pPr>
              <w:widowControl/>
              <w:spacing w:after="0" w:line="240" w:lineRule="auto"/>
              <w:rPr>
                <w:rFonts w:ascii="Calibri" w:hAnsi="Calibri" w:eastAsia="宋体" w:cs="Times New Roman"/>
                <w:sz w:val="21"/>
                <w14:ligatures w14:val="none"/>
              </w:rPr>
            </w:pPr>
          </w:p>
        </w:tc>
        <w:tc>
          <w:tcPr>
            <w:tcW w:w="9110" w:type="dxa"/>
            <w:tcBorders>
              <w:top w:val="single" w:color="auto" w:sz="4" w:space="0"/>
              <w:left w:val="single" w:color="auto" w:sz="4" w:space="0"/>
              <w:bottom w:val="single" w:color="auto" w:sz="4" w:space="0"/>
              <w:right w:val="single" w:color="auto" w:sz="4" w:space="0"/>
            </w:tcBorders>
            <w:vAlign w:val="center"/>
          </w:tcPr>
          <w:p w14:paraId="6313BE2E">
            <w:pPr>
              <w:autoSpaceDN w:val="0"/>
              <w:spacing w:after="0" w:line="360" w:lineRule="exact"/>
              <w:jc w:val="both"/>
              <w:rPr>
                <w:rFonts w:ascii="Calibri" w:hAnsi="Calibri" w:eastAsia="宋体" w:cs="Times New Roman"/>
                <w:sz w:val="21"/>
                <w14:ligatures w14:val="none"/>
              </w:rPr>
            </w:pPr>
            <w:r>
              <w:rPr>
                <w:rFonts w:hint="eastAsia" w:ascii="Times New Roman" w:hAnsi="Calibri" w:eastAsia="仿宋_GB2312" w:cs="Times New Roman"/>
                <w:sz w:val="28"/>
                <w:szCs w:val="28"/>
                <w14:ligatures w14:val="none"/>
              </w:rPr>
              <w:t>是否发现规划编制质量及其他违法违规问题。</w:t>
            </w:r>
          </w:p>
        </w:tc>
        <w:tc>
          <w:tcPr>
            <w:tcW w:w="1929" w:type="dxa"/>
            <w:tcBorders>
              <w:top w:val="single" w:color="auto" w:sz="4" w:space="0"/>
              <w:left w:val="single" w:color="auto" w:sz="4" w:space="0"/>
              <w:bottom w:val="single" w:color="auto" w:sz="4" w:space="0"/>
              <w:right w:val="single" w:color="auto" w:sz="4" w:space="0"/>
            </w:tcBorders>
          </w:tcPr>
          <w:p w14:paraId="0773D6E9">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tcPr>
          <w:p w14:paraId="02086737">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r>
      <w:tr w14:paraId="561B7C7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27" w:hRule="atLeast"/>
          <w:jc w:val="center"/>
        </w:trPr>
        <w:tc>
          <w:tcPr>
            <w:tcW w:w="14739" w:type="dxa"/>
            <w:vMerge w:val="continue"/>
            <w:tcBorders>
              <w:top w:val="single" w:color="auto" w:sz="4" w:space="0"/>
              <w:left w:val="single" w:color="auto" w:sz="4" w:space="0"/>
              <w:bottom w:val="single" w:color="auto" w:sz="4" w:space="0"/>
              <w:right w:val="single" w:color="auto" w:sz="4" w:space="0"/>
            </w:tcBorders>
            <w:vAlign w:val="center"/>
          </w:tcPr>
          <w:p w14:paraId="313DFC09">
            <w:pPr>
              <w:widowControl/>
              <w:spacing w:after="0" w:line="240" w:lineRule="auto"/>
              <w:rPr>
                <w:rFonts w:ascii="Calibri" w:hAnsi="Calibri" w:eastAsia="宋体" w:cs="Times New Roman"/>
                <w:sz w:val="21"/>
                <w14:ligatures w14:val="none"/>
              </w:rPr>
            </w:pPr>
          </w:p>
        </w:tc>
        <w:tc>
          <w:tcPr>
            <w:tcW w:w="9110" w:type="dxa"/>
            <w:tcBorders>
              <w:top w:val="single" w:color="auto" w:sz="4" w:space="0"/>
              <w:left w:val="single" w:color="auto" w:sz="4" w:space="0"/>
              <w:bottom w:val="single" w:color="auto" w:sz="4" w:space="0"/>
              <w:right w:val="single" w:color="auto" w:sz="4" w:space="0"/>
            </w:tcBorders>
            <w:vAlign w:val="center"/>
          </w:tcPr>
          <w:p w14:paraId="31FAB538">
            <w:pPr>
              <w:autoSpaceDN w:val="0"/>
              <w:spacing w:after="0" w:line="360" w:lineRule="exact"/>
              <w:jc w:val="both"/>
              <w:rPr>
                <w:rFonts w:ascii="Calibri" w:hAnsi="Calibri" w:eastAsia="宋体" w:cs="Times New Roman"/>
                <w:sz w:val="21"/>
                <w14:ligatures w14:val="none"/>
              </w:rPr>
            </w:pPr>
            <w:r>
              <w:rPr>
                <w:rFonts w:hint="eastAsia" w:ascii="Times New Roman" w:hAnsi="Calibri" w:eastAsia="仿宋_GB2312" w:cs="Times New Roman"/>
                <w:sz w:val="28"/>
                <w:szCs w:val="28"/>
                <w14:ligatures w14:val="none"/>
              </w:rPr>
              <w:t>其他重大情况（如有，请记录）。</w:t>
            </w:r>
          </w:p>
        </w:tc>
        <w:tc>
          <w:tcPr>
            <w:tcW w:w="1929" w:type="dxa"/>
            <w:tcBorders>
              <w:top w:val="single" w:color="auto" w:sz="4" w:space="0"/>
              <w:left w:val="single" w:color="auto" w:sz="4" w:space="0"/>
              <w:bottom w:val="single" w:color="auto" w:sz="4" w:space="0"/>
              <w:right w:val="single" w:color="auto" w:sz="4" w:space="0"/>
            </w:tcBorders>
          </w:tcPr>
          <w:p w14:paraId="7A06F7E9">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tcPr>
          <w:p w14:paraId="7861AC4A">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r>
    </w:tbl>
    <w:p w14:paraId="77826BCB">
      <w:pPr>
        <w:autoSpaceDN w:val="0"/>
        <w:spacing w:after="0" w:line="240" w:lineRule="auto"/>
        <w:rPr>
          <w:rFonts w:ascii="Times New Roman" w:hAnsi="Times New Roman" w:eastAsia="仿宋_GB2312" w:cs="Times New Roman"/>
          <w:sz w:val="32"/>
          <w:szCs w:val="32"/>
          <w14:ligatures w14:val="none"/>
        </w:rPr>
      </w:pPr>
      <w:r>
        <w:rPr>
          <w:rFonts w:hint="eastAsia" w:ascii="楷体_GB2312" w:hAnsi="Calibri" w:eastAsia="楷体_GB2312" w:cs="楷体_GB2312"/>
          <w:sz w:val="30"/>
          <w:szCs w:val="30"/>
          <w14:ligatures w14:val="none"/>
        </w:rPr>
        <w:t>规划编制单位负责人签字：          核查人签字（至少两人）：            核查日期：  年   月  日</w:t>
      </w:r>
      <w:bookmarkEnd w:id="0"/>
    </w:p>
    <w:p w14:paraId="6EAB9F08">
      <w:pPr>
        <w:spacing w:after="0" w:line="560" w:lineRule="exact"/>
        <w:rPr>
          <w:rFonts w:hint="eastAsia" w:ascii="仿宋_GB2312" w:eastAsia="仿宋_GB2312"/>
          <w:sz w:val="32"/>
          <w:szCs w:val="32"/>
        </w:rPr>
        <w:sectPr>
          <w:footerReference r:id="rId11" w:type="default"/>
          <w:pgSz w:w="16838" w:h="11906" w:orient="landscape"/>
          <w:pgMar w:top="1588" w:right="1474" w:bottom="1474" w:left="1474" w:header="851" w:footer="992" w:gutter="0"/>
          <w:cols w:space="425" w:num="1"/>
          <w:docGrid w:type="lines" w:linePitch="312" w:charSpace="0"/>
        </w:sectPr>
      </w:pPr>
    </w:p>
    <w:p w14:paraId="045B244C">
      <w:pPr>
        <w:spacing w:after="0" w:line="560" w:lineRule="exact"/>
        <w:ind w:firstLine="640" w:firstLineChars="200"/>
        <w:jc w:val="both"/>
        <w:rPr>
          <w:rFonts w:hint="eastAsia" w:ascii="黑体" w:hAnsi="黑体" w:eastAsia="黑体"/>
          <w:sz w:val="32"/>
          <w:szCs w:val="32"/>
        </w:rPr>
      </w:pPr>
      <w:r>
        <w:rPr>
          <w:rFonts w:hint="eastAsia" w:ascii="黑体" w:hAnsi="黑体" w:eastAsia="黑体"/>
          <w:sz w:val="32"/>
          <w:szCs w:val="32"/>
        </w:rPr>
        <w:t>三、对采矿权人履行矿山地质环境保护与土地复垦义务情况的行政检查</w:t>
      </w:r>
    </w:p>
    <w:p w14:paraId="5D2A6BDB">
      <w:pPr>
        <w:spacing w:after="0" w:line="560" w:lineRule="exact"/>
        <w:ind w:firstLine="640" w:firstLineChars="200"/>
        <w:jc w:val="both"/>
        <w:rPr>
          <w:rFonts w:hint="eastAsia" w:ascii="仿宋_GB2312" w:eastAsia="仿宋_GB2312"/>
          <w:sz w:val="32"/>
          <w:szCs w:val="32"/>
        </w:rPr>
      </w:pPr>
      <w:r>
        <w:rPr>
          <w:rFonts w:hint="eastAsia" w:ascii="楷体_GB2312" w:eastAsia="楷体_GB2312"/>
          <w:sz w:val="32"/>
          <w:szCs w:val="32"/>
        </w:rPr>
        <w:t>（一）方案编报与备案情况。</w:t>
      </w:r>
      <w:r>
        <w:rPr>
          <w:rFonts w:hint="eastAsia" w:ascii="仿宋_GB2312" w:eastAsia="仿宋_GB2312"/>
          <w:sz w:val="32"/>
          <w:szCs w:val="32"/>
        </w:rPr>
        <w:t>采矿权人是否按规定编制方案，方案是否已通过具有相应权限的自然资源主管部门审查，方案是否在适用期内，采矿权人是否按要求报矿山所在地县级自然资源主管部门备案。</w:t>
      </w:r>
    </w:p>
    <w:p w14:paraId="3F78A8D2">
      <w:pPr>
        <w:spacing w:after="0" w:line="560" w:lineRule="exact"/>
        <w:ind w:firstLine="640" w:firstLineChars="200"/>
        <w:jc w:val="both"/>
        <w:rPr>
          <w:rFonts w:hint="eastAsia" w:ascii="仿宋_GB2312" w:eastAsia="仿宋_GB2312"/>
          <w:sz w:val="32"/>
          <w:szCs w:val="32"/>
        </w:rPr>
      </w:pPr>
      <w:r>
        <w:rPr>
          <w:rFonts w:hint="eastAsia" w:ascii="楷体_GB2312" w:eastAsia="楷体_GB2312"/>
          <w:sz w:val="32"/>
          <w:szCs w:val="32"/>
        </w:rPr>
        <w:t>（二）矿山地质环境治理恢复基金制度落实情况。</w:t>
      </w:r>
      <w:r>
        <w:rPr>
          <w:rFonts w:hint="eastAsia" w:ascii="仿宋_GB2312" w:eastAsia="仿宋_GB2312"/>
          <w:sz w:val="32"/>
          <w:szCs w:val="32"/>
        </w:rPr>
        <w:t>采矿权人是否按规定设立基金账户，采矿权人是否按规定足额计提基金。</w:t>
      </w:r>
    </w:p>
    <w:p w14:paraId="12F14839">
      <w:pPr>
        <w:spacing w:after="0" w:line="560" w:lineRule="exact"/>
        <w:ind w:firstLine="640" w:firstLineChars="200"/>
        <w:jc w:val="both"/>
        <w:rPr>
          <w:rFonts w:hint="eastAsia" w:ascii="仿宋_GB2312" w:eastAsia="仿宋_GB2312"/>
          <w:sz w:val="32"/>
          <w:szCs w:val="32"/>
        </w:rPr>
      </w:pPr>
      <w:r>
        <w:rPr>
          <w:rFonts w:hint="eastAsia" w:ascii="楷体_GB2312" w:eastAsia="楷体_GB2312"/>
          <w:sz w:val="32"/>
          <w:szCs w:val="32"/>
        </w:rPr>
        <w:t>（三）预存土地复垦费用情况。</w:t>
      </w:r>
      <w:r>
        <w:rPr>
          <w:rFonts w:hint="eastAsia" w:ascii="仿宋_GB2312" w:eastAsia="仿宋_GB2312"/>
          <w:sz w:val="32"/>
          <w:szCs w:val="32"/>
        </w:rPr>
        <w:t>采矿权人是否签订土地复垦费用三方监管协议，采矿权人是否足额预存土地复垦费用。</w:t>
      </w:r>
    </w:p>
    <w:p w14:paraId="76BD6639">
      <w:pPr>
        <w:spacing w:after="0" w:line="560" w:lineRule="exact"/>
        <w:ind w:firstLine="640" w:firstLineChars="200"/>
        <w:jc w:val="both"/>
        <w:rPr>
          <w:rFonts w:ascii="仿宋_GB2312" w:eastAsia="仿宋_GB2312"/>
          <w:sz w:val="32"/>
          <w:szCs w:val="32"/>
        </w:rPr>
      </w:pPr>
      <w:r>
        <w:rPr>
          <w:rFonts w:hint="eastAsia" w:ascii="楷体_GB2312" w:eastAsia="楷体_GB2312"/>
          <w:sz w:val="32"/>
          <w:szCs w:val="32"/>
        </w:rPr>
        <w:t>（四）方案落实情况。</w:t>
      </w:r>
      <w:r>
        <w:rPr>
          <w:rFonts w:hint="eastAsia" w:ascii="仿宋_GB2312" w:eastAsia="仿宋_GB2312"/>
          <w:sz w:val="32"/>
          <w:szCs w:val="32"/>
        </w:rPr>
        <w:t>采矿权人是否按照方案开展治理复垦工作，是否完成年度或阶段性目标任务，已实施的治理工程是否按照方案设置，已复垦地块位置、面积、地类是否与批复方案一致，是否达到设计标准。</w:t>
      </w:r>
    </w:p>
    <w:p w14:paraId="4C3D2314">
      <w:pPr>
        <w:spacing w:after="0" w:line="560" w:lineRule="exact"/>
        <w:ind w:firstLine="640" w:firstLineChars="200"/>
        <w:jc w:val="both"/>
        <w:rPr>
          <w:rFonts w:ascii="黑体" w:hAnsi="黑体" w:eastAsia="黑体"/>
          <w:sz w:val="32"/>
          <w:szCs w:val="32"/>
        </w:rPr>
      </w:pPr>
      <w:r>
        <w:rPr>
          <w:rFonts w:hint="eastAsia" w:ascii="黑体" w:hAnsi="黑体" w:eastAsia="黑体"/>
          <w:sz w:val="32"/>
          <w:szCs w:val="32"/>
        </w:rPr>
        <w:t>四、对建设项目土地复垦义务人履行土地复垦义务情况的检查</w:t>
      </w:r>
    </w:p>
    <w:p w14:paraId="267E1BC2">
      <w:pPr>
        <w:spacing w:after="0" w:line="560" w:lineRule="exact"/>
        <w:ind w:firstLine="640" w:firstLineChars="200"/>
        <w:jc w:val="both"/>
        <w:rPr>
          <w:rFonts w:hint="eastAsia" w:ascii="仿宋_GB2312" w:eastAsia="仿宋_GB2312"/>
          <w:sz w:val="32"/>
          <w:szCs w:val="32"/>
        </w:rPr>
      </w:pPr>
      <w:r>
        <w:rPr>
          <w:rFonts w:hint="eastAsia" w:ascii="楷体_GB2312" w:eastAsia="楷体_GB2312"/>
          <w:sz w:val="32"/>
          <w:szCs w:val="32"/>
        </w:rPr>
        <w:t>（一）方案编报与备案情况。</w:t>
      </w:r>
      <w:r>
        <w:rPr>
          <w:rFonts w:hint="eastAsia" w:ascii="仿宋_GB2312" w:eastAsia="仿宋_GB2312"/>
          <w:sz w:val="32"/>
          <w:szCs w:val="32"/>
        </w:rPr>
        <w:t>土地复垦义务人是否按规定编制方案，方案是否已通过具有相应权限的自然资源主管部门审查，土地复垦义务人是否按要求报项目损毁所在地县级自然资源主管部门备案。</w:t>
      </w:r>
    </w:p>
    <w:p w14:paraId="4EFB9746">
      <w:pPr>
        <w:spacing w:after="0" w:line="560" w:lineRule="exact"/>
        <w:ind w:firstLine="640" w:firstLineChars="200"/>
        <w:jc w:val="both"/>
        <w:rPr>
          <w:rFonts w:hint="eastAsia" w:ascii="仿宋_GB2312" w:eastAsia="仿宋_GB2312"/>
          <w:sz w:val="32"/>
          <w:szCs w:val="32"/>
        </w:rPr>
      </w:pPr>
      <w:r>
        <w:rPr>
          <w:rFonts w:hint="eastAsia" w:ascii="楷体_GB2312" w:eastAsia="楷体_GB2312"/>
          <w:sz w:val="32"/>
          <w:szCs w:val="32"/>
        </w:rPr>
        <w:t>（二）预存土地复垦费用情况。</w:t>
      </w:r>
      <w:r>
        <w:rPr>
          <w:rFonts w:hint="eastAsia" w:ascii="仿宋_GB2312" w:eastAsia="仿宋_GB2312"/>
          <w:sz w:val="32"/>
          <w:szCs w:val="32"/>
        </w:rPr>
        <w:t>土地复垦义务人是否签订土地复垦费用三方监管协议，是否足额预存土地复垦费用。</w:t>
      </w:r>
    </w:p>
    <w:p w14:paraId="24E7424E">
      <w:pPr>
        <w:spacing w:after="0" w:line="560" w:lineRule="exact"/>
        <w:ind w:firstLine="640" w:firstLineChars="200"/>
        <w:jc w:val="both"/>
        <w:rPr>
          <w:rFonts w:ascii="仿宋_GB2312" w:eastAsia="仿宋_GB2312"/>
          <w:sz w:val="32"/>
          <w:szCs w:val="32"/>
        </w:rPr>
      </w:pPr>
      <w:r>
        <w:rPr>
          <w:rFonts w:hint="eastAsia" w:ascii="楷体_GB2312" w:eastAsia="楷体_GB2312"/>
          <w:sz w:val="32"/>
          <w:szCs w:val="32"/>
        </w:rPr>
        <w:t>（三）方案落实情况。</w:t>
      </w:r>
      <w:r>
        <w:rPr>
          <w:rFonts w:hint="eastAsia" w:ascii="仿宋_GB2312" w:eastAsia="仿宋_GB2312"/>
          <w:sz w:val="32"/>
          <w:szCs w:val="32"/>
        </w:rPr>
        <w:t>土地复垦义务人是否按照土地复垦方案开展复垦工作，对已复垦地块位置、面积、复垦方向是否与批复方案一致，是否达到设计标准。</w:t>
      </w:r>
    </w:p>
    <w:p w14:paraId="7FF8067D">
      <w:pPr>
        <w:spacing w:after="0" w:line="560" w:lineRule="exact"/>
        <w:ind w:firstLine="640" w:firstLineChars="200"/>
        <w:jc w:val="both"/>
        <w:rPr>
          <w:rFonts w:ascii="黑体" w:hAnsi="黑体" w:eastAsia="黑体"/>
          <w:sz w:val="32"/>
          <w:szCs w:val="32"/>
        </w:rPr>
      </w:pPr>
      <w:r>
        <w:rPr>
          <w:rFonts w:hint="eastAsia" w:ascii="黑体" w:hAnsi="黑体" w:eastAsia="黑体"/>
          <w:sz w:val="32"/>
          <w:szCs w:val="32"/>
        </w:rPr>
        <w:t>五、年度地质勘查行业“双随机、一公开”监督检查</w:t>
      </w:r>
    </w:p>
    <w:p w14:paraId="3EBF720C">
      <w:pPr>
        <w:spacing w:after="0" w:line="560" w:lineRule="exact"/>
        <w:ind w:firstLine="640" w:firstLineChars="200"/>
        <w:jc w:val="both"/>
        <w:rPr>
          <w:rFonts w:hint="eastAsia" w:ascii="仿宋_GB2312" w:eastAsia="仿宋_GB2312"/>
          <w:sz w:val="32"/>
          <w:szCs w:val="32"/>
        </w:rPr>
      </w:pPr>
      <w:r>
        <w:rPr>
          <w:rFonts w:hint="eastAsia" w:ascii="楷体_GB2312" w:eastAsia="楷体_GB2312"/>
          <w:sz w:val="32"/>
          <w:szCs w:val="32"/>
        </w:rPr>
        <w:t>（一）事项名称。</w:t>
      </w:r>
      <w:r>
        <w:rPr>
          <w:rFonts w:hint="eastAsia" w:ascii="仿宋_GB2312" w:eastAsia="仿宋_GB2312"/>
          <w:sz w:val="32"/>
          <w:szCs w:val="32"/>
        </w:rPr>
        <w:t>年度地质勘查行业“双随机、一公开”监督检查</w:t>
      </w:r>
    </w:p>
    <w:p w14:paraId="182AC35D">
      <w:pPr>
        <w:spacing w:after="0" w:line="560" w:lineRule="exact"/>
        <w:ind w:firstLine="640" w:firstLineChars="200"/>
        <w:jc w:val="both"/>
        <w:rPr>
          <w:rFonts w:hint="eastAsia" w:ascii="仿宋_GB2312" w:eastAsia="仿宋_GB2312"/>
          <w:sz w:val="32"/>
          <w:szCs w:val="32"/>
        </w:rPr>
      </w:pPr>
      <w:r>
        <w:rPr>
          <w:rFonts w:hint="eastAsia" w:ascii="楷体_GB2312" w:eastAsia="楷体_GB2312"/>
          <w:sz w:val="32"/>
          <w:szCs w:val="32"/>
        </w:rPr>
        <w:t>（二）实施依据。</w:t>
      </w:r>
      <w:r>
        <w:rPr>
          <w:rFonts w:hint="eastAsia" w:ascii="仿宋_GB2312" w:eastAsia="仿宋_GB2312"/>
          <w:sz w:val="32"/>
          <w:szCs w:val="32"/>
        </w:rPr>
        <w:t>1.《地质灾害防治单位资质管理办法》（中华人民共和国自然资源部令第8号）第二十六条：“省级人民政府自然资源主管部门应当按照“双随机、一公开”监管要求，采取随机摇号的方式，按照不低于百分之十的比例确定抽查的地质灾害防治单位，组织对地质灾害防治单位资质情况和从事地质灾害防治活动情况进行监督检查。”2.《国务院关于取消一批行政许可事项的决定》（国发〔2017〕46号）：“取消审批后，国土资源部通过以下措施加强事中事后监管”。3.《国土资源部关于取消地质勘查资质审批后加强事中事后监管的公告》（国土资源部公告2017年第32号）：“国土资源部统筹指导全国地质勘查单位勘查活动的事中事后监管工作”。</w:t>
      </w:r>
    </w:p>
    <w:p w14:paraId="2AABE4C6">
      <w:pPr>
        <w:spacing w:after="0" w:line="560" w:lineRule="exact"/>
        <w:ind w:firstLine="640" w:firstLineChars="200"/>
        <w:jc w:val="both"/>
        <w:rPr>
          <w:rFonts w:ascii="仿宋_GB2312" w:eastAsia="仿宋_GB2312"/>
          <w:sz w:val="32"/>
          <w:szCs w:val="32"/>
        </w:rPr>
      </w:pPr>
      <w:r>
        <w:rPr>
          <w:rFonts w:hint="eastAsia" w:ascii="楷体_GB2312" w:eastAsia="楷体_GB2312"/>
          <w:sz w:val="32"/>
          <w:szCs w:val="32"/>
        </w:rPr>
        <w:t>（三）检查标准。</w:t>
      </w:r>
      <w:r>
        <w:rPr>
          <w:rFonts w:hint="eastAsia" w:ascii="仿宋_GB2312" w:eastAsia="仿宋_GB2312"/>
          <w:sz w:val="32"/>
          <w:szCs w:val="32"/>
        </w:rPr>
        <w:t>遵守有关地质勘查法律法规、标准规范情况；质量和安全内部管理制度建设及落实情况；地质勘查活动诚实守信情况；信息公示情况；地质勘查活动投诉举报等其他事项；地质灾害防治单位资质情况和从事地质灾害防治活动情况。</w:t>
      </w:r>
    </w:p>
    <w:p w14:paraId="15D9AF21">
      <w:pPr>
        <w:spacing w:after="0" w:line="560" w:lineRule="exact"/>
        <w:ind w:firstLine="640" w:firstLineChars="200"/>
        <w:jc w:val="both"/>
        <w:rPr>
          <w:rFonts w:ascii="黑体" w:hAnsi="黑体" w:eastAsia="黑体"/>
          <w:sz w:val="32"/>
          <w:szCs w:val="32"/>
        </w:rPr>
      </w:pPr>
    </w:p>
    <w:p w14:paraId="432F0886">
      <w:pPr>
        <w:spacing w:after="0" w:line="560" w:lineRule="exact"/>
        <w:ind w:firstLine="640" w:firstLineChars="200"/>
        <w:jc w:val="both"/>
        <w:rPr>
          <w:rFonts w:hint="eastAsia" w:ascii="黑体" w:hAnsi="黑体" w:eastAsia="黑体"/>
          <w:sz w:val="32"/>
          <w:szCs w:val="32"/>
        </w:rPr>
      </w:pPr>
      <w:r>
        <w:rPr>
          <w:rFonts w:hint="eastAsia" w:ascii="黑体" w:hAnsi="黑体" w:eastAsia="黑体"/>
          <w:sz w:val="32"/>
          <w:szCs w:val="32"/>
        </w:rPr>
        <w:t>六、矿业权人勘查开采信息随机抽查</w:t>
      </w:r>
    </w:p>
    <w:p w14:paraId="2BAE4EE7">
      <w:pPr>
        <w:spacing w:after="0" w:line="560" w:lineRule="exact"/>
        <w:ind w:firstLine="640" w:firstLineChars="200"/>
        <w:jc w:val="both"/>
        <w:rPr>
          <w:rFonts w:hint="eastAsia" w:ascii="楷体_GB2312" w:eastAsia="楷体_GB2312"/>
          <w:sz w:val="32"/>
          <w:szCs w:val="32"/>
        </w:rPr>
      </w:pPr>
      <w:r>
        <w:rPr>
          <w:rFonts w:hint="eastAsia" w:ascii="楷体_GB2312" w:eastAsia="楷体_GB2312"/>
          <w:sz w:val="32"/>
          <w:szCs w:val="32"/>
        </w:rPr>
        <w:t>（一）探矿权核查内容</w:t>
      </w:r>
    </w:p>
    <w:p w14:paraId="5915AE23">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1.基本信息。核查探矿权人提供的勘查许可证合法性和有效性，办理探矿权延续、变更手续情况。</w:t>
      </w:r>
    </w:p>
    <w:p w14:paraId="2FC653BA">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2.勘查实施方案。核查勘查实施方案编制审查、调整和执行情况，对比勘查年度工作计划与实施完成情况。查阅年度勘查工作总结或地质勘查报告及审查意见，登记的勘查矿种，发现矿种的估算资源储量，共伴生矿产综合勘查和综合评价情况。对已完成勘查工作的，核查地质资料汇交情况和汇交凭证。</w:t>
      </w:r>
    </w:p>
    <w:p w14:paraId="6686C655">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3.实物工作量。按照不低于10%比例随机抽取核查年度信息表中实物工作量，包括地质研究，勘查测量，地质槽探、浅井、钻探、坑探、填图，水文、工程和环境地质，物化探，样品加工、测试与鉴定，测试样品的副样，试油试气，查阅相关成果报告、分析测试报告、实物岩芯等，核实其他实物工作量是否在公示年度内。</w:t>
      </w:r>
    </w:p>
    <w:p w14:paraId="5B739AD2">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4.项目开工或备案情况。查验县级及以上自然资源主管部门出具的项目开工或备案证明。</w:t>
      </w:r>
    </w:p>
    <w:p w14:paraId="7D07525C">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5.在批准范围内勘查情况。查阅勘查实施方案、实际材料图、探矿工程编录资料和油气探井测井曲线等，重点抽查探矿权边界附近的探矿工程(槽探、浅井、钻探、坑探)情况，核对探矿工程位置信息(包括地表位置与地下位置)与探矿权中勘查范围的一致性。</w:t>
      </w:r>
    </w:p>
    <w:p w14:paraId="1CEF9F17">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6.擅自进行滚动勘探开发、边探边采或者试采情况。对比遥感卫星影像资料，对疑似采场、中转场地、尾矿堆积场地等场所进行现场踏勘，确认是否存在未经批准，擅自进行滚动勘探开发、边探边采或者试采情况。</w:t>
      </w:r>
    </w:p>
    <w:p w14:paraId="2FB6FF03">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7.封(填)井(孔)、地质环境恢复与土地复垦情况。现场核查至少1个探矿工程(槽探、浅井、钻探、坑探),查看封(填)井(孔)地质环境恢复与土地复垦情况，查验地质环境恢复与土地复垦验收材料。</w:t>
      </w:r>
    </w:p>
    <w:p w14:paraId="1A61DEC6">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8.自然资源领域相关行政处罚和整改情况。对于受到自然资源主管部门行政处罚的探矿权人，查看行政处罚通知书及整改情况，核对与信息公示填报内容的一致性。</w:t>
      </w:r>
    </w:p>
    <w:p w14:paraId="37AC0CC0">
      <w:pPr>
        <w:spacing w:after="0" w:line="560" w:lineRule="exact"/>
        <w:ind w:firstLine="640" w:firstLineChars="200"/>
        <w:jc w:val="both"/>
        <w:rPr>
          <w:rFonts w:hint="eastAsia" w:ascii="楷体_GB2312" w:eastAsia="楷体_GB2312"/>
          <w:sz w:val="32"/>
          <w:szCs w:val="32"/>
        </w:rPr>
      </w:pPr>
      <w:r>
        <w:rPr>
          <w:rFonts w:hint="eastAsia" w:ascii="楷体_GB2312" w:eastAsia="楷体_GB2312"/>
          <w:sz w:val="32"/>
          <w:szCs w:val="32"/>
        </w:rPr>
        <w:t>（二）采矿权实地核查内容</w:t>
      </w:r>
    </w:p>
    <w:p w14:paraId="5E71EBC7">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1.基本信息。核查采矿权人提供的采矿许可证合法性和有效性，办理采矿权延续、变更手续情况。</w:t>
      </w:r>
    </w:p>
    <w:p w14:paraId="536F1CD0">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2.开发利用方案。查看生产现场，查阅相关资料，核查开采矿种是否与采矿许可证登记矿种一致。查阅开发利用方案编制审查、调整和执行情况。查阅采掘工程平面图(开采现状图或井位布置图)等材料，核查是否采用国家禁止使用的开采方法、开采顺序、矿石加工选冶工艺和采选设备。属于开采总量控制的矿种，查阅生产台账和储量年报，通过与核定生产能力对比，核查是否与信息公示填报内容一致。</w:t>
      </w:r>
    </w:p>
    <w:p w14:paraId="68B14A80">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3.标识制度落实情况。进行现场实地调查，核查采矿权标识牌设置情况，露天矿山现场随机抽查至少2根界桩。</w:t>
      </w:r>
    </w:p>
    <w:p w14:paraId="748402C3">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4.开发利用情况。非油气采矿权：查阅生产台账、开采方式、采矿方法、已开采年限、剩余服务年限、设计采矿能力、实际采矿能力、矿石采出量、年损失矿石量、年消耗地质储量、矿山资源储量年度变化表、设计开采回采率、核定开采回采率、矿石地质品位、采出矿石地质品位、设计选厂规模、实际入选矿石量、设计选矿回收率、实际选矿回收率、精矿年产量、精矿品位、原矿入选品位、尾矿品位、综合利用情况等，实际开采回采率和选矿回收率等指标与信息公示填报内容的一致性，开采回采率等指标是否达到有关标准要求。</w:t>
      </w:r>
    </w:p>
    <w:p w14:paraId="076AF31F">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5.在批准范围内开采情况。查阅开发利用方案、井上井下工程对照图、测井曲线、矿山储量年报和遥感卫星影像等资料，重点抽查采矿工程(井、巷、硐等)最远控制点，核查是否可能存在超越批准范围开采情况。</w:t>
      </w:r>
    </w:p>
    <w:p w14:paraId="2CFD9E8A">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6.矿山储量年度管理制度落实情况。查阅矿山资源储量台账及生产设计图件等有关资料，核查年度矿山动用资源储量估算表和资源储量平衡表编制情况；动用的资源储量是否估算了储量；是否按要求完整编制矿山储量年度报告或矿山、油田、气田资源储量年度变化表。对于油气矿产在探采矿期间探明地质储量、其他矿产在采矿期间资源量发生重大变化的(变化量超过30%或达到中型规模以上的),是否编制矿产资源储量报告并评审备案；矿山资源储量年度变化表与矿山储量年报是否一致并在信息公示系统公示。</w:t>
      </w:r>
    </w:p>
    <w:p w14:paraId="18B7E967">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7.矿山地质环境保护与土地复垦情况。实地核查矿山地质环境保护与土地复垦方案及年度计划设定的阶段修复目标及任务完成情况、实施效果等。查阅矿山地质环境保护与土地复垦方案编制审查情况、年度计划编制及报备情况、矿山地质环境治理恢复基金计提使用情况、矿山地质环境治理与土地复垦阶段验收情况。</w:t>
      </w:r>
    </w:p>
    <w:p w14:paraId="6281E304">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8.自然资源领域相关行政处罚和整改情况。对于受到自然资源主管部门行政处罚的采矿权人，查看行政处罚通知书及整改情况，核对与公示信息的一致性。</w:t>
      </w:r>
    </w:p>
    <w:p w14:paraId="6C4BD5DC">
      <w:pPr>
        <w:spacing w:after="156" w:afterLines="50" w:line="560" w:lineRule="exact"/>
        <w:ind w:firstLine="640" w:firstLineChars="200"/>
        <w:jc w:val="both"/>
        <w:rPr>
          <w:rFonts w:hint="eastAsia" w:ascii="黑体" w:hAnsi="黑体" w:eastAsia="黑体"/>
          <w:sz w:val="32"/>
          <w:szCs w:val="32"/>
        </w:rPr>
      </w:pPr>
      <w:r>
        <w:rPr>
          <w:rFonts w:hint="eastAsia" w:ascii="黑体" w:hAnsi="黑体" w:eastAsia="黑体"/>
          <w:sz w:val="32"/>
          <w:szCs w:val="32"/>
        </w:rPr>
        <w:t>七、对本级审批用海项目是否依批准用海进行监督检查</w:t>
      </w:r>
    </w:p>
    <w:tbl>
      <w:tblPr>
        <w:tblStyle w:val="36"/>
        <w:tblW w:w="81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2551"/>
        <w:gridCol w:w="2410"/>
        <w:gridCol w:w="2339"/>
      </w:tblGrid>
      <w:tr w14:paraId="39A434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846" w:type="dxa"/>
            <w:vAlign w:val="center"/>
          </w:tcPr>
          <w:p w14:paraId="5BA4CF15">
            <w:pPr>
              <w:spacing w:after="0" w:line="360" w:lineRule="exact"/>
              <w:jc w:val="center"/>
              <w:rPr>
                <w:rFonts w:hint="eastAsia" w:ascii="黑体" w:hAnsi="黑体" w:eastAsia="黑体" w:cs="Times New Roman"/>
                <w:bCs/>
                <w:kern w:val="0"/>
                <w:sz w:val="28"/>
                <w:szCs w:val="28"/>
                <w14:ligatures w14:val="none"/>
              </w:rPr>
            </w:pPr>
            <w:r>
              <w:rPr>
                <w:rFonts w:hint="eastAsia" w:ascii="黑体" w:hAnsi="黑体" w:eastAsia="黑体" w:cs="Times New Roman"/>
                <w:bCs/>
                <w:kern w:val="0"/>
                <w:sz w:val="28"/>
                <w:szCs w:val="28"/>
                <w14:ligatures w14:val="none"/>
              </w:rPr>
              <w:t>序号</w:t>
            </w:r>
          </w:p>
        </w:tc>
        <w:tc>
          <w:tcPr>
            <w:tcW w:w="2551" w:type="dxa"/>
            <w:vAlign w:val="center"/>
          </w:tcPr>
          <w:p w14:paraId="0FD0D082">
            <w:pPr>
              <w:spacing w:after="0" w:line="360" w:lineRule="exact"/>
              <w:jc w:val="center"/>
              <w:rPr>
                <w:rFonts w:hint="eastAsia" w:ascii="黑体" w:hAnsi="黑体" w:eastAsia="黑体" w:cs="Times New Roman"/>
                <w:bCs/>
                <w:kern w:val="0"/>
                <w:sz w:val="28"/>
                <w:szCs w:val="28"/>
                <w14:ligatures w14:val="none"/>
              </w:rPr>
            </w:pPr>
            <w:r>
              <w:rPr>
                <w:rFonts w:hint="eastAsia" w:ascii="黑体" w:hAnsi="黑体" w:eastAsia="黑体" w:cs="Times New Roman"/>
                <w:bCs/>
                <w:kern w:val="0"/>
                <w:sz w:val="28"/>
                <w:szCs w:val="28"/>
                <w14:ligatures w14:val="none"/>
              </w:rPr>
              <w:t>检查内容</w:t>
            </w:r>
          </w:p>
        </w:tc>
        <w:tc>
          <w:tcPr>
            <w:tcW w:w="2410" w:type="dxa"/>
            <w:vAlign w:val="center"/>
          </w:tcPr>
          <w:p w14:paraId="58DBD076">
            <w:pPr>
              <w:spacing w:after="0" w:line="360" w:lineRule="exact"/>
              <w:jc w:val="center"/>
              <w:rPr>
                <w:rFonts w:hint="eastAsia" w:ascii="黑体" w:hAnsi="黑体" w:eastAsia="黑体" w:cs="Times New Roman"/>
                <w:bCs/>
                <w:kern w:val="0"/>
                <w:sz w:val="28"/>
                <w:szCs w:val="28"/>
                <w14:ligatures w14:val="none"/>
              </w:rPr>
            </w:pPr>
            <w:r>
              <w:rPr>
                <w:rFonts w:hint="eastAsia" w:ascii="黑体" w:hAnsi="黑体" w:eastAsia="黑体" w:cs="Times New Roman"/>
                <w:bCs/>
                <w:kern w:val="0"/>
                <w:sz w:val="28"/>
                <w:szCs w:val="28"/>
                <w14:ligatures w14:val="none"/>
              </w:rPr>
              <w:t>工作标准</w:t>
            </w:r>
          </w:p>
        </w:tc>
        <w:tc>
          <w:tcPr>
            <w:tcW w:w="2339" w:type="dxa"/>
            <w:vAlign w:val="center"/>
          </w:tcPr>
          <w:p w14:paraId="03D9126B">
            <w:pPr>
              <w:spacing w:after="0" w:line="360" w:lineRule="exact"/>
              <w:jc w:val="center"/>
              <w:rPr>
                <w:rFonts w:hint="eastAsia" w:ascii="黑体" w:hAnsi="黑体" w:eastAsia="黑体" w:cs="Times New Roman"/>
                <w:bCs/>
                <w:kern w:val="0"/>
                <w:sz w:val="28"/>
                <w:szCs w:val="28"/>
                <w14:ligatures w14:val="none"/>
              </w:rPr>
            </w:pPr>
            <w:r>
              <w:rPr>
                <w:rFonts w:hint="eastAsia" w:ascii="黑体" w:hAnsi="黑体" w:eastAsia="黑体" w:cs="Times New Roman"/>
                <w:bCs/>
                <w:kern w:val="0"/>
                <w:sz w:val="28"/>
                <w:szCs w:val="28"/>
                <w14:ligatures w14:val="none"/>
              </w:rPr>
              <w:t>主要依据</w:t>
            </w:r>
          </w:p>
        </w:tc>
      </w:tr>
      <w:tr w14:paraId="5FBA5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8" w:hRule="atLeast"/>
          <w:jc w:val="center"/>
        </w:trPr>
        <w:tc>
          <w:tcPr>
            <w:tcW w:w="846" w:type="dxa"/>
            <w:vAlign w:val="center"/>
          </w:tcPr>
          <w:p w14:paraId="0D980087">
            <w:pPr>
              <w:widowControl/>
              <w:spacing w:after="0" w:line="360" w:lineRule="exact"/>
              <w:jc w:val="center"/>
              <w:rPr>
                <w:rFonts w:hint="eastAsia" w:ascii="仿宋_GB2312" w:hAnsi="等线" w:eastAsia="仿宋_GB2312" w:cs="Times New Roman"/>
                <w:color w:val="000000"/>
                <w:kern w:val="0"/>
                <w:sz w:val="28"/>
                <w:szCs w:val="28"/>
                <w14:ligatures w14:val="none"/>
              </w:rPr>
            </w:pPr>
            <w:r>
              <w:rPr>
                <w:rFonts w:hint="eastAsia" w:ascii="仿宋_GB2312" w:hAnsi="等线" w:eastAsia="仿宋_GB2312" w:cs="Times New Roman"/>
                <w:color w:val="000000"/>
                <w:kern w:val="0"/>
                <w:sz w:val="28"/>
                <w:szCs w:val="28"/>
                <w14:ligatures w14:val="none"/>
              </w:rPr>
              <w:t>1</w:t>
            </w:r>
          </w:p>
        </w:tc>
        <w:tc>
          <w:tcPr>
            <w:tcW w:w="2551" w:type="dxa"/>
            <w:vAlign w:val="center"/>
          </w:tcPr>
          <w:p w14:paraId="48DCCE1A">
            <w:pPr>
              <w:widowControl/>
              <w:spacing w:after="0" w:line="360" w:lineRule="exact"/>
              <w:jc w:val="both"/>
              <w:rPr>
                <w:rFonts w:hint="eastAsia" w:ascii="仿宋_GB2312" w:hAnsi="等线" w:eastAsia="仿宋_GB2312" w:cs="Times New Roman"/>
                <w:color w:val="000000"/>
                <w:kern w:val="0"/>
                <w:sz w:val="28"/>
                <w:szCs w:val="28"/>
                <w14:ligatures w14:val="none"/>
              </w:rPr>
            </w:pPr>
            <w:r>
              <w:rPr>
                <w:rFonts w:hint="eastAsia" w:ascii="仿宋_GB2312" w:hAnsi="等线" w:eastAsia="仿宋_GB2312" w:cs="Times New Roman"/>
                <w:color w:val="000000"/>
                <w:kern w:val="0"/>
                <w:sz w:val="28"/>
                <w:szCs w:val="28"/>
                <w14:ligatures w14:val="none"/>
              </w:rPr>
              <w:t>对本级审批用海项目是否依批准用海进行监督检查。</w:t>
            </w:r>
          </w:p>
        </w:tc>
        <w:tc>
          <w:tcPr>
            <w:tcW w:w="2410" w:type="dxa"/>
            <w:vAlign w:val="center"/>
          </w:tcPr>
          <w:p w14:paraId="59DBA278">
            <w:pPr>
              <w:spacing w:after="0" w:line="360" w:lineRule="exact"/>
              <w:jc w:val="both"/>
              <w:rPr>
                <w:rFonts w:hint="eastAsia" w:ascii="仿宋_GB2312" w:hAnsi="等线" w:eastAsia="仿宋_GB2312" w:cs="Times New Roman"/>
                <w:kern w:val="0"/>
                <w:sz w:val="28"/>
                <w:szCs w:val="28"/>
                <w14:ligatures w14:val="none"/>
              </w:rPr>
            </w:pPr>
            <w:r>
              <w:rPr>
                <w:rFonts w:hint="eastAsia" w:ascii="仿宋_GB2312" w:hAnsi="等线" w:eastAsia="仿宋_GB2312" w:cs="Times New Roman"/>
                <w:kern w:val="0"/>
                <w:sz w:val="28"/>
                <w:szCs w:val="28"/>
                <w14:ligatures w14:val="none"/>
              </w:rPr>
              <w:t>对用海主体是否按用海批复要求使用海域进行监督检查。</w:t>
            </w:r>
          </w:p>
        </w:tc>
        <w:tc>
          <w:tcPr>
            <w:tcW w:w="2339" w:type="dxa"/>
            <w:vAlign w:val="center"/>
          </w:tcPr>
          <w:p w14:paraId="59F4CC6E">
            <w:pPr>
              <w:widowControl/>
              <w:spacing w:after="0" w:line="360" w:lineRule="exact"/>
              <w:jc w:val="both"/>
              <w:rPr>
                <w:rFonts w:hint="eastAsia" w:ascii="仿宋_GB2312" w:hAnsi="等线" w:eastAsia="仿宋_GB2312" w:cs="Times New Roman"/>
                <w:color w:val="000000"/>
                <w:kern w:val="0"/>
                <w:sz w:val="28"/>
                <w:szCs w:val="28"/>
                <w14:ligatures w14:val="none"/>
              </w:rPr>
            </w:pPr>
            <w:r>
              <w:rPr>
                <w:rFonts w:hint="eastAsia" w:ascii="仿宋_GB2312" w:hAnsi="等线" w:eastAsia="仿宋_GB2312" w:cs="Times New Roman"/>
                <w:color w:val="000000"/>
                <w:kern w:val="0"/>
                <w:sz w:val="28"/>
                <w:szCs w:val="28"/>
                <w14:ligatures w14:val="none"/>
              </w:rPr>
              <w:t>1.《中华人民共和国海域使用管理法》</w:t>
            </w:r>
          </w:p>
          <w:p w14:paraId="1F5374F3">
            <w:pPr>
              <w:widowControl/>
              <w:spacing w:after="0" w:line="360" w:lineRule="exact"/>
              <w:jc w:val="both"/>
              <w:rPr>
                <w:rFonts w:hint="eastAsia" w:ascii="仿宋_GB2312" w:hAnsi="等线" w:eastAsia="仿宋_GB2312" w:cs="Times New Roman"/>
                <w:color w:val="000000"/>
                <w:kern w:val="0"/>
                <w:sz w:val="28"/>
                <w:szCs w:val="28"/>
                <w14:ligatures w14:val="none"/>
              </w:rPr>
            </w:pPr>
            <w:r>
              <w:rPr>
                <w:rFonts w:hint="eastAsia" w:ascii="仿宋_GB2312" w:hAnsi="等线" w:eastAsia="仿宋_GB2312" w:cs="Times New Roman"/>
                <w:color w:val="000000"/>
                <w:kern w:val="0"/>
                <w:sz w:val="28"/>
                <w:szCs w:val="28"/>
                <w14:ligatures w14:val="none"/>
              </w:rPr>
              <w:t>2.《河北省海域使用管理条例》</w:t>
            </w:r>
          </w:p>
        </w:tc>
      </w:tr>
    </w:tbl>
    <w:p w14:paraId="672BC705">
      <w:pPr>
        <w:spacing w:after="0" w:line="560" w:lineRule="exact"/>
        <w:ind w:firstLine="640" w:firstLineChars="200"/>
        <w:jc w:val="both"/>
        <w:rPr>
          <w:rFonts w:hint="eastAsia" w:ascii="黑体" w:hAnsi="黑体" w:eastAsia="黑体"/>
          <w:sz w:val="32"/>
          <w:szCs w:val="32"/>
        </w:rPr>
      </w:pPr>
      <w:r>
        <w:rPr>
          <w:rFonts w:hint="eastAsia" w:ascii="黑体" w:hAnsi="黑体" w:eastAsia="黑体"/>
          <w:sz w:val="32"/>
          <w:szCs w:val="32"/>
        </w:rPr>
        <w:t>八、对测绘行业的行政检查</w:t>
      </w:r>
    </w:p>
    <w:p w14:paraId="5FB337E1">
      <w:pPr>
        <w:spacing w:after="0" w:line="560" w:lineRule="exact"/>
        <w:ind w:firstLine="640" w:firstLineChars="200"/>
        <w:jc w:val="both"/>
        <w:rPr>
          <w:rFonts w:hint="eastAsia" w:ascii="楷体_GB2312" w:eastAsia="楷体_GB2312"/>
          <w:sz w:val="32"/>
          <w:szCs w:val="32"/>
        </w:rPr>
      </w:pPr>
      <w:r>
        <w:rPr>
          <w:rFonts w:hint="eastAsia" w:ascii="楷体_GB2312" w:eastAsia="楷体_GB2312"/>
          <w:sz w:val="32"/>
          <w:szCs w:val="32"/>
        </w:rPr>
        <w:t>（一）测绘行业“双随机、一公开”监督检查</w:t>
      </w:r>
    </w:p>
    <w:p w14:paraId="797392DE">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1.测绘资质。单位专业技术人员、技术装备、相关制度等测绘资质情况是否符合当前测绘资质等级和业务范围。</w:t>
      </w:r>
    </w:p>
    <w:p w14:paraId="61D65093">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2.测绘行业安全生产（含消防安全）。单位是否有健全的安全生产（含消防安全）制度，安全生产制度是否有效执行。</w:t>
      </w:r>
    </w:p>
    <w:p w14:paraId="75DDF00A">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3.测绘质量。单位质量管理体系建立及运行、质量管理职责及落实、生产过程的质量管理情况。</w:t>
      </w:r>
    </w:p>
    <w:p w14:paraId="5E4EAB43">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4.测绘项目备案登记。单位是否建立项目合同登记本，是否有测绘管理部门出具的备案登记材料，项目备案登记与项目合同是否对应，备案登记是否及时有效。</w:t>
      </w:r>
    </w:p>
    <w:p w14:paraId="0B0D1E75">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5.测绘航空摄影活动。单位是否开展测绘航空摄影项目，是否具备备案登记、空域申请、成果保密等资料。</w:t>
      </w:r>
    </w:p>
    <w:p w14:paraId="11561E50">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6.相对独立的平面坐标系统。单位是否使用全国统一的测绘基准和坐标系统，是否参与建设相对独立的平面坐标系统，是否得到批准。</w:t>
      </w:r>
    </w:p>
    <w:p w14:paraId="2FD59232">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7.外国的组织或者个人来华测绘。单位是否参与外国组织或者个人来华测绘项目，是否按照管理要求开展项目。</w:t>
      </w:r>
    </w:p>
    <w:p w14:paraId="2F56454F">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8.测绘地理信息行业信用信息。单位是否有不良信用信息，发生的不良信用信息是否录入测绘地理信息行业信用管理平台。</w:t>
      </w:r>
    </w:p>
    <w:p w14:paraId="1BADA392">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9.卫星导航定位基准站建设和运行维护。单位是否建设卫星导航定位基准站，建设卫星导航定位基准站是否向测绘地理信息主管部门备案，卫星导航定位基准站的建设和运行维护是否符合国家标准和要求。</w:t>
      </w:r>
    </w:p>
    <w:p w14:paraId="6F68D088">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10.注册测绘师制度的实施。单位注册测绘师是否依法进行注册，是否按要求完成继续教育。</w:t>
      </w:r>
    </w:p>
    <w:p w14:paraId="2314EFF6">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11.测绘市场的监督。单位在测绘市场活动中是否有违法行为，是否在资质等级和业务范围内从事测绘活动，是否非法转包测绘项目，是否将测绘项目发包给不具有相应资质等级的测绘单位，是否有不正当竞争行为。</w:t>
      </w:r>
    </w:p>
    <w:p w14:paraId="75468243">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12.测绘地理信息统计。单位是否明确专人负责测绘地理信息统计工作，是否按要求报送测绘地理信息统计年报。</w:t>
      </w:r>
    </w:p>
    <w:p w14:paraId="2D0032A3">
      <w:pPr>
        <w:spacing w:after="0" w:line="560" w:lineRule="exact"/>
        <w:ind w:firstLine="640" w:firstLineChars="200"/>
        <w:jc w:val="both"/>
        <w:rPr>
          <w:rFonts w:hint="eastAsia" w:ascii="楷体_GB2312" w:eastAsia="楷体_GB2312"/>
          <w:sz w:val="32"/>
          <w:szCs w:val="32"/>
        </w:rPr>
      </w:pPr>
      <w:r>
        <w:rPr>
          <w:rFonts w:hint="eastAsia" w:ascii="楷体_GB2312" w:eastAsia="楷体_GB2312"/>
          <w:sz w:val="32"/>
          <w:szCs w:val="32"/>
        </w:rPr>
        <w:t>（二）测绘质量监督检验</w:t>
      </w:r>
    </w:p>
    <w:p w14:paraId="32B9C131">
      <w:pPr>
        <w:spacing w:after="0" w:line="560" w:lineRule="exact"/>
        <w:ind w:firstLine="640" w:firstLineChars="200"/>
        <w:jc w:val="both"/>
        <w:rPr>
          <w:rFonts w:hint="eastAsia" w:ascii="仿宋_GB2312" w:eastAsia="仿宋_GB2312"/>
          <w:sz w:val="32"/>
          <w:szCs w:val="32"/>
        </w:rPr>
        <w:sectPr>
          <w:pgSz w:w="11906" w:h="16838"/>
          <w:pgMar w:top="1440" w:right="1800" w:bottom="1440" w:left="1800" w:header="851" w:footer="992" w:gutter="0"/>
          <w:cols w:space="425" w:num="1"/>
          <w:docGrid w:type="lines" w:linePitch="312" w:charSpace="0"/>
        </w:sectPr>
      </w:pPr>
      <w:r>
        <w:rPr>
          <w:rFonts w:hint="eastAsia" w:ascii="仿宋_GB2312" w:eastAsia="仿宋_GB2312"/>
          <w:sz w:val="32"/>
          <w:szCs w:val="32"/>
        </w:rPr>
        <w:t>委托省测绘产品质量监督检验站，根据《测绘成果质量检查与验收》（GB/T 24356-2023），检查测绘项目成果质量是否合格。</w:t>
      </w:r>
    </w:p>
    <w:p w14:paraId="354F6266">
      <w:pPr>
        <w:spacing w:after="156" w:afterLines="50" w:line="560" w:lineRule="exact"/>
        <w:ind w:firstLine="640" w:firstLineChars="200"/>
        <w:jc w:val="both"/>
        <w:rPr>
          <w:rFonts w:ascii="黑体" w:hAnsi="黑体" w:eastAsia="黑体"/>
          <w:sz w:val="32"/>
          <w:szCs w:val="32"/>
        </w:rPr>
      </w:pPr>
      <w:r>
        <w:rPr>
          <w:rFonts w:hint="eastAsia" w:ascii="黑体" w:hAnsi="黑体" w:eastAsia="黑体"/>
          <w:sz w:val="32"/>
          <w:szCs w:val="32"/>
        </w:rPr>
        <w:t>九、对地图编制、出版、展示、登载和互联网地图服务的行政检查</w:t>
      </w:r>
    </w:p>
    <w:tbl>
      <w:tblPr>
        <w:tblStyle w:val="15"/>
        <w:tblW w:w="1317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988"/>
        <w:gridCol w:w="2835"/>
        <w:gridCol w:w="1984"/>
        <w:gridCol w:w="7371"/>
      </w:tblGrid>
      <w:tr w14:paraId="256C18A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19"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617AC7E7">
            <w:pPr>
              <w:autoSpaceDN w:val="0"/>
              <w:spacing w:after="0" w:line="360" w:lineRule="exact"/>
              <w:jc w:val="center"/>
              <w:rPr>
                <w:rFonts w:hint="eastAsia" w:ascii="黑体" w:hAnsi="黑体" w:eastAsia="黑体" w:cs="Arial"/>
                <w:sz w:val="28"/>
                <w:szCs w:val="28"/>
                <w14:ligatures w14:val="none"/>
              </w:rPr>
            </w:pPr>
            <w:r>
              <w:rPr>
                <w:rFonts w:hint="eastAsia" w:ascii="黑体" w:hAnsi="黑体" w:eastAsia="黑体" w:cs="Arial"/>
                <w:sz w:val="28"/>
                <w:szCs w:val="28"/>
                <w14:ligatures w14:val="none"/>
              </w:rPr>
              <w:t>序号</w:t>
            </w:r>
          </w:p>
        </w:tc>
        <w:tc>
          <w:tcPr>
            <w:tcW w:w="2835" w:type="dxa"/>
            <w:tcBorders>
              <w:top w:val="single" w:color="auto" w:sz="4" w:space="0"/>
              <w:left w:val="single" w:color="auto" w:sz="4" w:space="0"/>
              <w:bottom w:val="single" w:color="auto" w:sz="4" w:space="0"/>
              <w:right w:val="single" w:color="auto" w:sz="4" w:space="0"/>
            </w:tcBorders>
            <w:vAlign w:val="center"/>
          </w:tcPr>
          <w:p w14:paraId="3E53E00E">
            <w:pPr>
              <w:autoSpaceDN w:val="0"/>
              <w:spacing w:after="0" w:line="360" w:lineRule="exact"/>
              <w:jc w:val="center"/>
              <w:rPr>
                <w:rFonts w:hint="eastAsia" w:ascii="黑体" w:hAnsi="黑体" w:eastAsia="黑体" w:cs="Arial"/>
                <w:sz w:val="28"/>
                <w:szCs w:val="28"/>
                <w14:ligatures w14:val="none"/>
              </w:rPr>
            </w:pPr>
            <w:r>
              <w:rPr>
                <w:rFonts w:hint="eastAsia" w:ascii="黑体" w:hAnsi="黑体" w:eastAsia="黑体" w:cs="Times New Roman"/>
                <w:sz w:val="28"/>
                <w:szCs w:val="28"/>
                <w14:ligatures w14:val="none"/>
              </w:rPr>
              <w:t>内容</w:t>
            </w:r>
          </w:p>
        </w:tc>
        <w:tc>
          <w:tcPr>
            <w:tcW w:w="1984" w:type="dxa"/>
            <w:tcBorders>
              <w:top w:val="single" w:color="auto" w:sz="4" w:space="0"/>
              <w:left w:val="single" w:color="auto" w:sz="4" w:space="0"/>
              <w:bottom w:val="single" w:color="auto" w:sz="4" w:space="0"/>
              <w:right w:val="single" w:color="auto" w:sz="4" w:space="0"/>
            </w:tcBorders>
            <w:vAlign w:val="center"/>
          </w:tcPr>
          <w:p w14:paraId="32C74B95">
            <w:pPr>
              <w:autoSpaceDN w:val="0"/>
              <w:spacing w:after="0" w:line="360" w:lineRule="exact"/>
              <w:jc w:val="center"/>
              <w:rPr>
                <w:rFonts w:hint="eastAsia" w:ascii="黑体" w:hAnsi="黑体" w:eastAsia="黑体" w:cs="Arial"/>
                <w:sz w:val="28"/>
                <w:szCs w:val="28"/>
                <w14:ligatures w14:val="none"/>
              </w:rPr>
            </w:pPr>
            <w:r>
              <w:rPr>
                <w:rFonts w:hint="eastAsia" w:ascii="黑体" w:hAnsi="黑体" w:eastAsia="黑体" w:cs="Arial"/>
                <w:sz w:val="28"/>
                <w:szCs w:val="28"/>
                <w14:ligatures w14:val="none"/>
              </w:rPr>
              <w:t>类别</w:t>
            </w:r>
          </w:p>
        </w:tc>
        <w:tc>
          <w:tcPr>
            <w:tcW w:w="7371" w:type="dxa"/>
            <w:tcBorders>
              <w:top w:val="single" w:color="auto" w:sz="4" w:space="0"/>
              <w:left w:val="single" w:color="auto" w:sz="4" w:space="0"/>
              <w:bottom w:val="single" w:color="auto" w:sz="4" w:space="0"/>
              <w:right w:val="single" w:color="auto" w:sz="4" w:space="0"/>
            </w:tcBorders>
            <w:vAlign w:val="center"/>
          </w:tcPr>
          <w:p w14:paraId="22AB6C72">
            <w:pPr>
              <w:autoSpaceDN w:val="0"/>
              <w:spacing w:after="0" w:line="360" w:lineRule="exact"/>
              <w:jc w:val="center"/>
              <w:rPr>
                <w:rFonts w:hint="eastAsia" w:ascii="黑体" w:hAnsi="黑体" w:eastAsia="黑体" w:cs="Arial"/>
                <w:sz w:val="28"/>
                <w:szCs w:val="28"/>
                <w14:ligatures w14:val="none"/>
              </w:rPr>
            </w:pPr>
            <w:r>
              <w:rPr>
                <w:rFonts w:hint="eastAsia" w:ascii="黑体" w:hAnsi="黑体" w:eastAsia="黑体" w:cs="Times New Roman"/>
                <w:sz w:val="28"/>
                <w:szCs w:val="28"/>
                <w14:ligatures w14:val="none"/>
              </w:rPr>
              <w:t>标准</w:t>
            </w:r>
          </w:p>
        </w:tc>
      </w:tr>
      <w:tr w14:paraId="0A2B327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111"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3EFB4E5C">
            <w:pPr>
              <w:autoSpaceDN w:val="0"/>
              <w:spacing w:after="0" w:line="360" w:lineRule="exact"/>
              <w:jc w:val="center"/>
              <w:rPr>
                <w:rFonts w:hint="eastAsia" w:ascii="仿宋_GB2312" w:hAnsi="等线" w:eastAsia="仿宋_GB2312" w:cs="Arial"/>
                <w:sz w:val="28"/>
                <w:szCs w:val="28"/>
                <w14:ligatures w14:val="none"/>
              </w:rPr>
            </w:pPr>
            <w:r>
              <w:rPr>
                <w:rFonts w:hint="eastAsia" w:ascii="仿宋_GB2312" w:hAnsi="等线" w:eastAsia="仿宋_GB2312" w:cs="Arial"/>
                <w:sz w:val="28"/>
                <w:szCs w:val="28"/>
                <w14:ligatures w14:val="none"/>
              </w:rPr>
              <w:t>1</w:t>
            </w:r>
          </w:p>
        </w:tc>
        <w:tc>
          <w:tcPr>
            <w:tcW w:w="2835" w:type="dxa"/>
            <w:tcBorders>
              <w:top w:val="single" w:color="auto" w:sz="4" w:space="0"/>
              <w:left w:val="single" w:color="auto" w:sz="4" w:space="0"/>
              <w:bottom w:val="single" w:color="auto" w:sz="4" w:space="0"/>
              <w:right w:val="single" w:color="auto" w:sz="4" w:space="0"/>
            </w:tcBorders>
            <w:vAlign w:val="center"/>
          </w:tcPr>
          <w:p w14:paraId="49F9EB06">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对地图编制、出版、展示、登载和互联网地图服务的行政检查</w:t>
            </w:r>
          </w:p>
        </w:tc>
        <w:tc>
          <w:tcPr>
            <w:tcW w:w="1984" w:type="dxa"/>
            <w:tcBorders>
              <w:top w:val="single" w:color="auto" w:sz="4" w:space="0"/>
              <w:left w:val="single" w:color="auto" w:sz="4" w:space="0"/>
              <w:bottom w:val="single" w:color="auto" w:sz="4" w:space="0"/>
              <w:right w:val="single" w:color="auto" w:sz="4" w:space="0"/>
            </w:tcBorders>
            <w:vAlign w:val="center"/>
          </w:tcPr>
          <w:p w14:paraId="13BA2996">
            <w:pPr>
              <w:autoSpaceDN w:val="0"/>
              <w:spacing w:after="0" w:line="360" w:lineRule="exact"/>
              <w:jc w:val="center"/>
              <w:rPr>
                <w:rFonts w:hint="eastAsia" w:ascii="仿宋_GB2312" w:hAnsi="等线" w:eastAsia="仿宋_GB2312" w:cs="Arial"/>
                <w:sz w:val="28"/>
                <w:szCs w:val="28"/>
                <w14:ligatures w14:val="none"/>
              </w:rPr>
            </w:pPr>
            <w:r>
              <w:rPr>
                <w:rFonts w:hint="eastAsia" w:ascii="仿宋_GB2312" w:hAnsi="等线" w:eastAsia="仿宋_GB2312" w:cs="Arial"/>
                <w:sz w:val="28"/>
                <w:szCs w:val="28"/>
                <w14:ligatures w14:val="none"/>
              </w:rPr>
              <w:t>地图审核通过件核查</w:t>
            </w:r>
          </w:p>
        </w:tc>
        <w:tc>
          <w:tcPr>
            <w:tcW w:w="7371" w:type="dxa"/>
            <w:tcBorders>
              <w:top w:val="single" w:color="auto" w:sz="4" w:space="0"/>
              <w:left w:val="single" w:color="auto" w:sz="4" w:space="0"/>
              <w:bottom w:val="single" w:color="auto" w:sz="4" w:space="0"/>
              <w:right w:val="single" w:color="auto" w:sz="4" w:space="0"/>
            </w:tcBorders>
            <w:vAlign w:val="center"/>
          </w:tcPr>
          <w:p w14:paraId="67DA2240">
            <w:pPr>
              <w:autoSpaceDN w:val="0"/>
              <w:spacing w:after="0" w:line="360" w:lineRule="exact"/>
              <w:jc w:val="both"/>
              <w:rPr>
                <w:rFonts w:hint="eastAsia" w:ascii="仿宋_GB2312" w:hAnsi="Times New Roman" w:eastAsia="仿宋_GB2312" w:cs="Times New Roman"/>
                <w:sz w:val="28"/>
                <w:szCs w:val="28"/>
                <w14:ligatures w14:val="none"/>
              </w:rPr>
            </w:pPr>
            <w:r>
              <w:rPr>
                <w:rFonts w:hint="eastAsia" w:ascii="仿宋_GB2312" w:hAnsi="Times New Roman" w:eastAsia="仿宋_GB2312" w:cs="Times New Roman"/>
                <w:sz w:val="28"/>
                <w:szCs w:val="28"/>
                <w14:ligatures w14:val="none"/>
              </w:rPr>
              <w:t>1.上年度省级审核通过的地图，已向社会公开的，是否未按照审核要求修改。</w:t>
            </w:r>
          </w:p>
          <w:p w14:paraId="3660EB62">
            <w:pPr>
              <w:autoSpaceDN w:val="0"/>
              <w:spacing w:after="0" w:line="360" w:lineRule="exact"/>
              <w:jc w:val="both"/>
              <w:rPr>
                <w:rFonts w:hint="eastAsia" w:ascii="仿宋_GB2312" w:hAnsi="Times New Roman" w:eastAsia="仿宋_GB2312" w:cs="Times New Roman"/>
                <w:sz w:val="28"/>
                <w:szCs w:val="28"/>
                <w14:ligatures w14:val="none"/>
              </w:rPr>
            </w:pPr>
            <w:r>
              <w:rPr>
                <w:rFonts w:hint="eastAsia" w:ascii="仿宋_GB2312" w:hAnsi="Times New Roman" w:eastAsia="仿宋_GB2312" w:cs="Times New Roman"/>
                <w:sz w:val="28"/>
                <w:szCs w:val="28"/>
                <w14:ligatures w14:val="none"/>
              </w:rPr>
              <w:t>2.是否弄虚作假、伪造申请材料骗取地图审核批准文件。</w:t>
            </w:r>
          </w:p>
          <w:p w14:paraId="3F32EB4A">
            <w:pPr>
              <w:autoSpaceDN w:val="0"/>
              <w:spacing w:after="0" w:line="360" w:lineRule="exact"/>
              <w:jc w:val="both"/>
              <w:rPr>
                <w:rFonts w:hint="eastAsia" w:ascii="仿宋_GB2312" w:hAnsi="Times New Roman" w:eastAsia="仿宋_GB2312" w:cs="Times New Roman"/>
                <w:sz w:val="28"/>
                <w:szCs w:val="28"/>
                <w14:ligatures w14:val="none"/>
              </w:rPr>
            </w:pPr>
            <w:r>
              <w:rPr>
                <w:rFonts w:hint="eastAsia" w:ascii="仿宋_GB2312" w:hAnsi="Times New Roman" w:eastAsia="仿宋_GB2312" w:cs="Times New Roman"/>
                <w:sz w:val="28"/>
                <w:szCs w:val="28"/>
                <w14:ligatures w14:val="none"/>
              </w:rPr>
              <w:t>3.是否伪造、冒用地图审核批准文件和审图号。</w:t>
            </w:r>
          </w:p>
          <w:p w14:paraId="1F7943D0">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4.是否未在地图的适当位置显著标注审图号。</w:t>
            </w:r>
          </w:p>
        </w:tc>
      </w:tr>
    </w:tbl>
    <w:p w14:paraId="7A612A4B">
      <w:pPr>
        <w:spacing w:before="156" w:beforeLines="50" w:after="156" w:afterLines="50" w:line="560" w:lineRule="exact"/>
        <w:ind w:firstLine="640" w:firstLineChars="200"/>
        <w:jc w:val="both"/>
        <w:rPr>
          <w:rFonts w:ascii="黑体" w:hAnsi="黑体" w:eastAsia="黑体"/>
          <w:sz w:val="32"/>
          <w:szCs w:val="32"/>
        </w:rPr>
      </w:pPr>
      <w:r>
        <w:rPr>
          <w:rFonts w:hint="eastAsia" w:ascii="黑体" w:hAnsi="黑体" w:eastAsia="黑体"/>
          <w:sz w:val="32"/>
          <w:szCs w:val="32"/>
        </w:rPr>
        <w:t>十、对地理信息安全的行政检查</w:t>
      </w:r>
    </w:p>
    <w:tbl>
      <w:tblPr>
        <w:tblStyle w:val="15"/>
        <w:tblW w:w="13183"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988"/>
        <w:gridCol w:w="2835"/>
        <w:gridCol w:w="1984"/>
        <w:gridCol w:w="7376"/>
      </w:tblGrid>
      <w:tr w14:paraId="2432EED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01"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1E169DE0">
            <w:pPr>
              <w:autoSpaceDN w:val="0"/>
              <w:spacing w:after="0" w:line="360" w:lineRule="exact"/>
              <w:jc w:val="center"/>
              <w:rPr>
                <w:rFonts w:ascii="黑体" w:hAnsi="黑体" w:eastAsia="黑体" w:cs="Arial"/>
                <w:sz w:val="28"/>
                <w:szCs w:val="28"/>
                <w14:ligatures w14:val="none"/>
              </w:rPr>
            </w:pPr>
            <w:r>
              <w:rPr>
                <w:rFonts w:hint="eastAsia" w:ascii="黑体" w:hAnsi="黑体" w:eastAsia="黑体" w:cs="Times New Roman"/>
                <w:sz w:val="28"/>
                <w:szCs w:val="28"/>
                <w14:ligatures w14:val="none"/>
              </w:rPr>
              <w:t>序号</w:t>
            </w:r>
          </w:p>
        </w:tc>
        <w:tc>
          <w:tcPr>
            <w:tcW w:w="2835" w:type="dxa"/>
            <w:tcBorders>
              <w:top w:val="single" w:color="auto" w:sz="4" w:space="0"/>
              <w:left w:val="single" w:color="auto" w:sz="4" w:space="0"/>
              <w:bottom w:val="single" w:color="auto" w:sz="4" w:space="0"/>
              <w:right w:val="single" w:color="auto" w:sz="4" w:space="0"/>
            </w:tcBorders>
            <w:vAlign w:val="center"/>
          </w:tcPr>
          <w:p w14:paraId="64B34D19">
            <w:pPr>
              <w:autoSpaceDN w:val="0"/>
              <w:spacing w:after="0" w:line="360" w:lineRule="exact"/>
              <w:jc w:val="center"/>
              <w:rPr>
                <w:rFonts w:hint="eastAsia" w:ascii="黑体" w:hAnsi="黑体" w:eastAsia="黑体" w:cs="Arial"/>
                <w:sz w:val="28"/>
                <w:szCs w:val="28"/>
                <w14:ligatures w14:val="none"/>
              </w:rPr>
            </w:pPr>
            <w:r>
              <w:rPr>
                <w:rFonts w:hint="eastAsia" w:ascii="黑体" w:hAnsi="黑体" w:eastAsia="黑体" w:cs="Arial"/>
                <w:sz w:val="28"/>
                <w:szCs w:val="28"/>
                <w14:ligatures w14:val="none"/>
              </w:rPr>
              <w:t>内容</w:t>
            </w:r>
          </w:p>
        </w:tc>
        <w:tc>
          <w:tcPr>
            <w:tcW w:w="1984" w:type="dxa"/>
            <w:tcBorders>
              <w:top w:val="single" w:color="auto" w:sz="4" w:space="0"/>
              <w:left w:val="single" w:color="auto" w:sz="4" w:space="0"/>
              <w:bottom w:val="single" w:color="auto" w:sz="4" w:space="0"/>
              <w:right w:val="single" w:color="auto" w:sz="4" w:space="0"/>
            </w:tcBorders>
            <w:vAlign w:val="center"/>
          </w:tcPr>
          <w:p w14:paraId="4DA1B729">
            <w:pPr>
              <w:autoSpaceDN w:val="0"/>
              <w:spacing w:after="0" w:line="360" w:lineRule="exact"/>
              <w:jc w:val="center"/>
              <w:rPr>
                <w:rFonts w:hint="eastAsia" w:ascii="黑体" w:hAnsi="黑体" w:eastAsia="黑体" w:cs="Arial"/>
                <w:sz w:val="28"/>
                <w:szCs w:val="28"/>
                <w14:ligatures w14:val="none"/>
              </w:rPr>
            </w:pPr>
            <w:r>
              <w:rPr>
                <w:rFonts w:hint="eastAsia" w:ascii="黑体" w:hAnsi="黑体" w:eastAsia="黑体" w:cs="Arial"/>
                <w:sz w:val="28"/>
                <w:szCs w:val="28"/>
                <w14:ligatures w14:val="none"/>
              </w:rPr>
              <w:t>类别</w:t>
            </w:r>
          </w:p>
        </w:tc>
        <w:tc>
          <w:tcPr>
            <w:tcW w:w="7376" w:type="dxa"/>
            <w:tcBorders>
              <w:top w:val="single" w:color="auto" w:sz="4" w:space="0"/>
              <w:left w:val="single" w:color="auto" w:sz="4" w:space="0"/>
              <w:bottom w:val="single" w:color="auto" w:sz="4" w:space="0"/>
              <w:right w:val="single" w:color="auto" w:sz="4" w:space="0"/>
            </w:tcBorders>
            <w:vAlign w:val="center"/>
          </w:tcPr>
          <w:p w14:paraId="4FFC7C21">
            <w:pPr>
              <w:autoSpaceDN w:val="0"/>
              <w:spacing w:after="0" w:line="360" w:lineRule="exact"/>
              <w:jc w:val="center"/>
              <w:rPr>
                <w:rFonts w:ascii="黑体" w:hAnsi="黑体" w:eastAsia="黑体" w:cs="Arial"/>
                <w:sz w:val="28"/>
                <w:szCs w:val="28"/>
                <w14:ligatures w14:val="none"/>
              </w:rPr>
            </w:pPr>
            <w:r>
              <w:rPr>
                <w:rFonts w:hint="eastAsia" w:ascii="黑体" w:hAnsi="黑体" w:eastAsia="黑体" w:cs="Times New Roman"/>
                <w:sz w:val="28"/>
                <w:szCs w:val="28"/>
                <w14:ligatures w14:val="none"/>
              </w:rPr>
              <w:t>标准</w:t>
            </w:r>
          </w:p>
        </w:tc>
      </w:tr>
      <w:tr w14:paraId="64C9CD2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637" w:hRule="atLeast"/>
          <w:jc w:val="center"/>
        </w:trPr>
        <w:tc>
          <w:tcPr>
            <w:tcW w:w="988" w:type="dxa"/>
            <w:vMerge w:val="restart"/>
            <w:tcBorders>
              <w:top w:val="single" w:color="auto" w:sz="4" w:space="0"/>
              <w:left w:val="single" w:color="auto" w:sz="4" w:space="0"/>
              <w:bottom w:val="single" w:color="auto" w:sz="4" w:space="0"/>
              <w:right w:val="single" w:color="auto" w:sz="4" w:space="0"/>
            </w:tcBorders>
            <w:vAlign w:val="center"/>
          </w:tcPr>
          <w:p w14:paraId="510129FC">
            <w:pPr>
              <w:autoSpaceDN w:val="0"/>
              <w:spacing w:after="0" w:line="360" w:lineRule="exact"/>
              <w:jc w:val="center"/>
              <w:rPr>
                <w:rFonts w:hint="eastAsia" w:ascii="仿宋_GB2312" w:hAnsi="等线" w:eastAsia="仿宋_GB2312" w:cs="Arial"/>
                <w:sz w:val="28"/>
                <w:szCs w:val="28"/>
                <w14:ligatures w14:val="none"/>
              </w:rPr>
            </w:pPr>
            <w:r>
              <w:rPr>
                <w:rFonts w:hint="eastAsia" w:ascii="仿宋_GB2312" w:hAnsi="等线" w:eastAsia="仿宋_GB2312" w:cs="Arial"/>
                <w:sz w:val="28"/>
                <w:szCs w:val="28"/>
                <w14:ligatures w14:val="none"/>
              </w:rPr>
              <w:t>1</w:t>
            </w:r>
          </w:p>
        </w:tc>
        <w:tc>
          <w:tcPr>
            <w:tcW w:w="2835" w:type="dxa"/>
            <w:vMerge w:val="restart"/>
            <w:tcBorders>
              <w:top w:val="single" w:color="auto" w:sz="4" w:space="0"/>
              <w:left w:val="single" w:color="auto" w:sz="4" w:space="0"/>
              <w:bottom w:val="single" w:color="auto" w:sz="4" w:space="0"/>
              <w:right w:val="single" w:color="auto" w:sz="4" w:space="0"/>
            </w:tcBorders>
            <w:vAlign w:val="center"/>
          </w:tcPr>
          <w:p w14:paraId="34B482C3">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地理信息安全管理</w:t>
            </w:r>
          </w:p>
        </w:tc>
        <w:tc>
          <w:tcPr>
            <w:tcW w:w="1984" w:type="dxa"/>
            <w:tcBorders>
              <w:top w:val="single" w:color="auto" w:sz="4" w:space="0"/>
              <w:left w:val="single" w:color="auto" w:sz="4" w:space="0"/>
              <w:bottom w:val="single" w:color="auto" w:sz="4" w:space="0"/>
              <w:right w:val="single" w:color="auto" w:sz="4" w:space="0"/>
            </w:tcBorders>
            <w:vAlign w:val="center"/>
          </w:tcPr>
          <w:p w14:paraId="0C0940FE">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.档案管理</w:t>
            </w:r>
          </w:p>
        </w:tc>
        <w:tc>
          <w:tcPr>
            <w:tcW w:w="7376" w:type="dxa"/>
            <w:tcBorders>
              <w:top w:val="single" w:color="auto" w:sz="4" w:space="0"/>
              <w:left w:val="single" w:color="auto" w:sz="4" w:space="0"/>
              <w:bottom w:val="single" w:color="auto" w:sz="4" w:space="0"/>
              <w:right w:val="single" w:color="auto" w:sz="4" w:space="0"/>
            </w:tcBorders>
            <w:vAlign w:val="center"/>
          </w:tcPr>
          <w:p w14:paraId="5A0F150E">
            <w:pPr>
              <w:autoSpaceDN w:val="0"/>
              <w:spacing w:before="62" w:beforeLines="20"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.单位领导重视地理信息成果资料档案管理工作，明确分管领导，并列入单位领导议事日程。</w:t>
            </w:r>
          </w:p>
          <w:p w14:paraId="0FA7B08D">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2</w:t>
            </w:r>
            <w:r>
              <w:rPr>
                <w:rFonts w:hint="eastAsia" w:ascii="仿宋_GB2312" w:hAnsi="等线" w:eastAsia="仿宋_GB2312" w:cs="Times New Roman"/>
                <w:sz w:val="28"/>
                <w:szCs w:val="28"/>
                <w14:ligatures w14:val="none"/>
              </w:rPr>
              <w:t>.单位有专门的档案管理机构，配备了与工作相适应而且能胜任工作的档案人员，档案实现了集中统一管理。</w:t>
            </w:r>
          </w:p>
          <w:p w14:paraId="2F2CCB5E">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3</w:t>
            </w:r>
            <w:r>
              <w:rPr>
                <w:rFonts w:hint="eastAsia" w:ascii="仿宋_GB2312" w:hAnsi="等线" w:eastAsia="仿宋_GB2312" w:cs="Times New Roman"/>
                <w:sz w:val="28"/>
                <w:szCs w:val="28"/>
                <w14:ligatures w14:val="none"/>
              </w:rPr>
              <w:t>.建立了地理信息成果资料档案建档、归档、保管、借用、查阅、复制、汇交、销毁等制度。</w:t>
            </w:r>
          </w:p>
          <w:p w14:paraId="6482AD30">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4</w:t>
            </w:r>
            <w:r>
              <w:rPr>
                <w:rFonts w:hint="eastAsia" w:ascii="仿宋_GB2312" w:hAnsi="等线" w:eastAsia="仿宋_GB2312" w:cs="Times New Roman"/>
                <w:sz w:val="28"/>
                <w:szCs w:val="28"/>
                <w14:ligatures w14:val="none"/>
              </w:rPr>
              <w:t>.档案资料的保管库房应有房屋所有权证或房屋租赁协议等其他证明文件。</w:t>
            </w:r>
          </w:p>
          <w:p w14:paraId="043AF4B1">
            <w:pPr>
              <w:autoSpaceDN w:val="0"/>
              <w:spacing w:after="62" w:afterLines="2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5</w:t>
            </w:r>
            <w:r>
              <w:rPr>
                <w:rFonts w:hint="eastAsia" w:ascii="仿宋_GB2312" w:hAnsi="等线" w:eastAsia="仿宋_GB2312" w:cs="Times New Roman"/>
                <w:sz w:val="28"/>
                <w:szCs w:val="28"/>
                <w14:ligatures w14:val="none"/>
              </w:rPr>
              <w:t>.档案室具备防盗、防火、防光、防潮、防尘、防有害生物和污染等安全措施。</w:t>
            </w:r>
          </w:p>
        </w:tc>
      </w:tr>
      <w:tr w14:paraId="4193F71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235" w:hRule="atLeast"/>
          <w:jc w:val="center"/>
        </w:trPr>
        <w:tc>
          <w:tcPr>
            <w:tcW w:w="988" w:type="dxa"/>
            <w:vMerge w:val="continue"/>
            <w:tcBorders>
              <w:top w:val="single" w:color="auto" w:sz="4" w:space="0"/>
              <w:left w:val="single" w:color="auto" w:sz="4" w:space="0"/>
              <w:bottom w:val="single" w:color="auto" w:sz="4" w:space="0"/>
              <w:right w:val="single" w:color="auto" w:sz="4" w:space="0"/>
            </w:tcBorders>
            <w:vAlign w:val="center"/>
          </w:tcPr>
          <w:p w14:paraId="2CCFC9AD">
            <w:pPr>
              <w:widowControl/>
              <w:spacing w:after="0" w:line="360" w:lineRule="exact"/>
              <w:rPr>
                <w:rFonts w:ascii="等线" w:hAnsi="等线" w:eastAsia="等线" w:cs="Arial"/>
                <w:sz w:val="28"/>
                <w:szCs w:val="28"/>
                <w14:ligatures w14:val="none"/>
              </w:rPr>
            </w:pPr>
          </w:p>
        </w:tc>
        <w:tc>
          <w:tcPr>
            <w:tcW w:w="2835" w:type="dxa"/>
            <w:vMerge w:val="continue"/>
            <w:tcBorders>
              <w:top w:val="single" w:color="auto" w:sz="4" w:space="0"/>
              <w:left w:val="single" w:color="auto" w:sz="4" w:space="0"/>
              <w:bottom w:val="single" w:color="auto" w:sz="4" w:space="0"/>
              <w:right w:val="single" w:color="auto" w:sz="4" w:space="0"/>
            </w:tcBorders>
            <w:vAlign w:val="center"/>
          </w:tcPr>
          <w:p w14:paraId="3A78C565">
            <w:pPr>
              <w:widowControl/>
              <w:spacing w:after="0" w:line="360" w:lineRule="exact"/>
              <w:rPr>
                <w:rFonts w:ascii="等线" w:hAnsi="等线" w:eastAsia="等线" w:cs="Arial"/>
                <w:sz w:val="28"/>
                <w:szCs w:val="28"/>
                <w14:ligatures w14:val="none"/>
              </w:rPr>
            </w:pPr>
          </w:p>
        </w:tc>
        <w:tc>
          <w:tcPr>
            <w:tcW w:w="1984" w:type="dxa"/>
            <w:tcBorders>
              <w:top w:val="single" w:color="auto" w:sz="4" w:space="0"/>
              <w:left w:val="single" w:color="auto" w:sz="4" w:space="0"/>
              <w:bottom w:val="single" w:color="auto" w:sz="4" w:space="0"/>
              <w:right w:val="single" w:color="auto" w:sz="4" w:space="0"/>
            </w:tcBorders>
            <w:vAlign w:val="center"/>
          </w:tcPr>
          <w:p w14:paraId="46397B79">
            <w:pPr>
              <w:autoSpaceDN w:val="0"/>
              <w:spacing w:after="0" w:line="360" w:lineRule="exact"/>
              <w:jc w:val="both"/>
              <w:rPr>
                <w:rFonts w:ascii="等线" w:hAnsi="等线" w:eastAsia="等线" w:cs="Arial"/>
                <w:sz w:val="28"/>
                <w:szCs w:val="28"/>
                <w14:ligatures w14:val="none"/>
              </w:rPr>
            </w:pPr>
            <w:r>
              <w:rPr>
                <w:rFonts w:hint="eastAsia" w:ascii="仿宋_GB2312" w:hAnsi="Times New Roman" w:eastAsia="仿宋_GB2312" w:cs="Times New Roman"/>
                <w:sz w:val="28"/>
                <w:szCs w:val="28"/>
                <w14:ligatures w14:val="none"/>
              </w:rPr>
              <w:t>2</w:t>
            </w:r>
            <w:r>
              <w:rPr>
                <w:rFonts w:hint="eastAsia" w:ascii="仿宋_GB2312" w:hAnsi="等线" w:eastAsia="仿宋_GB2312" w:cs="Times New Roman"/>
                <w:sz w:val="28"/>
                <w:szCs w:val="28"/>
                <w14:ligatures w14:val="none"/>
              </w:rPr>
              <w:t>.</w:t>
            </w:r>
            <w:r>
              <w:rPr>
                <w:rFonts w:hint="eastAsia" w:ascii="Times New Roman" w:hAnsi="等线" w:eastAsia="仿宋_GB2312" w:cs="Times New Roman"/>
                <w:sz w:val="28"/>
                <w:szCs w:val="28"/>
                <w14:ligatures w14:val="none"/>
              </w:rPr>
              <w:t>保密管理</w:t>
            </w:r>
          </w:p>
        </w:tc>
        <w:tc>
          <w:tcPr>
            <w:tcW w:w="7376" w:type="dxa"/>
            <w:tcBorders>
              <w:top w:val="single" w:color="auto" w:sz="4" w:space="0"/>
              <w:left w:val="single" w:color="auto" w:sz="4" w:space="0"/>
              <w:bottom w:val="single" w:color="auto" w:sz="4" w:space="0"/>
              <w:right w:val="single" w:color="auto" w:sz="4" w:space="0"/>
            </w:tcBorders>
            <w:vAlign w:val="center"/>
          </w:tcPr>
          <w:p w14:paraId="2642AB3F">
            <w:pPr>
              <w:autoSpaceDN w:val="0"/>
              <w:spacing w:after="0" w:line="360" w:lineRule="exact"/>
              <w:jc w:val="both"/>
              <w:rPr>
                <w:rFonts w:hint="eastAsia" w:ascii="等线"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w:t>
            </w:r>
            <w:r>
              <w:rPr>
                <w:rFonts w:hint="eastAsia" w:ascii="Times New Roman" w:hAnsi="等线" w:eastAsia="仿宋_GB2312" w:cs="Times New Roman"/>
                <w:sz w:val="28"/>
                <w:szCs w:val="28"/>
                <w14:ligatures w14:val="none"/>
              </w:rPr>
              <w:t>单位领导重视保密工作，成立保密工作领导机构，确定本单位保密要害部门、部位。</w:t>
            </w:r>
          </w:p>
          <w:p w14:paraId="66B06501">
            <w:pPr>
              <w:autoSpaceDN w:val="0"/>
              <w:spacing w:after="0" w:line="360" w:lineRule="exact"/>
              <w:jc w:val="both"/>
              <w:rPr>
                <w:rFonts w:hint="eastAsia" w:ascii="等线" w:hAnsi="等线" w:eastAsia="仿宋_GB2312" w:cs="Arial"/>
                <w:sz w:val="28"/>
                <w:szCs w:val="28"/>
                <w14:ligatures w14:val="none"/>
              </w:rPr>
            </w:pPr>
            <w:r>
              <w:rPr>
                <w:rFonts w:hint="eastAsia" w:ascii="仿宋_GB2312" w:hAnsi="Times New Roman" w:eastAsia="仿宋_GB2312" w:cs="Times New Roman"/>
                <w:sz w:val="28"/>
                <w:szCs w:val="28"/>
                <w14:ligatures w14:val="none"/>
              </w:rPr>
              <w:t>2</w:t>
            </w:r>
            <w:r>
              <w:rPr>
                <w:rFonts w:hint="eastAsia" w:ascii="仿宋_GB2312" w:hAnsi="等线" w:eastAsia="仿宋_GB2312" w:cs="Times New Roman"/>
                <w:sz w:val="28"/>
                <w:szCs w:val="28"/>
                <w14:ligatures w14:val="none"/>
              </w:rPr>
              <w:t>.</w:t>
            </w:r>
            <w:r>
              <w:rPr>
                <w:rFonts w:hint="eastAsia" w:ascii="Times New Roman" w:hAnsi="等线" w:eastAsia="仿宋_GB2312" w:cs="Times New Roman"/>
                <w:sz w:val="28"/>
                <w:szCs w:val="28"/>
                <w14:ligatures w14:val="none"/>
              </w:rPr>
              <w:t>建立了地理信息成果资料登记与定密、复制与保存、借阅与传递、加工与利用、延期使用与销毁、涉密人员管理、涉密测绘地理信息系统和设施设备管理、保密要害部门（部位）管理、安全保密自查、保密培训和宣传等制度体系。</w:t>
            </w:r>
          </w:p>
          <w:p w14:paraId="181FBE64">
            <w:pPr>
              <w:autoSpaceDN w:val="0"/>
              <w:spacing w:after="0" w:line="360" w:lineRule="exact"/>
              <w:jc w:val="both"/>
              <w:rPr>
                <w:rFonts w:hint="eastAsia" w:ascii="等线" w:hAnsi="等线" w:eastAsia="仿宋_GB2312" w:cs="Arial"/>
                <w:sz w:val="28"/>
                <w:szCs w:val="28"/>
                <w14:ligatures w14:val="none"/>
              </w:rPr>
            </w:pPr>
            <w:r>
              <w:rPr>
                <w:rFonts w:hint="eastAsia" w:ascii="仿宋_GB2312" w:hAnsi="Times New Roman" w:eastAsia="仿宋_GB2312" w:cs="Times New Roman"/>
                <w:sz w:val="28"/>
                <w:szCs w:val="28"/>
                <w14:ligatures w14:val="none"/>
              </w:rPr>
              <w:t>3</w:t>
            </w:r>
            <w:r>
              <w:rPr>
                <w:rFonts w:hint="eastAsia" w:ascii="仿宋_GB2312" w:hAnsi="等线" w:eastAsia="仿宋_GB2312" w:cs="Times New Roman"/>
                <w:sz w:val="28"/>
                <w:szCs w:val="28"/>
                <w14:ligatures w14:val="none"/>
              </w:rPr>
              <w:t>.</w:t>
            </w:r>
            <w:r>
              <w:rPr>
                <w:rFonts w:hint="eastAsia" w:ascii="Times New Roman" w:hAnsi="等线" w:eastAsia="仿宋_GB2312" w:cs="Times New Roman"/>
                <w:sz w:val="28"/>
                <w:szCs w:val="28"/>
                <w14:ligatures w14:val="none"/>
              </w:rPr>
              <w:t>与涉密人员及时签订保密责任书。</w:t>
            </w:r>
          </w:p>
          <w:p w14:paraId="14D7D2CE">
            <w:pPr>
              <w:autoSpaceDN w:val="0"/>
              <w:spacing w:after="0" w:line="360" w:lineRule="exact"/>
              <w:jc w:val="both"/>
              <w:rPr>
                <w:rFonts w:hint="eastAsia" w:ascii="等线" w:hAnsi="等线" w:eastAsia="仿宋_GB2312" w:cs="Arial"/>
                <w:sz w:val="28"/>
                <w:szCs w:val="28"/>
                <w14:ligatures w14:val="none"/>
              </w:rPr>
            </w:pPr>
            <w:r>
              <w:rPr>
                <w:rFonts w:hint="eastAsia" w:ascii="仿宋_GB2312" w:hAnsi="Times New Roman" w:eastAsia="仿宋_GB2312" w:cs="Times New Roman"/>
                <w:sz w:val="28"/>
                <w:szCs w:val="28"/>
                <w14:ligatures w14:val="none"/>
              </w:rPr>
              <w:t>4</w:t>
            </w:r>
            <w:r>
              <w:rPr>
                <w:rFonts w:hint="eastAsia" w:ascii="仿宋_GB2312" w:hAnsi="等线" w:eastAsia="仿宋_GB2312" w:cs="Times New Roman"/>
                <w:sz w:val="28"/>
                <w:szCs w:val="28"/>
                <w14:ligatures w14:val="none"/>
              </w:rPr>
              <w:t>.</w:t>
            </w:r>
            <w:r>
              <w:rPr>
                <w:rFonts w:hint="eastAsia" w:ascii="Times New Roman" w:hAnsi="等线" w:eastAsia="仿宋_GB2312" w:cs="Times New Roman"/>
                <w:sz w:val="28"/>
                <w:szCs w:val="28"/>
                <w14:ligatures w14:val="none"/>
              </w:rPr>
              <w:t>保密人员经过培训上岗，有明确的保密岗位职责。</w:t>
            </w:r>
          </w:p>
          <w:p w14:paraId="36BEDF76">
            <w:pPr>
              <w:autoSpaceDN w:val="0"/>
              <w:spacing w:after="0" w:line="360" w:lineRule="exact"/>
              <w:jc w:val="both"/>
              <w:rPr>
                <w:rFonts w:hint="eastAsia" w:ascii="等线" w:hAnsi="等线" w:eastAsia="仿宋_GB2312" w:cs="Arial"/>
                <w:sz w:val="28"/>
                <w:szCs w:val="28"/>
                <w14:ligatures w14:val="none"/>
              </w:rPr>
            </w:pPr>
            <w:r>
              <w:rPr>
                <w:rFonts w:hint="eastAsia" w:ascii="仿宋_GB2312" w:hAnsi="Times New Roman" w:eastAsia="仿宋_GB2312" w:cs="Times New Roman"/>
                <w:sz w:val="28"/>
                <w:szCs w:val="28"/>
                <w14:ligatures w14:val="none"/>
              </w:rPr>
              <w:t>5</w:t>
            </w:r>
            <w:r>
              <w:rPr>
                <w:rFonts w:hint="eastAsia" w:ascii="仿宋_GB2312" w:hAnsi="等线" w:eastAsia="仿宋_GB2312" w:cs="Times New Roman"/>
                <w:sz w:val="28"/>
                <w:szCs w:val="28"/>
                <w14:ligatures w14:val="none"/>
              </w:rPr>
              <w:t>.</w:t>
            </w:r>
            <w:r>
              <w:rPr>
                <w:rFonts w:hint="eastAsia" w:ascii="Times New Roman" w:hAnsi="等线" w:eastAsia="仿宋_GB2312" w:cs="Times New Roman"/>
                <w:sz w:val="28"/>
                <w:szCs w:val="28"/>
                <w14:ligatures w14:val="none"/>
              </w:rPr>
              <w:t>每年至少开展二次保密教育活动且有记录，并积极参加自然资源、保密主管部门组织的保密培训。</w:t>
            </w:r>
          </w:p>
          <w:p w14:paraId="538F754D">
            <w:pPr>
              <w:autoSpaceDN w:val="0"/>
              <w:spacing w:after="0" w:line="360" w:lineRule="exact"/>
              <w:jc w:val="both"/>
              <w:rPr>
                <w:rFonts w:hint="eastAsia" w:ascii="等线" w:hAnsi="等线" w:eastAsia="仿宋_GB2312" w:cs="Arial"/>
                <w:sz w:val="28"/>
                <w:szCs w:val="28"/>
                <w14:ligatures w14:val="none"/>
              </w:rPr>
            </w:pPr>
            <w:r>
              <w:rPr>
                <w:rFonts w:hint="eastAsia" w:ascii="仿宋_GB2312" w:hAnsi="Times New Roman" w:eastAsia="仿宋_GB2312" w:cs="Times New Roman"/>
                <w:sz w:val="28"/>
                <w:szCs w:val="28"/>
                <w14:ligatures w14:val="none"/>
              </w:rPr>
              <w:t>6</w:t>
            </w:r>
            <w:r>
              <w:rPr>
                <w:rFonts w:hint="eastAsia" w:ascii="仿宋_GB2312" w:hAnsi="等线" w:eastAsia="仿宋_GB2312" w:cs="Times New Roman"/>
                <w:sz w:val="28"/>
                <w:szCs w:val="28"/>
                <w14:ligatures w14:val="none"/>
              </w:rPr>
              <w:t>.</w:t>
            </w:r>
            <w:r>
              <w:rPr>
                <w:rFonts w:hint="eastAsia" w:ascii="Times New Roman" w:hAnsi="等线" w:eastAsia="仿宋_GB2312" w:cs="Times New Roman"/>
                <w:sz w:val="28"/>
                <w:szCs w:val="28"/>
                <w14:ligatures w14:val="none"/>
              </w:rPr>
              <w:t>每季度至少开展一次保密自查且有自查记录。</w:t>
            </w:r>
          </w:p>
        </w:tc>
      </w:tr>
    </w:tbl>
    <w:p w14:paraId="38DF24A2">
      <w:pPr>
        <w:spacing w:before="156" w:beforeLines="50" w:after="156" w:afterLines="50" w:line="560" w:lineRule="exact"/>
        <w:ind w:firstLine="640" w:firstLineChars="200"/>
        <w:jc w:val="both"/>
        <w:rPr>
          <w:rFonts w:ascii="黑体" w:hAnsi="黑体" w:eastAsia="黑体"/>
          <w:sz w:val="32"/>
          <w:szCs w:val="32"/>
        </w:rPr>
      </w:pPr>
    </w:p>
    <w:p w14:paraId="37A78474">
      <w:pPr>
        <w:spacing w:before="156" w:beforeLines="50" w:after="156" w:afterLines="50" w:line="560" w:lineRule="exact"/>
        <w:ind w:firstLine="640" w:firstLineChars="200"/>
        <w:jc w:val="both"/>
        <w:rPr>
          <w:rFonts w:ascii="黑体" w:hAnsi="黑体" w:eastAsia="黑体"/>
          <w:sz w:val="32"/>
          <w:szCs w:val="32"/>
        </w:rPr>
      </w:pPr>
    </w:p>
    <w:p w14:paraId="4AAE7B97">
      <w:pPr>
        <w:spacing w:before="156" w:beforeLines="50" w:after="156" w:afterLines="50" w:line="560" w:lineRule="exact"/>
        <w:ind w:firstLine="640" w:firstLineChars="200"/>
        <w:jc w:val="both"/>
        <w:rPr>
          <w:rFonts w:ascii="黑体" w:hAnsi="黑体" w:eastAsia="黑体"/>
          <w:sz w:val="32"/>
          <w:szCs w:val="32"/>
        </w:rPr>
      </w:pPr>
    </w:p>
    <w:p w14:paraId="760DEB26">
      <w:pPr>
        <w:spacing w:before="156" w:beforeLines="50" w:after="156" w:afterLines="50" w:line="560" w:lineRule="exact"/>
        <w:ind w:firstLine="640" w:firstLineChars="200"/>
        <w:jc w:val="both"/>
        <w:rPr>
          <w:rFonts w:ascii="黑体" w:hAnsi="黑体" w:eastAsia="黑体"/>
          <w:sz w:val="32"/>
          <w:szCs w:val="32"/>
        </w:rPr>
      </w:pPr>
    </w:p>
    <w:p w14:paraId="031DB200">
      <w:pPr>
        <w:spacing w:before="156" w:beforeLines="50" w:after="156" w:afterLines="50" w:line="560" w:lineRule="exact"/>
        <w:ind w:firstLine="640" w:firstLineChars="200"/>
        <w:jc w:val="both"/>
        <w:rPr>
          <w:rFonts w:ascii="黑体" w:hAnsi="黑体" w:eastAsia="黑体"/>
          <w:sz w:val="32"/>
          <w:szCs w:val="32"/>
        </w:rPr>
      </w:pPr>
    </w:p>
    <w:p w14:paraId="7AF8264C">
      <w:pPr>
        <w:spacing w:before="156" w:beforeLines="50" w:after="156" w:afterLines="50" w:line="560" w:lineRule="exact"/>
        <w:ind w:firstLine="640" w:firstLineChars="200"/>
        <w:jc w:val="both"/>
        <w:rPr>
          <w:rFonts w:ascii="黑体" w:hAnsi="黑体" w:eastAsia="黑体"/>
          <w:sz w:val="32"/>
          <w:szCs w:val="32"/>
        </w:rPr>
      </w:pPr>
    </w:p>
    <w:p w14:paraId="181FFDA8">
      <w:pPr>
        <w:spacing w:before="156" w:beforeLines="50" w:after="156" w:afterLines="50" w:line="560" w:lineRule="exact"/>
        <w:ind w:firstLine="640" w:firstLineChars="200"/>
        <w:jc w:val="both"/>
        <w:rPr>
          <w:rFonts w:ascii="黑体" w:hAnsi="黑体" w:eastAsia="黑体"/>
          <w:sz w:val="32"/>
          <w:szCs w:val="32"/>
        </w:rPr>
      </w:pPr>
      <w:r>
        <w:rPr>
          <w:rFonts w:hint="eastAsia" w:ascii="黑体" w:hAnsi="黑体" w:eastAsia="黑体"/>
          <w:sz w:val="32"/>
          <w:szCs w:val="32"/>
        </w:rPr>
        <w:t>十一、对基础测绘成果使用情况的行政检查</w:t>
      </w:r>
    </w:p>
    <w:tbl>
      <w:tblPr>
        <w:tblStyle w:val="15"/>
        <w:tblW w:w="13205"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992"/>
        <w:gridCol w:w="2831"/>
        <w:gridCol w:w="1984"/>
        <w:gridCol w:w="7398"/>
      </w:tblGrid>
      <w:tr w14:paraId="21EC6AC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04" w:hRule="atLeast"/>
          <w:jc w:val="center"/>
        </w:trPr>
        <w:tc>
          <w:tcPr>
            <w:tcW w:w="992" w:type="dxa"/>
            <w:tcBorders>
              <w:top w:val="single" w:color="auto" w:sz="4" w:space="0"/>
              <w:left w:val="single" w:color="auto" w:sz="4" w:space="0"/>
              <w:bottom w:val="single" w:color="auto" w:sz="4" w:space="0"/>
              <w:right w:val="single" w:color="auto" w:sz="4" w:space="0"/>
            </w:tcBorders>
            <w:vAlign w:val="center"/>
          </w:tcPr>
          <w:p w14:paraId="70772290">
            <w:pPr>
              <w:autoSpaceDN w:val="0"/>
              <w:spacing w:after="0" w:line="360" w:lineRule="exact"/>
              <w:jc w:val="center"/>
              <w:rPr>
                <w:rFonts w:hint="eastAsia" w:ascii="黑体" w:hAnsi="黑体" w:eastAsia="黑体" w:cs="Arial"/>
                <w:sz w:val="28"/>
                <w:szCs w:val="28"/>
                <w14:ligatures w14:val="none"/>
              </w:rPr>
            </w:pPr>
            <w:r>
              <w:rPr>
                <w:rFonts w:hint="eastAsia" w:ascii="黑体" w:hAnsi="黑体" w:eastAsia="黑体" w:cs="Arial"/>
                <w:sz w:val="28"/>
                <w:szCs w:val="28"/>
                <w14:ligatures w14:val="none"/>
              </w:rPr>
              <w:t>序号</w:t>
            </w:r>
          </w:p>
        </w:tc>
        <w:tc>
          <w:tcPr>
            <w:tcW w:w="2831" w:type="dxa"/>
            <w:tcBorders>
              <w:top w:val="single" w:color="auto" w:sz="4" w:space="0"/>
              <w:left w:val="single" w:color="auto" w:sz="4" w:space="0"/>
              <w:bottom w:val="single" w:color="auto" w:sz="4" w:space="0"/>
              <w:right w:val="single" w:color="auto" w:sz="4" w:space="0"/>
            </w:tcBorders>
            <w:vAlign w:val="center"/>
          </w:tcPr>
          <w:p w14:paraId="2575D5A4">
            <w:pPr>
              <w:autoSpaceDN w:val="0"/>
              <w:spacing w:after="0" w:line="360" w:lineRule="exact"/>
              <w:jc w:val="center"/>
              <w:rPr>
                <w:rFonts w:hint="eastAsia" w:ascii="黑体" w:hAnsi="黑体" w:eastAsia="黑体" w:cs="Arial"/>
                <w:sz w:val="28"/>
                <w:szCs w:val="28"/>
                <w14:ligatures w14:val="none"/>
              </w:rPr>
            </w:pPr>
            <w:r>
              <w:rPr>
                <w:rFonts w:hint="eastAsia" w:ascii="黑体" w:hAnsi="黑体" w:eastAsia="黑体" w:cs="Times New Roman"/>
                <w:sz w:val="28"/>
                <w:szCs w:val="28"/>
                <w14:ligatures w14:val="none"/>
              </w:rPr>
              <w:t>内容</w:t>
            </w:r>
          </w:p>
        </w:tc>
        <w:tc>
          <w:tcPr>
            <w:tcW w:w="1984" w:type="dxa"/>
            <w:tcBorders>
              <w:top w:val="single" w:color="auto" w:sz="4" w:space="0"/>
              <w:left w:val="single" w:color="auto" w:sz="4" w:space="0"/>
              <w:bottom w:val="single" w:color="auto" w:sz="4" w:space="0"/>
              <w:right w:val="single" w:color="auto" w:sz="4" w:space="0"/>
            </w:tcBorders>
            <w:vAlign w:val="center"/>
          </w:tcPr>
          <w:p w14:paraId="3491BAA3">
            <w:pPr>
              <w:autoSpaceDN w:val="0"/>
              <w:spacing w:after="0" w:line="360" w:lineRule="exact"/>
              <w:jc w:val="center"/>
              <w:rPr>
                <w:rFonts w:hint="eastAsia" w:ascii="黑体" w:hAnsi="黑体" w:eastAsia="黑体" w:cs="Arial"/>
                <w:sz w:val="28"/>
                <w:szCs w:val="28"/>
                <w14:ligatures w14:val="none"/>
              </w:rPr>
            </w:pPr>
            <w:r>
              <w:rPr>
                <w:rFonts w:hint="eastAsia" w:ascii="黑体" w:hAnsi="黑体" w:eastAsia="黑体" w:cs="Arial"/>
                <w:sz w:val="28"/>
                <w:szCs w:val="28"/>
                <w14:ligatures w14:val="none"/>
              </w:rPr>
              <w:t>类别</w:t>
            </w:r>
          </w:p>
        </w:tc>
        <w:tc>
          <w:tcPr>
            <w:tcW w:w="7398" w:type="dxa"/>
            <w:tcBorders>
              <w:top w:val="single" w:color="auto" w:sz="4" w:space="0"/>
              <w:left w:val="single" w:color="auto" w:sz="4" w:space="0"/>
              <w:bottom w:val="single" w:color="auto" w:sz="4" w:space="0"/>
              <w:right w:val="single" w:color="auto" w:sz="4" w:space="0"/>
            </w:tcBorders>
            <w:vAlign w:val="center"/>
          </w:tcPr>
          <w:p w14:paraId="55B1D2AF">
            <w:pPr>
              <w:autoSpaceDN w:val="0"/>
              <w:spacing w:after="0" w:line="360" w:lineRule="exact"/>
              <w:jc w:val="center"/>
              <w:rPr>
                <w:rFonts w:hint="eastAsia" w:ascii="黑体" w:hAnsi="黑体" w:eastAsia="黑体" w:cs="Arial"/>
                <w:sz w:val="28"/>
                <w:szCs w:val="28"/>
                <w14:ligatures w14:val="none"/>
              </w:rPr>
            </w:pPr>
            <w:r>
              <w:rPr>
                <w:rFonts w:hint="eastAsia" w:ascii="黑体" w:hAnsi="黑体" w:eastAsia="黑体" w:cs="Times New Roman"/>
                <w:sz w:val="28"/>
                <w:szCs w:val="28"/>
                <w14:ligatures w14:val="none"/>
              </w:rPr>
              <w:t>标准</w:t>
            </w:r>
          </w:p>
        </w:tc>
      </w:tr>
      <w:tr w14:paraId="1C4DE31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65" w:hRule="atLeast"/>
          <w:jc w:val="center"/>
        </w:trPr>
        <w:tc>
          <w:tcPr>
            <w:tcW w:w="992" w:type="dxa"/>
            <w:vMerge w:val="restart"/>
            <w:tcBorders>
              <w:top w:val="single" w:color="auto" w:sz="4" w:space="0"/>
              <w:left w:val="single" w:color="auto" w:sz="4" w:space="0"/>
              <w:bottom w:val="single" w:color="auto" w:sz="4" w:space="0"/>
              <w:right w:val="single" w:color="auto" w:sz="4" w:space="0"/>
            </w:tcBorders>
            <w:vAlign w:val="center"/>
          </w:tcPr>
          <w:p w14:paraId="05C8262A">
            <w:pPr>
              <w:autoSpaceDN w:val="0"/>
              <w:spacing w:after="0" w:line="360" w:lineRule="exact"/>
              <w:jc w:val="center"/>
              <w:rPr>
                <w:rFonts w:hint="eastAsia" w:ascii="仿宋_GB2312" w:hAnsi="等线" w:eastAsia="仿宋_GB2312" w:cs="Arial"/>
                <w:sz w:val="28"/>
                <w:szCs w:val="28"/>
                <w14:ligatures w14:val="none"/>
              </w:rPr>
            </w:pPr>
            <w:r>
              <w:rPr>
                <w:rFonts w:hint="eastAsia" w:ascii="仿宋_GB2312" w:hAnsi="等线" w:eastAsia="仿宋_GB2312" w:cs="Arial"/>
                <w:sz w:val="28"/>
                <w:szCs w:val="28"/>
                <w14:ligatures w14:val="none"/>
              </w:rPr>
              <w:t>1</w:t>
            </w:r>
          </w:p>
        </w:tc>
        <w:tc>
          <w:tcPr>
            <w:tcW w:w="2831" w:type="dxa"/>
            <w:vMerge w:val="restart"/>
            <w:tcBorders>
              <w:top w:val="single" w:color="auto" w:sz="4" w:space="0"/>
              <w:left w:val="single" w:color="auto" w:sz="4" w:space="0"/>
              <w:bottom w:val="single" w:color="auto" w:sz="4" w:space="0"/>
              <w:right w:val="single" w:color="auto" w:sz="4" w:space="0"/>
            </w:tcBorders>
            <w:vAlign w:val="center"/>
          </w:tcPr>
          <w:p w14:paraId="6A6CC7A3">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基础测绘成果使用情况</w:t>
            </w:r>
          </w:p>
        </w:tc>
        <w:tc>
          <w:tcPr>
            <w:tcW w:w="1984" w:type="dxa"/>
            <w:tcBorders>
              <w:top w:val="single" w:color="auto" w:sz="4" w:space="0"/>
              <w:left w:val="single" w:color="auto" w:sz="4" w:space="0"/>
              <w:bottom w:val="single" w:color="auto" w:sz="4" w:space="0"/>
              <w:right w:val="single" w:color="auto" w:sz="4" w:space="0"/>
            </w:tcBorders>
            <w:vAlign w:val="center"/>
          </w:tcPr>
          <w:p w14:paraId="6A33A2C3">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.成果管理</w:t>
            </w:r>
          </w:p>
        </w:tc>
        <w:tc>
          <w:tcPr>
            <w:tcW w:w="7398" w:type="dxa"/>
            <w:tcBorders>
              <w:top w:val="single" w:color="auto" w:sz="4" w:space="0"/>
              <w:left w:val="single" w:color="auto" w:sz="4" w:space="0"/>
              <w:bottom w:val="single" w:color="auto" w:sz="4" w:space="0"/>
              <w:right w:val="single" w:color="auto" w:sz="4" w:space="0"/>
            </w:tcBorders>
            <w:vAlign w:val="center"/>
          </w:tcPr>
          <w:p w14:paraId="59F7F7EB">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.借用、查阅、复制及销毁地理信息成果资料手续齐全。</w:t>
            </w:r>
          </w:p>
          <w:p w14:paraId="18EECD7D">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2.地理信息成果资料来源明确，手续齐全、完整。</w:t>
            </w:r>
          </w:p>
        </w:tc>
      </w:tr>
      <w:tr w14:paraId="7A603B2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944" w:hRule="atLeast"/>
          <w:jc w:val="center"/>
        </w:trPr>
        <w:tc>
          <w:tcPr>
            <w:tcW w:w="992" w:type="dxa"/>
            <w:vMerge w:val="continue"/>
            <w:tcBorders>
              <w:top w:val="single" w:color="auto" w:sz="4" w:space="0"/>
              <w:left w:val="single" w:color="auto" w:sz="4" w:space="0"/>
              <w:bottom w:val="single" w:color="auto" w:sz="4" w:space="0"/>
              <w:right w:val="single" w:color="auto" w:sz="4" w:space="0"/>
            </w:tcBorders>
            <w:vAlign w:val="center"/>
          </w:tcPr>
          <w:p w14:paraId="730DC969">
            <w:pPr>
              <w:widowControl/>
              <w:spacing w:after="0" w:line="360" w:lineRule="exact"/>
              <w:rPr>
                <w:rFonts w:hint="eastAsia" w:ascii="仿宋_GB2312" w:hAnsi="等线" w:eastAsia="仿宋_GB2312" w:cs="Arial"/>
                <w:sz w:val="28"/>
                <w:szCs w:val="28"/>
                <w14:ligatures w14:val="none"/>
              </w:rPr>
            </w:pPr>
          </w:p>
        </w:tc>
        <w:tc>
          <w:tcPr>
            <w:tcW w:w="2831" w:type="dxa"/>
            <w:vMerge w:val="continue"/>
            <w:tcBorders>
              <w:top w:val="single" w:color="auto" w:sz="4" w:space="0"/>
              <w:left w:val="single" w:color="auto" w:sz="4" w:space="0"/>
              <w:bottom w:val="single" w:color="auto" w:sz="4" w:space="0"/>
              <w:right w:val="single" w:color="auto" w:sz="4" w:space="0"/>
            </w:tcBorders>
            <w:vAlign w:val="center"/>
          </w:tcPr>
          <w:p w14:paraId="72F4BC19">
            <w:pPr>
              <w:widowControl/>
              <w:spacing w:after="0" w:line="360" w:lineRule="exact"/>
              <w:rPr>
                <w:rFonts w:hint="eastAsia" w:ascii="仿宋_GB2312" w:hAnsi="等线" w:eastAsia="仿宋_GB2312" w:cs="Arial"/>
                <w:sz w:val="28"/>
                <w:szCs w:val="28"/>
                <w14:ligatures w14:val="none"/>
              </w:rPr>
            </w:pPr>
          </w:p>
        </w:tc>
        <w:tc>
          <w:tcPr>
            <w:tcW w:w="1984" w:type="dxa"/>
            <w:tcBorders>
              <w:top w:val="single" w:color="auto" w:sz="4" w:space="0"/>
              <w:left w:val="single" w:color="auto" w:sz="4" w:space="0"/>
              <w:bottom w:val="single" w:color="auto" w:sz="4" w:space="0"/>
              <w:right w:val="single" w:color="auto" w:sz="4" w:space="0"/>
            </w:tcBorders>
            <w:vAlign w:val="center"/>
          </w:tcPr>
          <w:p w14:paraId="31E10E22">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2</w:t>
            </w:r>
            <w:r>
              <w:rPr>
                <w:rFonts w:hint="eastAsia" w:ascii="仿宋_GB2312" w:hAnsi="等线" w:eastAsia="仿宋_GB2312" w:cs="Times New Roman"/>
                <w:sz w:val="28"/>
                <w:szCs w:val="28"/>
                <w14:ligatures w14:val="none"/>
              </w:rPr>
              <w:t>.涉密设备管理</w:t>
            </w:r>
          </w:p>
        </w:tc>
        <w:tc>
          <w:tcPr>
            <w:tcW w:w="7398" w:type="dxa"/>
            <w:tcBorders>
              <w:top w:val="single" w:color="auto" w:sz="4" w:space="0"/>
              <w:left w:val="single" w:color="auto" w:sz="4" w:space="0"/>
              <w:bottom w:val="single" w:color="auto" w:sz="4" w:space="0"/>
              <w:right w:val="single" w:color="auto" w:sz="4" w:space="0"/>
            </w:tcBorders>
            <w:vAlign w:val="center"/>
          </w:tcPr>
          <w:p w14:paraId="21E7FC5B">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、涉密计算机、移动存储设备等涉密介质按照“统一购买</w:t>
            </w:r>
            <w:r>
              <w:rPr>
                <w:rFonts w:hint="eastAsia" w:ascii="仿宋_GB2312" w:hAnsi="Times New Roman" w:eastAsia="仿宋_GB2312" w:cs="Times New Roman"/>
                <w:sz w:val="28"/>
                <w:szCs w:val="28"/>
                <w14:ligatures w14:val="none"/>
              </w:rPr>
              <w:t xml:space="preserve"> </w:t>
            </w:r>
            <w:r>
              <w:rPr>
                <w:rFonts w:hint="eastAsia" w:ascii="仿宋_GB2312" w:hAnsi="等线" w:eastAsia="仿宋_GB2312" w:cs="Times New Roman"/>
                <w:sz w:val="28"/>
                <w:szCs w:val="28"/>
                <w14:ligatures w14:val="none"/>
              </w:rPr>
              <w:t>统一标识</w:t>
            </w:r>
            <w:r>
              <w:rPr>
                <w:rFonts w:hint="eastAsia" w:ascii="仿宋_GB2312" w:hAnsi="Times New Roman" w:eastAsia="仿宋_GB2312" w:cs="Times New Roman"/>
                <w:sz w:val="28"/>
                <w:szCs w:val="28"/>
                <w14:ligatures w14:val="none"/>
              </w:rPr>
              <w:t xml:space="preserve"> </w:t>
            </w:r>
            <w:r>
              <w:rPr>
                <w:rFonts w:hint="eastAsia" w:ascii="仿宋_GB2312" w:hAnsi="等线" w:eastAsia="仿宋_GB2312" w:cs="Times New Roman"/>
                <w:sz w:val="28"/>
                <w:szCs w:val="28"/>
                <w14:ligatures w14:val="none"/>
              </w:rPr>
              <w:t>严格登记</w:t>
            </w:r>
            <w:r>
              <w:rPr>
                <w:rFonts w:hint="eastAsia" w:ascii="仿宋_GB2312" w:hAnsi="Times New Roman" w:eastAsia="仿宋_GB2312" w:cs="Times New Roman"/>
                <w:sz w:val="28"/>
                <w:szCs w:val="28"/>
                <w14:ligatures w14:val="none"/>
              </w:rPr>
              <w:t xml:space="preserve"> </w:t>
            </w:r>
            <w:r>
              <w:rPr>
                <w:rFonts w:hint="eastAsia" w:ascii="仿宋_GB2312" w:hAnsi="等线" w:eastAsia="仿宋_GB2312" w:cs="Times New Roman"/>
                <w:sz w:val="28"/>
                <w:szCs w:val="28"/>
                <w14:ligatures w14:val="none"/>
              </w:rPr>
              <w:t>集中管理”原则管理，统一编号，有标识、有台账.</w:t>
            </w:r>
          </w:p>
          <w:p w14:paraId="5BC8E5E8">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2、涉密计算机责任人明确，用户密码管理符合规定。</w:t>
            </w:r>
          </w:p>
          <w:p w14:paraId="4528CD9F">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3、安装了杀毒软件和内网安全管理软件。</w:t>
            </w:r>
          </w:p>
          <w:p w14:paraId="49652C85">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4、非涉密计算机无涉密信息。</w:t>
            </w:r>
          </w:p>
          <w:p w14:paraId="4969C966">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5、处理涉密数据的复印机、传真机、电话机、打印机、文字处理机等设备在本单位保密管理部门登记备案。</w:t>
            </w:r>
          </w:p>
        </w:tc>
      </w:tr>
      <w:tr w14:paraId="0C0FBCA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554" w:hRule="atLeast"/>
          <w:jc w:val="center"/>
        </w:trPr>
        <w:tc>
          <w:tcPr>
            <w:tcW w:w="992" w:type="dxa"/>
            <w:vMerge w:val="continue"/>
            <w:tcBorders>
              <w:top w:val="single" w:color="auto" w:sz="4" w:space="0"/>
              <w:left w:val="single" w:color="auto" w:sz="4" w:space="0"/>
              <w:bottom w:val="single" w:color="auto" w:sz="4" w:space="0"/>
              <w:right w:val="single" w:color="auto" w:sz="4" w:space="0"/>
            </w:tcBorders>
            <w:vAlign w:val="center"/>
          </w:tcPr>
          <w:p w14:paraId="58CA0CA0">
            <w:pPr>
              <w:widowControl/>
              <w:spacing w:after="0" w:line="360" w:lineRule="exact"/>
              <w:rPr>
                <w:rFonts w:hint="eastAsia" w:ascii="仿宋_GB2312" w:hAnsi="等线" w:eastAsia="仿宋_GB2312" w:cs="Arial"/>
                <w:sz w:val="28"/>
                <w:szCs w:val="28"/>
                <w14:ligatures w14:val="none"/>
              </w:rPr>
            </w:pPr>
          </w:p>
        </w:tc>
        <w:tc>
          <w:tcPr>
            <w:tcW w:w="2831" w:type="dxa"/>
            <w:vMerge w:val="continue"/>
            <w:tcBorders>
              <w:top w:val="single" w:color="auto" w:sz="4" w:space="0"/>
              <w:left w:val="single" w:color="auto" w:sz="4" w:space="0"/>
              <w:bottom w:val="single" w:color="auto" w:sz="4" w:space="0"/>
              <w:right w:val="single" w:color="auto" w:sz="4" w:space="0"/>
            </w:tcBorders>
            <w:vAlign w:val="center"/>
          </w:tcPr>
          <w:p w14:paraId="5A533EA6">
            <w:pPr>
              <w:widowControl/>
              <w:spacing w:after="0" w:line="360" w:lineRule="exact"/>
              <w:rPr>
                <w:rFonts w:hint="eastAsia" w:ascii="仿宋_GB2312" w:hAnsi="等线" w:eastAsia="仿宋_GB2312" w:cs="Arial"/>
                <w:sz w:val="28"/>
                <w:szCs w:val="28"/>
                <w14:ligatures w14:val="none"/>
              </w:rPr>
            </w:pPr>
          </w:p>
        </w:tc>
        <w:tc>
          <w:tcPr>
            <w:tcW w:w="1984" w:type="dxa"/>
            <w:tcBorders>
              <w:top w:val="single" w:color="auto" w:sz="4" w:space="0"/>
              <w:left w:val="single" w:color="auto" w:sz="4" w:space="0"/>
              <w:bottom w:val="single" w:color="auto" w:sz="4" w:space="0"/>
              <w:right w:val="single" w:color="auto" w:sz="4" w:space="0"/>
            </w:tcBorders>
            <w:vAlign w:val="center"/>
          </w:tcPr>
          <w:p w14:paraId="46974F0E">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3</w:t>
            </w:r>
            <w:r>
              <w:rPr>
                <w:rFonts w:hint="eastAsia" w:ascii="仿宋_GB2312" w:hAnsi="等线" w:eastAsia="仿宋_GB2312" w:cs="Times New Roman"/>
                <w:sz w:val="28"/>
                <w:szCs w:val="28"/>
                <w14:ligatures w14:val="none"/>
              </w:rPr>
              <w:t>、涉密信息系统和涉密网络管理</w:t>
            </w:r>
          </w:p>
        </w:tc>
        <w:tc>
          <w:tcPr>
            <w:tcW w:w="7398" w:type="dxa"/>
            <w:tcBorders>
              <w:top w:val="single" w:color="auto" w:sz="4" w:space="0"/>
              <w:left w:val="single" w:color="auto" w:sz="4" w:space="0"/>
              <w:bottom w:val="single" w:color="auto" w:sz="4" w:space="0"/>
              <w:right w:val="single" w:color="auto" w:sz="4" w:space="0"/>
            </w:tcBorders>
            <w:vAlign w:val="center"/>
          </w:tcPr>
          <w:p w14:paraId="35C0A361">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、涉密信息系统实行物理隔离，未直接或间接连接互联网及其他任何网络。</w:t>
            </w:r>
          </w:p>
          <w:p w14:paraId="3A488B2B">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2</w:t>
            </w:r>
            <w:r>
              <w:rPr>
                <w:rFonts w:hint="eastAsia" w:ascii="仿宋_GB2312" w:hAnsi="等线" w:eastAsia="仿宋_GB2312" w:cs="Times New Roman"/>
                <w:sz w:val="28"/>
                <w:szCs w:val="28"/>
                <w14:ligatures w14:val="none"/>
              </w:rPr>
              <w:t>、涉密网络设施防盗、防火、防潮、防尘等措施完善，运行环境安全、整洁。</w:t>
            </w:r>
          </w:p>
        </w:tc>
      </w:tr>
      <w:tr w14:paraId="6E44713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39" w:hRule="atLeast"/>
          <w:jc w:val="center"/>
        </w:trPr>
        <w:tc>
          <w:tcPr>
            <w:tcW w:w="992" w:type="dxa"/>
            <w:vMerge w:val="restart"/>
            <w:tcBorders>
              <w:top w:val="single" w:color="auto" w:sz="4" w:space="0"/>
              <w:left w:val="single" w:color="auto" w:sz="4" w:space="0"/>
              <w:right w:val="single" w:color="auto" w:sz="4" w:space="0"/>
            </w:tcBorders>
            <w:shd w:val="clear" w:color="auto" w:fill="auto"/>
            <w:vAlign w:val="center"/>
          </w:tcPr>
          <w:p w14:paraId="52C5FA56">
            <w:pPr>
              <w:autoSpaceDN w:val="0"/>
              <w:spacing w:after="0" w:line="360" w:lineRule="exact"/>
              <w:jc w:val="center"/>
              <w:rPr>
                <w:rFonts w:hint="eastAsia" w:ascii="仿宋_GB2312" w:hAnsi="等线" w:eastAsia="仿宋_GB2312" w:cs="Arial"/>
                <w:sz w:val="28"/>
                <w:szCs w:val="28"/>
                <w14:ligatures w14:val="none"/>
              </w:rPr>
            </w:pPr>
            <w:r>
              <w:rPr>
                <w:rFonts w:hint="eastAsia" w:ascii="仿宋_GB2312" w:hAnsi="等线" w:eastAsia="仿宋_GB2312" w:cs="Arial"/>
                <w:sz w:val="28"/>
                <w:szCs w:val="28"/>
                <w14:ligatures w14:val="none"/>
              </w:rPr>
              <w:t>2</w:t>
            </w:r>
          </w:p>
        </w:tc>
        <w:tc>
          <w:tcPr>
            <w:tcW w:w="2831" w:type="dxa"/>
            <w:vMerge w:val="restart"/>
            <w:tcBorders>
              <w:top w:val="single" w:color="auto" w:sz="4" w:space="0"/>
              <w:left w:val="single" w:color="auto" w:sz="4" w:space="0"/>
              <w:right w:val="single" w:color="auto" w:sz="4" w:space="0"/>
            </w:tcBorders>
            <w:shd w:val="clear" w:color="auto" w:fill="auto"/>
            <w:vAlign w:val="center"/>
          </w:tcPr>
          <w:p w14:paraId="102185A5">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成果汇交情况</w:t>
            </w:r>
          </w:p>
        </w:tc>
        <w:tc>
          <w:tcPr>
            <w:tcW w:w="1984" w:type="dxa"/>
            <w:tcBorders>
              <w:top w:val="single" w:color="auto" w:sz="4" w:space="0"/>
              <w:left w:val="single" w:color="auto" w:sz="4" w:space="0"/>
              <w:bottom w:val="single" w:color="auto" w:sz="4" w:space="0"/>
              <w:right w:val="single" w:color="auto" w:sz="4" w:space="0"/>
            </w:tcBorders>
            <w:shd w:val="clear" w:color="auto" w:fill="auto"/>
            <w:vAlign w:val="center"/>
          </w:tcPr>
          <w:p w14:paraId="7110BA98">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.汇交情况</w:t>
            </w:r>
          </w:p>
        </w:tc>
        <w:tc>
          <w:tcPr>
            <w:tcW w:w="7398" w:type="dxa"/>
            <w:tcBorders>
              <w:top w:val="single" w:color="auto" w:sz="4" w:space="0"/>
              <w:left w:val="single" w:color="auto" w:sz="4" w:space="0"/>
              <w:bottom w:val="single" w:color="auto" w:sz="4" w:space="0"/>
              <w:right w:val="single" w:color="auto" w:sz="4" w:space="0"/>
            </w:tcBorders>
            <w:shd w:val="clear" w:color="auto" w:fill="auto"/>
            <w:vAlign w:val="center"/>
          </w:tcPr>
          <w:p w14:paraId="29D34724">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、测绘成果应汇交项目与实际汇交项目一致。</w:t>
            </w:r>
          </w:p>
          <w:p w14:paraId="295CF58A">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2</w:t>
            </w:r>
            <w:r>
              <w:rPr>
                <w:rFonts w:hint="eastAsia" w:ascii="仿宋_GB2312" w:hAnsi="等线" w:eastAsia="仿宋_GB2312" w:cs="Times New Roman"/>
                <w:sz w:val="28"/>
                <w:szCs w:val="28"/>
                <w14:ligatures w14:val="none"/>
              </w:rPr>
              <w:t>、汇交清单完整全面。</w:t>
            </w:r>
          </w:p>
        </w:tc>
      </w:tr>
      <w:tr w14:paraId="764F166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95" w:hRule="atLeast"/>
          <w:jc w:val="center"/>
        </w:trPr>
        <w:tc>
          <w:tcPr>
            <w:tcW w:w="992" w:type="dxa"/>
            <w:vMerge w:val="continue"/>
            <w:tcBorders>
              <w:left w:val="single" w:color="auto" w:sz="4" w:space="0"/>
              <w:bottom w:val="single" w:color="auto" w:sz="4" w:space="0"/>
              <w:right w:val="single" w:color="auto" w:sz="4" w:space="0"/>
            </w:tcBorders>
            <w:vAlign w:val="center"/>
          </w:tcPr>
          <w:p w14:paraId="52B85320">
            <w:pPr>
              <w:widowControl/>
              <w:spacing w:after="0" w:line="360" w:lineRule="exact"/>
              <w:rPr>
                <w:rFonts w:hint="eastAsia" w:ascii="仿宋_GB2312" w:hAnsi="等线" w:eastAsia="仿宋_GB2312" w:cs="Arial"/>
                <w:sz w:val="28"/>
                <w:szCs w:val="28"/>
                <w14:ligatures w14:val="none"/>
              </w:rPr>
            </w:pPr>
          </w:p>
        </w:tc>
        <w:tc>
          <w:tcPr>
            <w:tcW w:w="2831" w:type="dxa"/>
            <w:vMerge w:val="continue"/>
            <w:tcBorders>
              <w:left w:val="single" w:color="auto" w:sz="4" w:space="0"/>
              <w:bottom w:val="single" w:color="auto" w:sz="4" w:space="0"/>
              <w:right w:val="single" w:color="auto" w:sz="4" w:space="0"/>
            </w:tcBorders>
            <w:vAlign w:val="center"/>
          </w:tcPr>
          <w:p w14:paraId="0459CE1E">
            <w:pPr>
              <w:widowControl/>
              <w:spacing w:after="0" w:line="360" w:lineRule="exact"/>
              <w:rPr>
                <w:rFonts w:hint="eastAsia" w:ascii="仿宋_GB2312" w:hAnsi="等线" w:eastAsia="仿宋_GB2312" w:cs="Arial"/>
                <w:sz w:val="28"/>
                <w:szCs w:val="28"/>
                <w14:ligatures w14:val="none"/>
              </w:rPr>
            </w:pPr>
          </w:p>
        </w:tc>
        <w:tc>
          <w:tcPr>
            <w:tcW w:w="1984" w:type="dxa"/>
            <w:tcBorders>
              <w:top w:val="single" w:color="auto" w:sz="4" w:space="0"/>
              <w:left w:val="single" w:color="auto" w:sz="4" w:space="0"/>
              <w:bottom w:val="single" w:color="auto" w:sz="4" w:space="0"/>
              <w:right w:val="single" w:color="auto" w:sz="4" w:space="0"/>
            </w:tcBorders>
            <w:shd w:val="clear" w:color="auto" w:fill="auto"/>
            <w:vAlign w:val="center"/>
          </w:tcPr>
          <w:p w14:paraId="04450010">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2</w:t>
            </w:r>
            <w:r>
              <w:rPr>
                <w:rFonts w:hint="eastAsia" w:ascii="仿宋_GB2312" w:hAnsi="等线" w:eastAsia="仿宋_GB2312" w:cs="Times New Roman"/>
                <w:sz w:val="28"/>
                <w:szCs w:val="28"/>
                <w14:ligatures w14:val="none"/>
              </w:rPr>
              <w:t>.汇交凭证</w:t>
            </w:r>
          </w:p>
        </w:tc>
        <w:tc>
          <w:tcPr>
            <w:tcW w:w="7398" w:type="dxa"/>
            <w:tcBorders>
              <w:top w:val="single" w:color="auto" w:sz="4" w:space="0"/>
              <w:left w:val="single" w:color="auto" w:sz="4" w:space="0"/>
              <w:bottom w:val="single" w:color="auto" w:sz="4" w:space="0"/>
              <w:right w:val="single" w:color="auto" w:sz="4" w:space="0"/>
            </w:tcBorders>
            <w:shd w:val="clear" w:color="auto" w:fill="auto"/>
            <w:vAlign w:val="center"/>
          </w:tcPr>
          <w:p w14:paraId="66200AE6">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3</w:t>
            </w:r>
            <w:r>
              <w:rPr>
                <w:rFonts w:hint="eastAsia" w:ascii="仿宋_GB2312" w:hAnsi="等线" w:eastAsia="仿宋_GB2312" w:cs="Times New Roman"/>
                <w:sz w:val="28"/>
                <w:szCs w:val="28"/>
                <w14:ligatures w14:val="none"/>
              </w:rPr>
              <w:t>、汇交凭证齐全，保存完好。</w:t>
            </w:r>
          </w:p>
        </w:tc>
      </w:tr>
    </w:tbl>
    <w:p w14:paraId="54DA11F0">
      <w:pPr>
        <w:spacing w:after="0" w:line="560" w:lineRule="exact"/>
        <w:rPr>
          <w:rFonts w:hint="eastAsia" w:ascii="仿宋_GB2312" w:eastAsia="仿宋_GB2312"/>
          <w:sz w:val="32"/>
          <w:szCs w:val="32"/>
        </w:rPr>
        <w:sectPr>
          <w:pgSz w:w="16838" w:h="11906" w:orient="landscape"/>
          <w:pgMar w:top="1588" w:right="1474" w:bottom="1474" w:left="1474" w:header="851" w:footer="992" w:gutter="0"/>
          <w:cols w:space="425" w:num="1"/>
          <w:docGrid w:type="lines" w:linePitch="312" w:charSpace="0"/>
        </w:sectPr>
      </w:pPr>
    </w:p>
    <w:p w14:paraId="301F33FB">
      <w:pPr>
        <w:keepNext w:val="0"/>
        <w:keepLines w:val="0"/>
        <w:pageBreakBefore w:val="0"/>
        <w:widowControl w:val="0"/>
        <w:kinsoku/>
        <w:wordWrap/>
        <w:overflowPunct/>
        <w:topLinePunct w:val="0"/>
        <w:autoSpaceDE/>
        <w:autoSpaceDN/>
        <w:bidi w:val="0"/>
        <w:adjustRightInd/>
        <w:snapToGrid/>
        <w:spacing w:after="0" w:line="560" w:lineRule="exact"/>
        <w:textAlignment w:val="auto"/>
        <w:rPr>
          <w:rFonts w:hint="eastAsia" w:ascii="黑体" w:hAnsi="黑体" w:eastAsia="黑体" w:cs="黑体"/>
          <w:sz w:val="32"/>
          <w:szCs w:val="32"/>
        </w:rPr>
      </w:pPr>
      <w:r>
        <w:rPr>
          <w:rFonts w:hint="eastAsia" w:ascii="黑体" w:hAnsi="黑体" w:eastAsia="黑体" w:cs="黑体"/>
          <w:sz w:val="32"/>
          <w:szCs w:val="32"/>
          <w:lang w:val="en-US" w:eastAsia="zh-CN"/>
        </w:rPr>
        <w:t>十二、安全生产日常检查</w:t>
      </w:r>
    </w:p>
    <w:p w14:paraId="04B22A48">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落实省级检查任务，开展安全生产日常检查</w:t>
      </w:r>
      <w:r>
        <w:rPr>
          <w:rFonts w:hint="eastAsia" w:ascii="仿宋_GB2312" w:hAnsi="仿宋_GB2312" w:eastAsia="仿宋_GB2312" w:cs="仿宋_GB2312"/>
          <w:sz w:val="32"/>
          <w:szCs w:val="32"/>
          <w:lang w:eastAsia="zh-CN"/>
        </w:rPr>
        <w:t>。</w:t>
      </w:r>
    </w:p>
    <w:p w14:paraId="63E7B13F">
      <w:pPr>
        <w:keepNext w:val="0"/>
        <w:keepLines w:val="0"/>
        <w:pageBreakBefore w:val="0"/>
        <w:widowControl w:val="0"/>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（一）对地勘、测绘行业生产经营单位安全生产教育培训方面的检查</w:t>
      </w:r>
    </w:p>
    <w:p w14:paraId="55A10AF9">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黑体" w:hAnsi="黑体" w:eastAsia="黑体"/>
          <w:sz w:val="32"/>
          <w:szCs w:val="32"/>
          <w:lang w:val="en-US" w:eastAsia="zh-CN"/>
        </w:rPr>
        <w:t>1.</w:t>
      </w:r>
      <w:r>
        <w:rPr>
          <w:rFonts w:hint="eastAsia" w:ascii="仿宋_GB2312" w:hAnsi="仿宋_GB2312" w:eastAsia="仿宋_GB2312" w:cs="仿宋_GB2312"/>
          <w:sz w:val="32"/>
          <w:szCs w:val="32"/>
          <w:lang w:val="en-US" w:eastAsia="zh-CN"/>
        </w:rPr>
        <w:t>是否定期对人员进行安全生产教育培训，建立安全生产教育培训台账。</w:t>
      </w:r>
    </w:p>
    <w:p w14:paraId="4F8FDE2A">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2.纳入培训的安全生产相关法规政策文件是否齐全，主管部门关于安全生产工作的提醒、要求和部署是否及时传达学习。</w:t>
      </w:r>
    </w:p>
    <w:p w14:paraId="27C2BCAF">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3.是否充分细化纳入培训的安全生产制度，是否充分涵盖安全生产管理规定、生产安全事故应急救援预案、消防应急预案、安全生产常识和操作规程等内容。</w:t>
      </w:r>
    </w:p>
    <w:p w14:paraId="6907397C">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4.是否定期组织开展安全生产应急演练。</w:t>
      </w:r>
    </w:p>
    <w:p w14:paraId="3CFCA900">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highlight w:val="none"/>
          <w:lang w:val="en-US" w:eastAsia="zh-CN"/>
        </w:rPr>
        <w:t>5.培训过程是否流于形式，生产人员能否掌握基本的安全应急处置技能。</w:t>
      </w:r>
    </w:p>
    <w:p w14:paraId="0F37F183">
      <w:pPr>
        <w:keepNext w:val="0"/>
        <w:keepLines w:val="0"/>
        <w:pageBreakBefore w:val="0"/>
        <w:widowControl w:val="0"/>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楷体_GB2312" w:eastAsia="楷体_GB2312"/>
          <w:sz w:val="32"/>
          <w:szCs w:val="32"/>
          <w:lang w:val="en-US" w:eastAsia="zh-CN"/>
        </w:rPr>
      </w:pPr>
      <w:r>
        <w:rPr>
          <w:rFonts w:hint="eastAsia" w:ascii="楷体_GB2312" w:eastAsia="楷体_GB2312"/>
          <w:sz w:val="32"/>
          <w:szCs w:val="32"/>
          <w:lang w:val="en-US" w:eastAsia="zh-CN"/>
        </w:rPr>
        <w:t>（二）对地勘、测绘行业生产经营单位外业项目驻地安全方面</w:t>
      </w:r>
      <w:r>
        <w:rPr>
          <w:rFonts w:hint="eastAsia" w:ascii="楷体_GB2312" w:hAnsi="楷体_GB2312" w:eastAsia="楷体_GB2312" w:cs="楷体_GB2312"/>
          <w:sz w:val="32"/>
          <w:szCs w:val="32"/>
          <w:lang w:val="en-US" w:eastAsia="zh-CN"/>
        </w:rPr>
        <w:t>的检查</w:t>
      </w:r>
    </w:p>
    <w:p w14:paraId="3C85AADB">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1.外业项目驻地是否存在滑坡、山洪、泥石流等自然灾害以及饮水、动物侵袭风险。</w:t>
      </w:r>
    </w:p>
    <w:p w14:paraId="424D7472">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w:t>
      </w:r>
      <w:r>
        <w:rPr>
          <w:rFonts w:hint="default" w:ascii="仿宋_GB2312" w:hAnsi="仿宋_GB2312" w:eastAsia="仿宋_GB2312" w:cs="仿宋_GB2312"/>
          <w:sz w:val="32"/>
          <w:szCs w:val="32"/>
          <w:highlight w:val="none"/>
          <w:lang w:val="en-US" w:eastAsia="zh-CN"/>
        </w:rPr>
        <w:t>用电线路</w:t>
      </w:r>
      <w:r>
        <w:rPr>
          <w:rFonts w:hint="eastAsia" w:ascii="仿宋_GB2312" w:hAnsi="仿宋_GB2312" w:eastAsia="仿宋_GB2312" w:cs="仿宋_GB2312"/>
          <w:sz w:val="32"/>
          <w:szCs w:val="32"/>
          <w:highlight w:val="none"/>
          <w:lang w:val="en-US" w:eastAsia="zh-CN"/>
        </w:rPr>
        <w:t>是否</w:t>
      </w:r>
      <w:r>
        <w:rPr>
          <w:rFonts w:hint="default" w:ascii="仿宋_GB2312" w:hAnsi="仿宋_GB2312" w:eastAsia="仿宋_GB2312" w:cs="仿宋_GB2312"/>
          <w:sz w:val="32"/>
          <w:szCs w:val="32"/>
          <w:highlight w:val="none"/>
          <w:lang w:val="en-US" w:eastAsia="zh-CN"/>
        </w:rPr>
        <w:t>老化，</w:t>
      </w:r>
      <w:r>
        <w:rPr>
          <w:rFonts w:hint="eastAsia" w:ascii="仿宋_GB2312" w:hAnsi="仿宋_GB2312" w:eastAsia="仿宋_GB2312" w:cs="仿宋_GB2312"/>
          <w:sz w:val="32"/>
          <w:szCs w:val="32"/>
          <w:highlight w:val="none"/>
          <w:lang w:val="en-US" w:eastAsia="zh-CN"/>
        </w:rPr>
        <w:t>是否</w:t>
      </w:r>
      <w:r>
        <w:rPr>
          <w:rFonts w:hint="default" w:ascii="仿宋_GB2312" w:hAnsi="仿宋_GB2312" w:eastAsia="仿宋_GB2312" w:cs="仿宋_GB2312"/>
          <w:sz w:val="32"/>
          <w:szCs w:val="32"/>
          <w:highlight w:val="none"/>
          <w:lang w:val="en-US" w:eastAsia="zh-CN"/>
        </w:rPr>
        <w:t>使用铜铝等金属丝代替熔断丝</w:t>
      </w:r>
      <w:r>
        <w:rPr>
          <w:rFonts w:hint="eastAsia" w:ascii="仿宋_GB2312" w:hAnsi="仿宋_GB2312" w:eastAsia="仿宋_GB2312" w:cs="仿宋_GB2312"/>
          <w:sz w:val="32"/>
          <w:szCs w:val="32"/>
          <w:highlight w:val="none"/>
          <w:lang w:val="en-US" w:eastAsia="zh-CN"/>
        </w:rPr>
        <w:t>。</w:t>
      </w:r>
    </w:p>
    <w:p w14:paraId="10E75232">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w:t>
      </w:r>
      <w:r>
        <w:rPr>
          <w:rFonts w:hint="default" w:ascii="仿宋_GB2312" w:hAnsi="仿宋_GB2312" w:eastAsia="仿宋_GB2312" w:cs="仿宋_GB2312"/>
          <w:sz w:val="32"/>
          <w:szCs w:val="32"/>
          <w:highlight w:val="none"/>
          <w:lang w:val="en-US" w:eastAsia="zh-CN"/>
        </w:rPr>
        <w:t>电源线、电源插板</w:t>
      </w:r>
      <w:r>
        <w:rPr>
          <w:rFonts w:hint="eastAsia" w:ascii="仿宋_GB2312" w:hAnsi="仿宋_GB2312" w:eastAsia="仿宋_GB2312" w:cs="仿宋_GB2312"/>
          <w:sz w:val="32"/>
          <w:szCs w:val="32"/>
          <w:highlight w:val="none"/>
          <w:lang w:val="en-US" w:eastAsia="zh-CN"/>
        </w:rPr>
        <w:t>是否</w:t>
      </w:r>
      <w:r>
        <w:rPr>
          <w:rFonts w:hint="default" w:ascii="仿宋_GB2312" w:hAnsi="仿宋_GB2312" w:eastAsia="仿宋_GB2312" w:cs="仿宋_GB2312"/>
          <w:sz w:val="32"/>
          <w:szCs w:val="32"/>
          <w:highlight w:val="none"/>
          <w:lang w:val="en-US" w:eastAsia="zh-CN"/>
        </w:rPr>
        <w:t>随意私拉摆放，</w:t>
      </w:r>
      <w:r>
        <w:rPr>
          <w:rFonts w:hint="eastAsia" w:ascii="仿宋_GB2312" w:hAnsi="仿宋_GB2312" w:eastAsia="仿宋_GB2312" w:cs="仿宋_GB2312"/>
          <w:sz w:val="32"/>
          <w:szCs w:val="32"/>
          <w:highlight w:val="none"/>
          <w:lang w:val="en-US" w:eastAsia="zh-CN"/>
        </w:rPr>
        <w:t>是否</w:t>
      </w:r>
      <w:r>
        <w:rPr>
          <w:rFonts w:hint="default" w:ascii="仿宋_GB2312" w:hAnsi="仿宋_GB2312" w:eastAsia="仿宋_GB2312" w:cs="仿宋_GB2312"/>
          <w:sz w:val="32"/>
          <w:szCs w:val="32"/>
          <w:highlight w:val="none"/>
          <w:lang w:val="en-US" w:eastAsia="zh-CN"/>
        </w:rPr>
        <w:t>存在易破损、易进水等漏电风险。</w:t>
      </w:r>
    </w:p>
    <w:p w14:paraId="6A07A752">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4.是否</w:t>
      </w:r>
      <w:r>
        <w:rPr>
          <w:rFonts w:hint="default" w:ascii="仿宋_GB2312" w:hAnsi="仿宋_GB2312" w:eastAsia="仿宋_GB2312" w:cs="仿宋_GB2312"/>
          <w:sz w:val="32"/>
          <w:szCs w:val="32"/>
          <w:highlight w:val="none"/>
          <w:lang w:val="en-US" w:eastAsia="zh-CN"/>
        </w:rPr>
        <w:t>配备灭火器，或灭火器</w:t>
      </w:r>
      <w:r>
        <w:rPr>
          <w:rFonts w:hint="eastAsia" w:ascii="仿宋_GB2312" w:hAnsi="仿宋_GB2312" w:eastAsia="仿宋_GB2312" w:cs="仿宋_GB2312"/>
          <w:sz w:val="32"/>
          <w:szCs w:val="32"/>
          <w:highlight w:val="none"/>
          <w:lang w:val="en-US" w:eastAsia="zh-CN"/>
        </w:rPr>
        <w:t>是否</w:t>
      </w:r>
      <w:r>
        <w:rPr>
          <w:rFonts w:hint="default" w:ascii="仿宋_GB2312" w:hAnsi="仿宋_GB2312" w:eastAsia="仿宋_GB2312" w:cs="仿宋_GB2312"/>
          <w:sz w:val="32"/>
          <w:szCs w:val="32"/>
          <w:highlight w:val="none"/>
          <w:lang w:val="en-US" w:eastAsia="zh-CN"/>
        </w:rPr>
        <w:t>过期失效，或灭火器的规格、质量</w:t>
      </w:r>
      <w:r>
        <w:rPr>
          <w:rFonts w:hint="eastAsia" w:ascii="仿宋_GB2312" w:hAnsi="仿宋_GB2312" w:eastAsia="仿宋_GB2312" w:cs="仿宋_GB2312"/>
          <w:sz w:val="32"/>
          <w:szCs w:val="32"/>
          <w:highlight w:val="none"/>
          <w:lang w:val="en-US" w:eastAsia="zh-CN"/>
        </w:rPr>
        <w:t>是否</w:t>
      </w:r>
      <w:r>
        <w:rPr>
          <w:rFonts w:hint="default" w:ascii="仿宋_GB2312" w:hAnsi="仿宋_GB2312" w:eastAsia="仿宋_GB2312" w:cs="仿宋_GB2312"/>
          <w:sz w:val="32"/>
          <w:szCs w:val="32"/>
          <w:highlight w:val="none"/>
          <w:lang w:val="en-US" w:eastAsia="zh-CN"/>
        </w:rPr>
        <w:t>符合要求。</w:t>
      </w:r>
    </w:p>
    <w:p w14:paraId="0FAF8AF4">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5.工具设备是否放于边坡外侧虚土之上，是否整齐摆放在靠山地面牢固一侧，是否存在滑落损毁的安全隐患。</w:t>
      </w:r>
    </w:p>
    <w:p w14:paraId="35EF0AFA">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6.有尖锐棱角的设备是否有防护罩（套），是否存在扎伤人员的安全隐患。</w:t>
      </w:r>
    </w:p>
    <w:p w14:paraId="409C2783">
      <w:pPr>
        <w:keepNext w:val="0"/>
        <w:keepLines w:val="0"/>
        <w:pageBreakBefore w:val="0"/>
        <w:widowControl w:val="0"/>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楷体_GB2312" w:eastAsia="楷体_GB2312"/>
          <w:sz w:val="32"/>
          <w:szCs w:val="32"/>
          <w:lang w:val="en-US" w:eastAsia="zh-CN"/>
        </w:rPr>
      </w:pPr>
      <w:r>
        <w:rPr>
          <w:rFonts w:hint="eastAsia" w:ascii="楷体_GB2312" w:eastAsia="楷体_GB2312"/>
          <w:sz w:val="32"/>
          <w:szCs w:val="32"/>
          <w:lang w:val="en-US" w:eastAsia="zh-CN"/>
        </w:rPr>
        <w:t>（三）对地勘、测绘行业生产经营单位外业作业安全方面</w:t>
      </w:r>
    </w:p>
    <w:p w14:paraId="1AFBADDE">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1.是否与全部外业人员签订岗位安全生产责任书，落实安全生产责任制。</w:t>
      </w:r>
    </w:p>
    <w:p w14:paraId="0C95C8DB">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2.外业作业前，是否对作业人员进行安全知识和安全技能培训。</w:t>
      </w:r>
    </w:p>
    <w:p w14:paraId="3648F248">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3.是否在连日阴雨、矿区进山道路湿滑、路边陡坡处有滑塌等情况外出作业。</w:t>
      </w:r>
    </w:p>
    <w:p w14:paraId="2D8D703F">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4.在道路作业时是否设置明显安全警示标识。</w:t>
      </w:r>
    </w:p>
    <w:p w14:paraId="62957FD6">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5.外业作业是否聘用当地向导，是否提前调查作业区域高压线路、地下电缆、油气管道分布情况，是否识别判断地层稳定性、有毒气体赋存情况。</w:t>
      </w:r>
    </w:p>
    <w:p w14:paraId="32A28C6D">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6.油气钻井是否安装防喷器，钻井施工是否存在安全隐患。</w:t>
      </w:r>
    </w:p>
    <w:p w14:paraId="7E3CC056">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7.是否探槽深度大于3米、宽度小于0.6米，两壁坡度过陡，土石堆放是否过近，是否存在坍塌风险。</w:t>
      </w:r>
    </w:p>
    <w:p w14:paraId="4A11AE1E">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8.爆破作业是否遵守有关技术规范指引，爆炸物品是否及时向公安等有关部门报备。</w:t>
      </w:r>
    </w:p>
    <w:p w14:paraId="6AAFA84A">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9.现场是否存在交叉作业情况，现场施工人员安全防护措施是否不当，基坑监测、边坡测量作业人员是否佩戴安全绳。</w:t>
      </w:r>
    </w:p>
    <w:p w14:paraId="0F53CF1C">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10.在无人区域、高风险区域野外作业时是否存在单人或单车承担任务的情况，首次参与野外作业人员是否与其他有经验人员结队同行。</w:t>
      </w:r>
    </w:p>
    <w:p w14:paraId="2AD105DD">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11.仪器与装备搬运过程中，作业人员是否佩戴手套和野外作业专用鞋。</w:t>
      </w:r>
    </w:p>
    <w:p w14:paraId="1841CE13">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12.是否按要求佩戴作业安全帽、穿戴反光背心，水上作业是否穿戴救生衣。</w:t>
      </w:r>
    </w:p>
    <w:p w14:paraId="29293FE0">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13.外业生产人员是否按要求配备通讯工具和定位装置，外业工作期间，是否做到每日报送安全情况。</w:t>
      </w:r>
    </w:p>
    <w:p w14:paraId="14ECE04B">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14.高温天气户外作业是否配备防暑降温药物，作业人员是否注意防暑降温，是否避开高温时段作业。</w:t>
      </w:r>
    </w:p>
    <w:p w14:paraId="147DA951">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15.是否及时向测区所在地行业主管部门通报备案。</w:t>
      </w:r>
    </w:p>
    <w:p w14:paraId="2DD49E5F">
      <w:pPr>
        <w:keepNext w:val="0"/>
        <w:keepLines w:val="0"/>
        <w:pageBreakBefore w:val="0"/>
        <w:widowControl w:val="0"/>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楷体_GB2312" w:eastAsia="楷体_GB2312"/>
          <w:sz w:val="32"/>
          <w:szCs w:val="32"/>
          <w:lang w:val="en-US" w:eastAsia="zh-CN"/>
        </w:rPr>
      </w:pPr>
      <w:r>
        <w:rPr>
          <w:rFonts w:hint="eastAsia" w:ascii="楷体_GB2312" w:eastAsia="楷体_GB2312"/>
          <w:sz w:val="32"/>
          <w:szCs w:val="32"/>
          <w:lang w:val="en-US" w:eastAsia="zh-CN"/>
        </w:rPr>
        <w:t>（四）对地勘、测绘行业生产经营单位交通安全方面</w:t>
      </w:r>
    </w:p>
    <w:p w14:paraId="5440331E">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1.单位是否定期检查、保养、年检野外用车，外业作业前是否检查车况。</w:t>
      </w:r>
    </w:p>
    <w:p w14:paraId="34B6005E">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2.驾驶员是否存在超速、疲劳驾驶、酒驾醉驾等违法行为。</w:t>
      </w:r>
    </w:p>
    <w:p w14:paraId="7D8B404C">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3.外业作业行车过程中，车辆主副驾和后排人员位置是否系安全带，车内物品等是否过多，是否遮挡后视镜视线。</w:t>
      </w:r>
    </w:p>
    <w:p w14:paraId="60CD00FA">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4.是否在大风扬尘、暴雨、浓雾等极端恶劣天气进行野外行驶。</w:t>
      </w:r>
    </w:p>
    <w:p w14:paraId="7D16FA7A">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5.野外作业期间，是否能对车辆和人员的活动轨迹进行全程跟踪记录，是否实时了解其活动情况。</w:t>
      </w:r>
    </w:p>
    <w:p w14:paraId="447D4918">
      <w:pPr>
        <w:keepNext w:val="0"/>
        <w:keepLines w:val="0"/>
        <w:pageBreakBefore w:val="0"/>
        <w:widowControl w:val="0"/>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楷体_GB2312" w:eastAsia="楷体_GB2312"/>
          <w:sz w:val="32"/>
          <w:szCs w:val="32"/>
          <w:lang w:val="en-US" w:eastAsia="zh-CN"/>
        </w:rPr>
      </w:pPr>
      <w:r>
        <w:rPr>
          <w:rFonts w:hint="eastAsia" w:ascii="楷体_GB2312" w:eastAsia="楷体_GB2312"/>
          <w:sz w:val="32"/>
          <w:szCs w:val="32"/>
          <w:lang w:val="en-US" w:eastAsia="zh-CN"/>
        </w:rPr>
        <w:t>（五）对地勘、测绘行业生产经营单位</w:t>
      </w:r>
      <w:r>
        <w:rPr>
          <w:rFonts w:hint="default" w:ascii="楷体_GB2312" w:eastAsia="楷体_GB2312"/>
          <w:sz w:val="32"/>
          <w:szCs w:val="32"/>
          <w:lang w:val="en-US" w:eastAsia="zh-CN"/>
        </w:rPr>
        <w:t>实验室、办公室、保密室（档案室）等室内安全</w:t>
      </w:r>
      <w:r>
        <w:rPr>
          <w:rFonts w:hint="eastAsia" w:ascii="楷体_GB2312" w:eastAsia="楷体_GB2312"/>
          <w:sz w:val="32"/>
          <w:szCs w:val="32"/>
          <w:lang w:val="en-US" w:eastAsia="zh-CN"/>
        </w:rPr>
        <w:t>方面</w:t>
      </w:r>
    </w:p>
    <w:p w14:paraId="17BE1841">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1.危险化学品储存、使用和处置等环节是否存在安全风险。</w:t>
      </w:r>
    </w:p>
    <w:p w14:paraId="059420C5">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2.实验室产生有毒有害气体场所是否有通风净化设施。</w:t>
      </w:r>
    </w:p>
    <w:p w14:paraId="1DB43992">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3.放射性仪器设备是否有防护装置。</w:t>
      </w:r>
    </w:p>
    <w:p w14:paraId="5C2B628B">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4.仪器设备的电池在充电过程中人员是否临时外出，无人值守，是否存在用电安全隐患。</w:t>
      </w:r>
    </w:p>
    <w:p w14:paraId="4BE56F5B">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5.下班是否关闭办公室门窗、电脑和取暖器等电器电源，电源插板是否随意私拉摆放。</w:t>
      </w:r>
    </w:p>
    <w:p w14:paraId="56E9B9F5">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6.是否存在线路及插座老化，或者连接超出线路负载的大功率电器，是否存在用电安全隐患。</w:t>
      </w:r>
    </w:p>
    <w:p w14:paraId="7537E2B1">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7.易燃易爆物品是否随意混淆摆放，是否摆放在规定的区域。</w:t>
      </w:r>
    </w:p>
    <w:p w14:paraId="16286935">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8.堆放纸质材料等易燃助燃物过多，是否按有关规定配备消防设施，是否存在火灾安全隐患。</w:t>
      </w:r>
    </w:p>
    <w:p w14:paraId="507695B0">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9.是否定期或按时检查灭火器等消防设施、安全劳保用品是否过期，是否及时重新购置、更换。</w:t>
      </w:r>
    </w:p>
    <w:p w14:paraId="67B6EB23">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10.保密室（档案室）是否缺乏防虫、防潮措施，灭虫剂、吸水袋是否定期更换，是否缺少监控保密措施。</w:t>
      </w:r>
    </w:p>
    <w:p w14:paraId="4EF2678F">
      <w:pPr>
        <w:keepNext w:val="0"/>
        <w:keepLines w:val="0"/>
        <w:pageBreakBefore w:val="0"/>
        <w:widowControl w:val="0"/>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楷体_GB2312" w:eastAsia="楷体_GB2312"/>
          <w:sz w:val="32"/>
          <w:szCs w:val="32"/>
          <w:lang w:val="en-US" w:eastAsia="zh-CN"/>
        </w:rPr>
      </w:pPr>
      <w:r>
        <w:rPr>
          <w:rFonts w:hint="eastAsia" w:ascii="楷体_GB2312" w:eastAsia="楷体_GB2312"/>
          <w:sz w:val="32"/>
          <w:szCs w:val="32"/>
          <w:lang w:val="en-US" w:eastAsia="zh-CN"/>
        </w:rPr>
        <w:t>（六）对地勘、测绘行业生产经营单位</w:t>
      </w:r>
      <w:r>
        <w:rPr>
          <w:rFonts w:hint="default" w:ascii="楷体_GB2312" w:eastAsia="楷体_GB2312"/>
          <w:sz w:val="32"/>
          <w:szCs w:val="32"/>
          <w:lang w:val="en-US" w:eastAsia="zh-CN"/>
        </w:rPr>
        <w:t>安全</w:t>
      </w:r>
      <w:r>
        <w:rPr>
          <w:rFonts w:hint="eastAsia" w:ascii="楷体_GB2312" w:eastAsia="楷体_GB2312"/>
          <w:sz w:val="32"/>
          <w:szCs w:val="32"/>
          <w:lang w:val="en-US" w:eastAsia="zh-CN"/>
        </w:rPr>
        <w:t>装备方面</w:t>
      </w:r>
    </w:p>
    <w:p w14:paraId="0DF42F9A">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1.单位是否给外业作业人员、车辆、船舶和飞机配置北斗终端等报位设备，或报位设备是否正常工作。</w:t>
      </w:r>
    </w:p>
    <w:p w14:paraId="6A26762D">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2.在手机通讯信号未覆盖地区作业，单位是否给野外作业人员配备必要的卫星电话或卫星电话是否能使用。</w:t>
      </w:r>
    </w:p>
    <w:p w14:paraId="22BDAF86">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3.在手机无信号或信号较弱区域、人员较少区域，单位是否禁止外业人员单人外出作业。</w:t>
      </w:r>
    </w:p>
    <w:p w14:paraId="0E597659">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4.单位是否配发必要的通讯器材、防雨保温衣物、劳保装备、急救装备等。</w:t>
      </w:r>
    </w:p>
    <w:p w14:paraId="5093184D">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5.单位是否严格按照有关规定对仪器装备的安全性能等进行检查。</w:t>
      </w:r>
    </w:p>
    <w:p w14:paraId="416669F4">
      <w:pPr>
        <w:keepNext w:val="0"/>
        <w:keepLines w:val="0"/>
        <w:pageBreakBefore w:val="0"/>
        <w:widowControl w:val="0"/>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楷体_GB2312" w:hAnsi="楷体_GB2312" w:eastAsia="楷体_GB2312" w:cs="楷体_GB2312"/>
          <w:sz w:val="32"/>
          <w:szCs w:val="32"/>
          <w:highlight w:val="none"/>
          <w:lang w:val="en-US" w:eastAsia="zh-CN"/>
        </w:rPr>
      </w:pPr>
      <w:r>
        <w:rPr>
          <w:rFonts w:hint="eastAsia" w:ascii="楷体_GB2312" w:hAnsi="楷体_GB2312" w:eastAsia="楷体_GB2312" w:cs="楷体_GB2312"/>
          <w:sz w:val="32"/>
          <w:szCs w:val="32"/>
          <w:highlight w:val="none"/>
          <w:lang w:val="en-US" w:eastAsia="zh-CN"/>
        </w:rPr>
        <w:t>（七）对矿产资源开发利用的监督</w:t>
      </w:r>
      <w:r>
        <w:rPr>
          <w:rFonts w:hint="eastAsia" w:ascii="楷体_GB2312" w:hAnsi="楷体_GB2312" w:eastAsia="楷体_GB2312" w:cs="楷体_GB2312"/>
          <w:sz w:val="32"/>
          <w:szCs w:val="32"/>
          <w:lang w:val="en-US" w:eastAsia="zh-CN"/>
        </w:rPr>
        <w:t>检查</w:t>
      </w:r>
    </w:p>
    <w:p w14:paraId="3CFAD255">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1.检查新建和改扩建产生新的基建工程的非煤矿山是否按要求编制非煤矿山建设工程设计文件，是否进行备案。</w:t>
      </w:r>
    </w:p>
    <w:p w14:paraId="512D6C19">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2.对无采矿许可证、越界采矿被吊销采矿许可证、资源枯竭应当关闭退出等矿井的关闭工作及关闭是否到位情况进行检查。</w:t>
      </w:r>
    </w:p>
    <w:p w14:paraId="62EB73DC">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3.检查是否存在无证采矿、持证矿山违法采矿等行为，包括以工程项目、设施农业项目、生态修复项目、安全隐患治理项目等为名盗采矿产资源行为。</w:t>
      </w:r>
    </w:p>
    <w:p w14:paraId="25651583">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4.</w:t>
      </w:r>
      <w:r>
        <w:rPr>
          <w:rFonts w:hint="default" w:ascii="仿宋_GB2312" w:hAnsi="仿宋_GB2312" w:eastAsia="仿宋_GB2312" w:cs="仿宋_GB2312"/>
          <w:color w:val="auto"/>
          <w:sz w:val="32"/>
          <w:szCs w:val="32"/>
          <w:highlight w:val="none"/>
          <w:lang w:val="en-US" w:eastAsia="zh-CN"/>
        </w:rPr>
        <w:t>结合矿产资源“全链条”监管核查工作，对本市矿山企业落实矿山地质环境保护和土地复垦方案情况进行监督检查。</w:t>
      </w:r>
    </w:p>
    <w:p w14:paraId="28236145">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楷体_GB2312" w:hAnsi="楷体_GB2312" w:eastAsia="楷体_GB2312" w:cs="楷体_GB2312"/>
          <w:color w:val="auto"/>
          <w:sz w:val="32"/>
          <w:szCs w:val="32"/>
          <w:highlight w:val="none"/>
          <w:lang w:val="en-US" w:eastAsia="zh-CN"/>
        </w:rPr>
        <w:t>（八）对海域使用的监督检查</w:t>
      </w:r>
    </w:p>
    <w:p w14:paraId="110CEF66">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color w:val="auto"/>
          <w:sz w:val="32"/>
          <w:szCs w:val="32"/>
          <w:highlight w:val="none"/>
          <w:lang w:val="en-US" w:eastAsia="zh-CN"/>
        </w:rPr>
        <w:t>对本级审批用海项目是否依批准用海进行监督检查</w:t>
      </w:r>
      <w:r>
        <w:rPr>
          <w:rFonts w:hint="eastAsia" w:ascii="仿宋_GB2312" w:hAnsi="仿宋_GB2312" w:eastAsia="仿宋_GB2312" w:cs="仿宋_GB2312"/>
          <w:color w:val="auto"/>
          <w:sz w:val="32"/>
          <w:szCs w:val="32"/>
          <w:highlight w:val="none"/>
          <w:lang w:val="en-US" w:eastAsia="zh-CN"/>
        </w:rPr>
        <w:t>。</w:t>
      </w:r>
    </w:p>
    <w:p w14:paraId="3C016D6E">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楷体_GB2312" w:hAnsi="楷体_GB2312" w:eastAsia="楷体_GB2312" w:cs="楷体_GB2312"/>
          <w:color w:val="auto"/>
          <w:sz w:val="32"/>
          <w:szCs w:val="32"/>
          <w:highlight w:val="none"/>
          <w:lang w:val="en-US" w:eastAsia="zh-CN"/>
        </w:rPr>
      </w:pPr>
      <w:r>
        <w:rPr>
          <w:rFonts w:hint="eastAsia" w:ascii="楷体_GB2312" w:hAnsi="楷体_GB2312" w:eastAsia="楷体_GB2312" w:cs="楷体_GB2312"/>
          <w:color w:val="auto"/>
          <w:sz w:val="32"/>
          <w:szCs w:val="32"/>
          <w:highlight w:val="none"/>
          <w:lang w:val="en-US" w:eastAsia="zh-CN"/>
        </w:rPr>
        <w:t>（九）国土空间开发利用的监督检查</w:t>
      </w:r>
    </w:p>
    <w:p w14:paraId="3D63D369">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color w:val="auto"/>
          <w:sz w:val="32"/>
          <w:szCs w:val="32"/>
          <w:highlight w:val="none"/>
          <w:lang w:val="en-US" w:eastAsia="zh-CN"/>
        </w:rPr>
        <w:t>对各市建设工程规划许可和规划核实工作开展督导检查。</w:t>
      </w:r>
    </w:p>
    <w:p w14:paraId="735CA7F9">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楷体_GB2312" w:hAnsi="楷体_GB2312" w:eastAsia="楷体_GB2312" w:cs="楷体_GB2312"/>
          <w:color w:val="auto"/>
          <w:sz w:val="32"/>
          <w:szCs w:val="32"/>
          <w:highlight w:val="none"/>
          <w:lang w:val="en-US" w:eastAsia="zh-CN"/>
        </w:rPr>
        <w:t>（十）对临时用地的监督检查</w:t>
      </w:r>
    </w:p>
    <w:p w14:paraId="5CF6688E">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color w:val="auto"/>
          <w:sz w:val="32"/>
          <w:szCs w:val="32"/>
          <w:highlight w:val="none"/>
          <w:u w:val="none"/>
          <w:lang w:val="en-US" w:eastAsia="zh-CN"/>
        </w:rPr>
        <w:t>对临时用地土地复垦情况进行监督检查。</w:t>
      </w:r>
    </w:p>
    <w:p w14:paraId="54DC9332">
      <w:pPr>
        <w:keepNext w:val="0"/>
        <w:keepLines w:val="0"/>
        <w:pageBreakBefore w:val="0"/>
        <w:widowControl w:val="0"/>
        <w:kinsoku/>
        <w:wordWrap/>
        <w:overflowPunct/>
        <w:topLinePunct w:val="0"/>
        <w:bidi w:val="0"/>
        <w:adjustRightInd/>
        <w:snapToGrid/>
        <w:spacing w:after="0" w:line="560" w:lineRule="exact"/>
        <w:textAlignment w:val="auto"/>
        <w:rPr>
          <w:rFonts w:hint="eastAsia" w:ascii="仿宋_GB2312" w:eastAsia="仿宋_GB2312"/>
          <w:sz w:val="32"/>
          <w:szCs w:val="32"/>
        </w:rPr>
      </w:pPr>
    </w:p>
    <w:sectPr>
      <w:pgSz w:w="11906" w:h="16838"/>
      <w:pgMar w:top="1474" w:right="1474" w:bottom="1474"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简体">
    <w:altName w:val="宋体"/>
    <w:panose1 w:val="00000000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433DD7">
    <w:pPr>
      <w:pStyle w:val="11"/>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A32634">
    <w:pPr>
      <w:pStyle w:val="11"/>
      <w:rPr>
        <w:rFonts w:hint="eastAsi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0F84A5">
    <w:pPr>
      <w:pStyle w:val="11"/>
      <w:rPr>
        <w:rFonts w:hint="eastAsia"/>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6F7584">
    <w:pPr>
      <w:pStyle w:val="11"/>
      <w:rPr>
        <w:rFonts w:hint="eastAsi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BEFC70">
    <w:pPr>
      <w:pStyle w:val="12"/>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0E362E">
    <w:pPr>
      <w:pStyle w:val="12"/>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3D9AD7">
    <w:pPr>
      <w:pStyle w:val="12"/>
      <w:rPr>
        <w:rFonts w:hint="eastAsi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1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4473"/>
    <w:rsid w:val="00006189"/>
    <w:rsid w:val="0007264C"/>
    <w:rsid w:val="000C3B9E"/>
    <w:rsid w:val="001353B4"/>
    <w:rsid w:val="00142548"/>
    <w:rsid w:val="00151E35"/>
    <w:rsid w:val="001B296D"/>
    <w:rsid w:val="001B5693"/>
    <w:rsid w:val="00225B27"/>
    <w:rsid w:val="00233FFD"/>
    <w:rsid w:val="0025655A"/>
    <w:rsid w:val="00266946"/>
    <w:rsid w:val="003873C9"/>
    <w:rsid w:val="003E2667"/>
    <w:rsid w:val="0040269D"/>
    <w:rsid w:val="004747C5"/>
    <w:rsid w:val="004A6F7C"/>
    <w:rsid w:val="004B2E62"/>
    <w:rsid w:val="00530EBB"/>
    <w:rsid w:val="00531443"/>
    <w:rsid w:val="00566CF3"/>
    <w:rsid w:val="00571500"/>
    <w:rsid w:val="005B3F78"/>
    <w:rsid w:val="005C0F78"/>
    <w:rsid w:val="0060076B"/>
    <w:rsid w:val="006272A5"/>
    <w:rsid w:val="0063061D"/>
    <w:rsid w:val="006C40E3"/>
    <w:rsid w:val="007320B9"/>
    <w:rsid w:val="007623D4"/>
    <w:rsid w:val="007C4473"/>
    <w:rsid w:val="007F114C"/>
    <w:rsid w:val="00800D15"/>
    <w:rsid w:val="00802237"/>
    <w:rsid w:val="00843AAB"/>
    <w:rsid w:val="00860AA3"/>
    <w:rsid w:val="008863BE"/>
    <w:rsid w:val="008E6BE1"/>
    <w:rsid w:val="0092118C"/>
    <w:rsid w:val="00925054"/>
    <w:rsid w:val="00936679"/>
    <w:rsid w:val="00961807"/>
    <w:rsid w:val="009935A7"/>
    <w:rsid w:val="009A1F18"/>
    <w:rsid w:val="009E0B19"/>
    <w:rsid w:val="00A33E2A"/>
    <w:rsid w:val="00AA499B"/>
    <w:rsid w:val="00B14F23"/>
    <w:rsid w:val="00B20693"/>
    <w:rsid w:val="00B60EFE"/>
    <w:rsid w:val="00BB70DD"/>
    <w:rsid w:val="00BB7795"/>
    <w:rsid w:val="00BC0F31"/>
    <w:rsid w:val="00C46F9D"/>
    <w:rsid w:val="00C5058B"/>
    <w:rsid w:val="00C86CA2"/>
    <w:rsid w:val="00CA26B4"/>
    <w:rsid w:val="00CB6887"/>
    <w:rsid w:val="00CC5392"/>
    <w:rsid w:val="00CD0451"/>
    <w:rsid w:val="00CF5FCB"/>
    <w:rsid w:val="00D14678"/>
    <w:rsid w:val="00D86260"/>
    <w:rsid w:val="00DA1169"/>
    <w:rsid w:val="00E37985"/>
    <w:rsid w:val="00E43021"/>
    <w:rsid w:val="00E46B34"/>
    <w:rsid w:val="00E544FA"/>
    <w:rsid w:val="00E83A1F"/>
    <w:rsid w:val="00EB117C"/>
    <w:rsid w:val="00EE209C"/>
    <w:rsid w:val="00EE29E4"/>
    <w:rsid w:val="00F103BF"/>
    <w:rsid w:val="00F66F23"/>
    <w:rsid w:val="00F8406C"/>
    <w:rsid w:val="00F85DB9"/>
    <w:rsid w:val="00FD3CA1"/>
    <w:rsid w:val="063D3442"/>
    <w:rsid w:val="27DC4A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styleId="2">
    <w:name w:val="heading 1"/>
    <w:basedOn w:val="1"/>
    <w:next w:val="1"/>
    <w:link w:val="18"/>
    <w:qFormat/>
    <w:uiPriority w:val="9"/>
    <w:pPr>
      <w:keepNext/>
      <w:keepLines/>
      <w:spacing w:before="480" w:after="80"/>
      <w:outlineLvl w:val="0"/>
    </w:pPr>
    <w:rPr>
      <w:rFonts w:asciiTheme="majorHAnsi" w:hAnsiTheme="majorHAnsi" w:eastAsiaTheme="majorEastAsia" w:cstheme="majorBidi"/>
      <w:color w:val="104862" w:themeColor="accent1" w:themeShade="BF"/>
      <w:sz w:val="48"/>
      <w:szCs w:val="48"/>
    </w:rPr>
  </w:style>
  <w:style w:type="paragraph" w:styleId="3">
    <w:name w:val="heading 2"/>
    <w:basedOn w:val="1"/>
    <w:next w:val="1"/>
    <w:link w:val="19"/>
    <w:semiHidden/>
    <w:unhideWhenUsed/>
    <w:qFormat/>
    <w:uiPriority w:val="9"/>
    <w:pPr>
      <w:keepNext/>
      <w:keepLines/>
      <w:spacing w:before="160" w:after="80"/>
      <w:outlineLvl w:val="1"/>
    </w:pPr>
    <w:rPr>
      <w:rFonts w:asciiTheme="majorHAnsi" w:hAnsiTheme="majorHAnsi" w:eastAsiaTheme="majorEastAsia" w:cstheme="majorBidi"/>
      <w:color w:val="104862" w:themeColor="accent1" w:themeShade="BF"/>
      <w:sz w:val="40"/>
      <w:szCs w:val="40"/>
    </w:rPr>
  </w:style>
  <w:style w:type="paragraph" w:styleId="4">
    <w:name w:val="heading 3"/>
    <w:basedOn w:val="1"/>
    <w:next w:val="1"/>
    <w:link w:val="20"/>
    <w:semiHidden/>
    <w:unhideWhenUsed/>
    <w:qFormat/>
    <w:uiPriority w:val="9"/>
    <w:pPr>
      <w:keepNext/>
      <w:keepLines/>
      <w:spacing w:before="160" w:after="80"/>
      <w:outlineLvl w:val="2"/>
    </w:pPr>
    <w:rPr>
      <w:rFonts w:asciiTheme="majorHAnsi" w:hAnsiTheme="majorHAnsi" w:eastAsiaTheme="majorEastAsia" w:cstheme="majorBidi"/>
      <w:color w:val="104862" w:themeColor="accent1" w:themeShade="BF"/>
      <w:sz w:val="32"/>
      <w:szCs w:val="32"/>
    </w:rPr>
  </w:style>
  <w:style w:type="paragraph" w:styleId="5">
    <w:name w:val="heading 4"/>
    <w:basedOn w:val="1"/>
    <w:next w:val="1"/>
    <w:link w:val="21"/>
    <w:semiHidden/>
    <w:unhideWhenUsed/>
    <w:qFormat/>
    <w:uiPriority w:val="9"/>
    <w:pPr>
      <w:keepNext/>
      <w:keepLines/>
      <w:spacing w:before="80" w:after="40"/>
      <w:outlineLvl w:val="3"/>
    </w:pPr>
    <w:rPr>
      <w:rFonts w:cstheme="majorBidi"/>
      <w:color w:val="104862" w:themeColor="accent1" w:themeShade="BF"/>
      <w:sz w:val="28"/>
      <w:szCs w:val="28"/>
    </w:rPr>
  </w:style>
  <w:style w:type="paragraph" w:styleId="6">
    <w:name w:val="heading 5"/>
    <w:basedOn w:val="1"/>
    <w:next w:val="1"/>
    <w:link w:val="22"/>
    <w:semiHidden/>
    <w:unhideWhenUsed/>
    <w:qFormat/>
    <w:uiPriority w:val="9"/>
    <w:pPr>
      <w:keepNext/>
      <w:keepLines/>
      <w:spacing w:before="80" w:after="40"/>
      <w:outlineLvl w:val="4"/>
    </w:pPr>
    <w:rPr>
      <w:rFonts w:cstheme="majorBidi"/>
      <w:color w:val="104862" w:themeColor="accent1" w:themeShade="BF"/>
      <w:sz w:val="24"/>
    </w:rPr>
  </w:style>
  <w:style w:type="paragraph" w:styleId="7">
    <w:name w:val="heading 6"/>
    <w:basedOn w:val="1"/>
    <w:next w:val="1"/>
    <w:link w:val="23"/>
    <w:semiHidden/>
    <w:unhideWhenUsed/>
    <w:qFormat/>
    <w:uiPriority w:val="9"/>
    <w:pPr>
      <w:keepNext/>
      <w:keepLines/>
      <w:spacing w:before="40" w:after="0"/>
      <w:outlineLvl w:val="5"/>
    </w:pPr>
    <w:rPr>
      <w:rFonts w:cstheme="majorBidi"/>
      <w:b/>
      <w:bCs/>
      <w:color w:val="104862" w:themeColor="accent1" w:themeShade="BF"/>
    </w:rPr>
  </w:style>
  <w:style w:type="paragraph" w:styleId="8">
    <w:name w:val="heading 7"/>
    <w:basedOn w:val="1"/>
    <w:next w:val="1"/>
    <w:link w:val="24"/>
    <w:semiHidden/>
    <w:unhideWhenUsed/>
    <w:qFormat/>
    <w:uiPriority w:val="9"/>
    <w:pPr>
      <w:keepNext/>
      <w:keepLines/>
      <w:spacing w:before="40" w:after="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5"/>
    <w:semiHidden/>
    <w:unhideWhenUsed/>
    <w:qFormat/>
    <w:uiPriority w:val="9"/>
    <w:pPr>
      <w:keepNext/>
      <w:keepLines/>
      <w:spacing w:after="0"/>
      <w:outlineLvl w:val="7"/>
    </w:pPr>
    <w:rPr>
      <w:rFonts w:cstheme="majorBidi"/>
      <w:color w:val="595959" w:themeColor="text1" w:themeTint="A6"/>
      <w14:textFill>
        <w14:solidFill>
          <w14:schemeClr w14:val="tx1">
            <w14:lumMod w14:val="65000"/>
            <w14:lumOff w14:val="35000"/>
          </w14:schemeClr>
        </w14:solidFill>
      </w14:textFill>
    </w:rPr>
  </w:style>
  <w:style w:type="paragraph" w:styleId="10">
    <w:name w:val="heading 9"/>
    <w:basedOn w:val="1"/>
    <w:next w:val="1"/>
    <w:link w:val="26"/>
    <w:semiHidden/>
    <w:unhideWhenUsed/>
    <w:qFormat/>
    <w:uiPriority w:val="9"/>
    <w:pPr>
      <w:keepNext/>
      <w:keepLines/>
      <w:spacing w:after="0"/>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11">
    <w:name w:val="footer"/>
    <w:basedOn w:val="1"/>
    <w:link w:val="38"/>
    <w:unhideWhenUsed/>
    <w:qFormat/>
    <w:uiPriority w:val="99"/>
    <w:pPr>
      <w:tabs>
        <w:tab w:val="center" w:pos="4153"/>
        <w:tab w:val="right" w:pos="8306"/>
      </w:tabs>
      <w:snapToGrid w:val="0"/>
      <w:spacing w:line="240" w:lineRule="auto"/>
    </w:pPr>
    <w:rPr>
      <w:sz w:val="18"/>
      <w:szCs w:val="18"/>
    </w:rPr>
  </w:style>
  <w:style w:type="paragraph" w:styleId="12">
    <w:name w:val="header"/>
    <w:basedOn w:val="1"/>
    <w:link w:val="37"/>
    <w:unhideWhenUsed/>
    <w:qFormat/>
    <w:uiPriority w:val="99"/>
    <w:pPr>
      <w:tabs>
        <w:tab w:val="center" w:pos="4153"/>
        <w:tab w:val="right" w:pos="8306"/>
      </w:tabs>
      <w:snapToGrid w:val="0"/>
      <w:spacing w:line="240" w:lineRule="auto"/>
      <w:jc w:val="center"/>
    </w:pPr>
    <w:rPr>
      <w:sz w:val="18"/>
      <w:szCs w:val="18"/>
    </w:rPr>
  </w:style>
  <w:style w:type="paragraph" w:styleId="13">
    <w:name w:val="Subtitle"/>
    <w:basedOn w:val="1"/>
    <w:next w:val="1"/>
    <w:link w:val="28"/>
    <w:qFormat/>
    <w:uiPriority w:val="11"/>
    <w:pPr>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4">
    <w:name w:val="Title"/>
    <w:basedOn w:val="1"/>
    <w:next w:val="1"/>
    <w:link w:val="27"/>
    <w:qFormat/>
    <w:uiPriority w:val="10"/>
    <w:pPr>
      <w:spacing w:after="80" w:line="240" w:lineRule="auto"/>
      <w:contextualSpacing/>
      <w:jc w:val="center"/>
    </w:pPr>
    <w:rPr>
      <w:rFonts w:asciiTheme="majorHAnsi" w:hAnsiTheme="majorHAnsi" w:eastAsiaTheme="majorEastAsia" w:cstheme="majorBidi"/>
      <w:spacing w:val="-10"/>
      <w:kern w:val="28"/>
      <w:sz w:val="56"/>
      <w:szCs w:val="56"/>
    </w:rPr>
  </w:style>
  <w:style w:type="table" w:styleId="16">
    <w:name w:val="Table Grid"/>
    <w:basedOn w:val="15"/>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8">
    <w:name w:val="标题 1 字符"/>
    <w:basedOn w:val="17"/>
    <w:link w:val="2"/>
    <w:uiPriority w:val="9"/>
    <w:rPr>
      <w:rFonts w:asciiTheme="majorHAnsi" w:hAnsiTheme="majorHAnsi" w:eastAsiaTheme="majorEastAsia" w:cstheme="majorBidi"/>
      <w:color w:val="104862" w:themeColor="accent1" w:themeShade="BF"/>
      <w:sz w:val="48"/>
      <w:szCs w:val="48"/>
    </w:rPr>
  </w:style>
  <w:style w:type="character" w:customStyle="1" w:styleId="19">
    <w:name w:val="标题 2 字符"/>
    <w:basedOn w:val="17"/>
    <w:link w:val="3"/>
    <w:semiHidden/>
    <w:qFormat/>
    <w:uiPriority w:val="9"/>
    <w:rPr>
      <w:rFonts w:asciiTheme="majorHAnsi" w:hAnsiTheme="majorHAnsi" w:eastAsiaTheme="majorEastAsia" w:cstheme="majorBidi"/>
      <w:color w:val="104862" w:themeColor="accent1" w:themeShade="BF"/>
      <w:sz w:val="40"/>
      <w:szCs w:val="40"/>
    </w:rPr>
  </w:style>
  <w:style w:type="character" w:customStyle="1" w:styleId="20">
    <w:name w:val="标题 3 字符"/>
    <w:basedOn w:val="17"/>
    <w:link w:val="4"/>
    <w:semiHidden/>
    <w:qFormat/>
    <w:uiPriority w:val="9"/>
    <w:rPr>
      <w:rFonts w:asciiTheme="majorHAnsi" w:hAnsiTheme="majorHAnsi" w:eastAsiaTheme="majorEastAsia" w:cstheme="majorBidi"/>
      <w:color w:val="104862" w:themeColor="accent1" w:themeShade="BF"/>
      <w:sz w:val="32"/>
      <w:szCs w:val="32"/>
    </w:rPr>
  </w:style>
  <w:style w:type="character" w:customStyle="1" w:styleId="21">
    <w:name w:val="标题 4 字符"/>
    <w:basedOn w:val="17"/>
    <w:link w:val="5"/>
    <w:semiHidden/>
    <w:qFormat/>
    <w:uiPriority w:val="9"/>
    <w:rPr>
      <w:rFonts w:cstheme="majorBidi"/>
      <w:color w:val="104862" w:themeColor="accent1" w:themeShade="BF"/>
      <w:sz w:val="28"/>
      <w:szCs w:val="28"/>
    </w:rPr>
  </w:style>
  <w:style w:type="character" w:customStyle="1" w:styleId="22">
    <w:name w:val="标题 5 字符"/>
    <w:basedOn w:val="17"/>
    <w:link w:val="6"/>
    <w:semiHidden/>
    <w:qFormat/>
    <w:uiPriority w:val="9"/>
    <w:rPr>
      <w:rFonts w:cstheme="majorBidi"/>
      <w:color w:val="104862" w:themeColor="accent1" w:themeShade="BF"/>
      <w:sz w:val="24"/>
    </w:rPr>
  </w:style>
  <w:style w:type="character" w:customStyle="1" w:styleId="23">
    <w:name w:val="标题 6 字符"/>
    <w:basedOn w:val="17"/>
    <w:link w:val="7"/>
    <w:semiHidden/>
    <w:qFormat/>
    <w:uiPriority w:val="9"/>
    <w:rPr>
      <w:rFonts w:cstheme="majorBidi"/>
      <w:b/>
      <w:bCs/>
      <w:color w:val="104862" w:themeColor="accent1" w:themeShade="BF"/>
    </w:rPr>
  </w:style>
  <w:style w:type="character" w:customStyle="1" w:styleId="24">
    <w:name w:val="标题 7 字符"/>
    <w:basedOn w:val="17"/>
    <w:link w:val="8"/>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5">
    <w:name w:val="标题 8 字符"/>
    <w:basedOn w:val="17"/>
    <w:link w:val="9"/>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6">
    <w:name w:val="标题 9 字符"/>
    <w:basedOn w:val="17"/>
    <w:link w:val="10"/>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7">
    <w:name w:val="标题 字符"/>
    <w:basedOn w:val="17"/>
    <w:link w:val="14"/>
    <w:qFormat/>
    <w:uiPriority w:val="10"/>
    <w:rPr>
      <w:rFonts w:asciiTheme="majorHAnsi" w:hAnsiTheme="majorHAnsi" w:eastAsiaTheme="majorEastAsia" w:cstheme="majorBidi"/>
      <w:spacing w:val="-10"/>
      <w:kern w:val="28"/>
      <w:sz w:val="56"/>
      <w:szCs w:val="56"/>
    </w:rPr>
  </w:style>
  <w:style w:type="character" w:customStyle="1" w:styleId="28">
    <w:name w:val="副标题 字符"/>
    <w:basedOn w:val="17"/>
    <w:link w:val="13"/>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9">
    <w:name w:val="Quote"/>
    <w:basedOn w:val="1"/>
    <w:next w:val="1"/>
    <w:link w:val="30"/>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30">
    <w:name w:val="引用 字符"/>
    <w:basedOn w:val="17"/>
    <w:link w:val="29"/>
    <w:qFormat/>
    <w:uiPriority w:val="29"/>
    <w:rPr>
      <w:i/>
      <w:iCs/>
      <w:color w:val="404040" w:themeColor="text1" w:themeTint="BF"/>
      <w14:textFill>
        <w14:solidFill>
          <w14:schemeClr w14:val="tx1">
            <w14:lumMod w14:val="75000"/>
            <w14:lumOff w14:val="25000"/>
          </w14:schemeClr>
        </w14:solidFill>
      </w14:textFill>
    </w:rPr>
  </w:style>
  <w:style w:type="paragraph" w:styleId="31">
    <w:name w:val="List Paragraph"/>
    <w:basedOn w:val="1"/>
    <w:qFormat/>
    <w:uiPriority w:val="34"/>
    <w:pPr>
      <w:ind w:left="720"/>
      <w:contextualSpacing/>
    </w:pPr>
  </w:style>
  <w:style w:type="character" w:customStyle="1" w:styleId="32">
    <w:name w:val="Intense Emphasis"/>
    <w:basedOn w:val="17"/>
    <w:qFormat/>
    <w:uiPriority w:val="21"/>
    <w:rPr>
      <w:i/>
      <w:iCs/>
      <w:color w:val="104862" w:themeColor="accent1" w:themeShade="BF"/>
    </w:rPr>
  </w:style>
  <w:style w:type="paragraph" w:styleId="33">
    <w:name w:val="Intense Quote"/>
    <w:basedOn w:val="1"/>
    <w:next w:val="1"/>
    <w:link w:val="34"/>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104862" w:themeColor="accent1" w:themeShade="BF"/>
    </w:rPr>
  </w:style>
  <w:style w:type="character" w:customStyle="1" w:styleId="34">
    <w:name w:val="明显引用 字符"/>
    <w:basedOn w:val="17"/>
    <w:link w:val="33"/>
    <w:qFormat/>
    <w:uiPriority w:val="30"/>
    <w:rPr>
      <w:i/>
      <w:iCs/>
      <w:color w:val="104862" w:themeColor="accent1" w:themeShade="BF"/>
    </w:rPr>
  </w:style>
  <w:style w:type="character" w:customStyle="1" w:styleId="35">
    <w:name w:val="Intense Reference"/>
    <w:basedOn w:val="17"/>
    <w:qFormat/>
    <w:uiPriority w:val="32"/>
    <w:rPr>
      <w:b/>
      <w:bCs/>
      <w:smallCaps/>
      <w:color w:val="104862" w:themeColor="accent1" w:themeShade="BF"/>
      <w:spacing w:val="5"/>
    </w:rPr>
  </w:style>
  <w:style w:type="table" w:customStyle="1" w:styleId="36">
    <w:name w:val="网格型1"/>
    <w:basedOn w:val="15"/>
    <w:qFormat/>
    <w:uiPriority w:val="39"/>
    <w:pPr>
      <w:spacing w:after="0" w:line="240" w:lineRule="auto"/>
    </w:pPr>
    <w:rPr>
      <w:kern w:val="0"/>
      <w:sz w:val="20"/>
      <w:szCs w:val="2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7">
    <w:name w:val="页眉 字符"/>
    <w:basedOn w:val="17"/>
    <w:link w:val="12"/>
    <w:qFormat/>
    <w:uiPriority w:val="99"/>
    <w:rPr>
      <w:sz w:val="18"/>
      <w:szCs w:val="18"/>
    </w:rPr>
  </w:style>
  <w:style w:type="character" w:customStyle="1" w:styleId="38">
    <w:name w:val="页脚 字符"/>
    <w:basedOn w:val="17"/>
    <w:link w:val="11"/>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1.xml"/><Relationship Id="rId12" Type="http://schemas.openxmlformats.org/officeDocument/2006/relationships/theme" Target="theme/theme1.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241A35-8A02-4968-A8F4-70B9BDF070AE}">
  <ds:schemaRefs/>
</ds:datastoreItem>
</file>

<file path=docProps/app.xml><?xml version="1.0" encoding="utf-8"?>
<Properties xmlns="http://schemas.openxmlformats.org/officeDocument/2006/extended-properties" xmlns:vt="http://schemas.openxmlformats.org/officeDocument/2006/docPropsVTypes">
  <Template>Normal</Template>
  <Pages>20</Pages>
  <Words>8642</Words>
  <Characters>8789</Characters>
  <Lines>48</Lines>
  <Paragraphs>13</Paragraphs>
  <TotalTime>2</TotalTime>
  <ScaleCrop>false</ScaleCrop>
  <LinksUpToDate>false</LinksUpToDate>
  <CharactersWithSpaces>8924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2025-03-02T05:49:00Z</dcterms:created>
  <dc:creator>志达 刘</dc:creator>
  <cp:lastModifiedBy>安乐</cp:lastModifiedBy>
  <dcterms:modified xsi:type="dcterms:W3CDTF">2025-11-10T08:15:58Z</dcterms:modified>
  <cp:revision>496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eyJoZGlkIjoiOWVjOTVmZjRlNTVlNzdmMjExZGVjMzIwYWE0NTRiYzQiLCJ1c2VySWQiOiIyNDkyNzk3NzcifQ==</vt:lpwstr>
  </property>
  <property fmtid="{D5CDD505-2E9C-101B-9397-08002B2CF9AE}" pid="3" name="KSOProductBuildVer">
    <vt:lpwstr>2052-12.1.0.23542</vt:lpwstr>
  </property>
  <property fmtid="{D5CDD505-2E9C-101B-9397-08002B2CF9AE}" pid="4" name="ICV">
    <vt:lpwstr>65C53771814440C68E40F2B489627F79_12</vt:lpwstr>
  </property>
</Properties>
</file>