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565</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：正定新区城市管理局</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正定新区城市管理局</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正定新区城市管理局</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十一</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keepNext w:val="0"/>
        <w:keepLines w:val="0"/>
        <w:widowControl/>
        <w:suppressLineNumbers w:val="0"/>
        <w:jc w:val="left"/>
      </w:pPr>
      <w:r>
        <w:rPr>
          <w:rFonts w:ascii="FZFSK--GBK1-0" w:hAnsi="FZFSK--GBK1-0" w:eastAsia="FZFSK--GBK1-0" w:cs="FZFSK--GBK1-0"/>
          <w:color w:val="000000"/>
          <w:kern w:val="0"/>
          <w:sz w:val="28"/>
          <w:szCs w:val="28"/>
          <w:lang w:val="en-US" w:eastAsia="zh-CN" w:bidi="ar"/>
        </w:rPr>
        <w:t xml:space="preserve">（一）统筹协调管委会与各部门的交办事项。负责单位后勤保障和物资供应、确保各科室工作正常开展。 </w:t>
      </w:r>
    </w:p>
    <w:p>
      <w:pPr>
        <w:keepNext w:val="0"/>
        <w:keepLines w:val="0"/>
        <w:widowControl/>
        <w:suppressLineNumbers w:val="0"/>
        <w:jc w:val="left"/>
      </w:pPr>
      <w:r>
        <w:rPr>
          <w:rFonts w:hint="default" w:ascii="FZFSK--GBK1-0" w:hAnsi="FZFSK--GBK1-0" w:eastAsia="FZFSK--GBK1-0" w:cs="FZFSK--GBK1-0"/>
          <w:color w:val="000000"/>
          <w:kern w:val="0"/>
          <w:sz w:val="28"/>
          <w:szCs w:val="28"/>
          <w:lang w:val="en-US" w:eastAsia="zh-CN" w:bidi="ar"/>
        </w:rPr>
        <w:t xml:space="preserve">（二）严格落实渣土车辆运输管理规定。控制私自堆放开挖土方作业的单位和个人、落实大气预警期间渣土运输辆的管控措施。 </w:t>
      </w:r>
    </w:p>
    <w:p>
      <w:pPr>
        <w:keepNext w:val="0"/>
        <w:keepLines w:val="0"/>
        <w:widowControl/>
        <w:suppressLineNumbers w:val="0"/>
        <w:jc w:val="left"/>
      </w:pPr>
      <w:r>
        <w:rPr>
          <w:rFonts w:hint="default" w:ascii="FZFSK--GBK1-0" w:hAnsi="FZFSK--GBK1-0" w:eastAsia="FZFSK--GBK1-0" w:cs="FZFSK--GBK1-0"/>
          <w:color w:val="000000"/>
          <w:kern w:val="0"/>
          <w:sz w:val="28"/>
          <w:szCs w:val="28"/>
          <w:lang w:val="en-US" w:eastAsia="zh-CN" w:bidi="ar"/>
        </w:rPr>
        <w:t xml:space="preserve">（三）严格查处道路两侧散发广告、随意摆设摊位、占用非机动车道的违法行为。 </w:t>
      </w:r>
    </w:p>
    <w:p>
      <w:pPr>
        <w:keepNext w:val="0"/>
        <w:keepLines w:val="0"/>
        <w:widowControl/>
        <w:suppressLineNumbers w:val="0"/>
        <w:jc w:val="left"/>
      </w:pPr>
      <w:r>
        <w:rPr>
          <w:rFonts w:hint="default" w:ascii="FZFSK--GBK1-0" w:hAnsi="FZFSK--GBK1-0" w:eastAsia="FZFSK--GBK1-0" w:cs="FZFSK--GBK1-0"/>
          <w:color w:val="000000"/>
          <w:kern w:val="0"/>
          <w:sz w:val="28"/>
          <w:szCs w:val="28"/>
          <w:lang w:val="en-US" w:eastAsia="zh-CN" w:bidi="ar"/>
        </w:rPr>
        <w:t xml:space="preserve">（四）接待辖区各项目建设工地拖欠工资的农民工、劝返接回去市、省和国家上访人员。 </w:t>
      </w:r>
    </w:p>
    <w:p>
      <w:pPr>
        <w:keepNext w:val="0"/>
        <w:keepLines w:val="0"/>
        <w:widowControl/>
        <w:suppressLineNumbers w:val="0"/>
        <w:jc w:val="left"/>
      </w:pPr>
      <w:r>
        <w:rPr>
          <w:rFonts w:hint="default" w:ascii="FZFSK--GBK1-0" w:hAnsi="FZFSK--GBK1-0" w:eastAsia="FZFSK--GBK1-0" w:cs="FZFSK--GBK1-0"/>
          <w:color w:val="000000"/>
          <w:kern w:val="0"/>
          <w:sz w:val="28"/>
          <w:szCs w:val="28"/>
          <w:lang w:val="en-US" w:eastAsia="zh-CN" w:bidi="ar"/>
        </w:rPr>
        <w:t xml:space="preserve">（五）负责新区范围内配建的保障性住房审批与管理。 </w:t>
      </w:r>
    </w:p>
    <w:p>
      <w:pPr>
        <w:keepNext w:val="0"/>
        <w:keepLines w:val="0"/>
        <w:widowControl/>
        <w:suppressLineNumbers w:val="0"/>
        <w:jc w:val="left"/>
      </w:pPr>
      <w:r>
        <w:rPr>
          <w:rFonts w:hint="default" w:ascii="FZFSK--GBK1-0" w:hAnsi="FZFSK--GBK1-0" w:eastAsia="FZFSK--GBK1-0" w:cs="FZFSK--GBK1-0"/>
          <w:color w:val="000000"/>
          <w:kern w:val="0"/>
          <w:sz w:val="28"/>
          <w:szCs w:val="28"/>
          <w:lang w:val="en-US" w:eastAsia="zh-CN" w:bidi="ar"/>
        </w:rPr>
        <w:t xml:space="preserve">（六）负责房屋征收、回迁安置资料核查及归档工作、处理房屋征收方面的信访问题。 </w:t>
      </w:r>
    </w:p>
    <w:p>
      <w:pPr>
        <w:keepNext w:val="0"/>
        <w:keepLines w:val="0"/>
        <w:widowControl/>
        <w:suppressLineNumbers w:val="0"/>
        <w:jc w:val="left"/>
        <w:rPr>
          <w:rFonts w:hint="default" w:ascii="FZFSK--GBK1-0" w:hAnsi="FZFSK--GBK1-0" w:eastAsia="FZFSK--GBK1-0" w:cs="FZFSK--GBK1-0"/>
          <w:color w:val="000000"/>
          <w:kern w:val="0"/>
          <w:sz w:val="28"/>
          <w:szCs w:val="28"/>
          <w:lang w:val="en-US" w:eastAsia="zh-CN" w:bidi="ar"/>
        </w:rPr>
      </w:pPr>
      <w:r>
        <w:rPr>
          <w:rFonts w:hint="default" w:ascii="FZFSK--GBK1-0" w:hAnsi="FZFSK--GBK1-0" w:eastAsia="FZFSK--GBK1-0" w:cs="FZFSK--GBK1-0"/>
          <w:color w:val="000000"/>
          <w:kern w:val="0"/>
          <w:sz w:val="28"/>
          <w:szCs w:val="28"/>
          <w:lang w:val="en-US" w:eastAsia="zh-CN" w:bidi="ar"/>
        </w:rPr>
        <w:t xml:space="preserve">（七）负责正定新区集体土地上企业征收遗留问题及国有土地上企业征收工作。 </w:t>
      </w:r>
    </w:p>
    <w:p>
      <w:pPr>
        <w:keepNext w:val="0"/>
        <w:keepLines w:val="0"/>
        <w:widowControl/>
        <w:suppressLineNumbers w:val="0"/>
        <w:jc w:val="left"/>
        <w:rPr>
          <w:rFonts w:hint="default" w:ascii="FZFSK--GBK1-0" w:hAnsi="FZFSK--GBK1-0" w:eastAsia="FZFSK--GBK1-0" w:cs="FZFSK--GBK1-0"/>
          <w:color w:val="000000"/>
          <w:kern w:val="0"/>
          <w:sz w:val="28"/>
          <w:szCs w:val="28"/>
          <w:lang w:val="en-US" w:eastAsia="zh-CN" w:bidi="ar"/>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正定新区城市管理局（本级）</w:t>
            </w:r>
          </w:p>
        </w:tc>
        <w:tc>
          <w:tcPr>
            <w:tcW w:w="244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部门（单位）：正定新区城市管理局</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29,538.94</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4,729.22</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8,887.03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25,080.06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34,024.01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部门（单位）：正定新区城市管理局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34,268.16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34,268.16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8,887.03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8,887.03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914.09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914.09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831.57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831.57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城管执法</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29.82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29.82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工程建设管理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其他城乡社区管理事务支出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1,440.49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1,440.49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1,440.49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1,440.49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4,729.22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4,729.22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4,492.03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4,492.03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237.19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237.19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1,656.02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1,656.02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1,656.02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1,656.02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保障性安居工程支出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公共租赁住房</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其他保障性安居工程支出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城乡社区住宅</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其他城乡社区住宅支出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部门（单位）：正定新区城市管理局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34,024.01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526.09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33,497.92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8,887.03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8,360.94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914.09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305.48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4,729.22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4,729.22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237.19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237.19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公共租赁住房</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其他保障性安居工程支出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城乡社区住宅</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2210399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其他城乡社区住宅支出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部门（单位）：正定新区城市管理局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29,538.94</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4,729.22</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8,887.03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4,157.81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4,729.22</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48.92</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48.92</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25,080.06</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25,080.06</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34,024.01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29,294.79</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4,729.22</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244.15</w:t>
            </w: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244.15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29,538.94</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4,729.22</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编制部门（单位）：正定新区城市管理局</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29,294.79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526.09</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28,768.70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4,157.81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3,631.72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914.09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831.57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48.92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2210106</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公共租赁住房</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其他保障性安居工程支出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城乡社区住宅</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2210399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其他城乡社区住宅支出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部门（单位）：正定新区城市管理局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514.98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11.11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0.48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514.98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10.48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514.98</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部门（单位）：正定新区城市管理局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4,729.22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4,729.22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4,729.22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4,492.03</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4,492.03</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4,492.03</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237.19</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237.19</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237.19</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部门（单位）：正定新区城市管理局</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部门（单位）：正定新区城市管理局</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13.60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13.60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13.60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10.48</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10.48</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10.48</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本部门2024年度收、支总计（含结转和结余）均为34,268.16万元。与2023年度决算相比，收支各减少31,134.72万元，下降47.6%，主要原因是</w:t>
      </w:r>
      <w:r>
        <w:rPr>
          <w:rFonts w:hint="eastAsia" w:ascii="Times New Roman" w:eastAsia="仿宋_GB2312"/>
          <w:b w:val="0"/>
          <w:sz w:val="32"/>
          <w:szCs w:val="32"/>
          <w:lang w:val="en-US" w:eastAsia="zh-CN"/>
        </w:rPr>
        <w:t>过渡费、拆迁款等支出减少</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34,268.16万元，其中：财政拨款收入34,268.16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本部门2024年度本年支出合计34,024.01万元，其中：基本支出526.09万元，占1.5%；项目支出33,497.92万元，占98.5%；上缴上级支出0.00万元，占0.0%；经营支出0.00万元，占0.0%；对附属单位补助支出0.00万元，占0.0%。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本部门2024年度财政拨款收、支总计（含结转和结余）均为34,268.16万元。与2023年度相比，财政拨款收支各减少31,134.72万元，降低47.6%，主要原因是</w:t>
      </w:r>
      <w:r>
        <w:rPr>
          <w:rFonts w:hint="eastAsia" w:ascii="Times New Roman" w:eastAsia="仿宋_GB2312"/>
          <w:b w:val="0"/>
          <w:sz w:val="32"/>
          <w:szCs w:val="32"/>
          <w:lang w:val="en-US" w:eastAsia="zh-CN"/>
        </w:rPr>
        <w:t>过渡费、拆迁款等支出减少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本部门2024年度财政拨款本年收入34,268.16万元,比上年减少31,134.72万元，降低47.6%，主要原因是</w:t>
      </w:r>
      <w:r>
        <w:rPr>
          <w:rFonts w:hint="eastAsia" w:ascii="Times New Roman" w:eastAsia="仿宋_GB2312"/>
          <w:b w:val="0"/>
          <w:sz w:val="32"/>
          <w:szCs w:val="32"/>
          <w:lang w:val="en-US" w:eastAsia="zh-CN"/>
        </w:rPr>
        <w:t>过渡费、拆迁款等收入减少</w:t>
      </w:r>
      <w:r>
        <w:rPr>
          <w:rFonts w:ascii="Times New Roman" w:eastAsia="仿宋_GB2312"/>
          <w:b w:val="0"/>
          <w:sz w:val="32"/>
          <w:szCs w:val="32"/>
        </w:rPr>
        <w:t>；本年支出34,024.01万元，比上年减少31,106.21万元，降低47.8%，主要原因是</w:t>
      </w:r>
      <w:r>
        <w:rPr>
          <w:rFonts w:hint="eastAsia" w:ascii="Times New Roman" w:eastAsia="仿宋_GB2312"/>
          <w:b w:val="0"/>
          <w:sz w:val="32"/>
          <w:szCs w:val="32"/>
          <w:lang w:val="en-US" w:eastAsia="zh-CN"/>
        </w:rPr>
        <w:t>过渡费、拆迁款等支出减少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1.一般公共预算财政拨款本年收入29,538.94万元,比上年增加8,021.68万元，增长37.3%，主要原因是</w:t>
      </w:r>
      <w:r>
        <w:rPr>
          <w:rFonts w:hint="eastAsia" w:ascii="Times New Roman" w:eastAsia="仿宋_GB2312"/>
          <w:b w:val="0"/>
          <w:sz w:val="32"/>
          <w:szCs w:val="32"/>
          <w:lang w:val="en-US" w:eastAsia="zh-CN"/>
        </w:rPr>
        <w:t>房产转让税收入增加</w:t>
      </w:r>
      <w:r>
        <w:rPr>
          <w:rFonts w:ascii="Times New Roman" w:eastAsia="仿宋_GB2312"/>
          <w:b w:val="0"/>
          <w:sz w:val="32"/>
          <w:szCs w:val="32"/>
        </w:rPr>
        <w:t>；本年支出29,294.79万元，比上年增加7,849.24万元，增长36.6%，主要原因是</w:t>
      </w:r>
      <w:r>
        <w:rPr>
          <w:rFonts w:hint="eastAsia" w:ascii="Times New Roman" w:eastAsia="仿宋_GB2312"/>
          <w:b w:val="0"/>
          <w:sz w:val="32"/>
          <w:szCs w:val="32"/>
          <w:lang w:val="en-US" w:eastAsia="zh-CN"/>
        </w:rPr>
        <w:t>房产转让税支出增加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2.政府性基金预算财政拨款本年收入4,729.22万元，比上年减少39,156.41万元，降低89.2%，主要原因是</w:t>
      </w:r>
      <w:r>
        <w:rPr>
          <w:rFonts w:hint="eastAsia" w:ascii="Times New Roman" w:eastAsia="仿宋_GB2312"/>
          <w:b w:val="0"/>
          <w:sz w:val="32"/>
          <w:szCs w:val="32"/>
          <w:lang w:val="en-US" w:eastAsia="zh-CN"/>
        </w:rPr>
        <w:t>过渡费、拆迁款等收入减少</w:t>
      </w:r>
      <w:r>
        <w:rPr>
          <w:rFonts w:ascii="Times New Roman" w:eastAsia="仿宋_GB2312"/>
          <w:b w:val="0"/>
          <w:sz w:val="32"/>
          <w:szCs w:val="32"/>
        </w:rPr>
        <w:t>；本年支出4,729.22万元，比上年减少38,955.45万元，降低89.2%，主要原因是</w:t>
      </w:r>
      <w:r>
        <w:rPr>
          <w:rFonts w:hint="eastAsia" w:ascii="Times New Roman" w:eastAsia="仿宋_GB2312"/>
          <w:b w:val="0"/>
          <w:sz w:val="32"/>
          <w:szCs w:val="32"/>
          <w:lang w:val="en-US" w:eastAsia="zh-CN"/>
        </w:rPr>
        <w:t>过渡费、拆迁款等支出减少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国有资本经营预算；本年支出0.00万元，比上年增加0.00万元，增长0.00%，主要原因是</w:t>
      </w:r>
      <w:bookmarkStart w:id="0" w:name="_GoBack"/>
      <w:bookmarkEnd w:id="0"/>
      <w:r>
        <w:rPr>
          <w:rFonts w:hint="eastAsia" w:ascii="Times New Roman" w:eastAsia="仿宋_GB2312"/>
          <w:b w:val="0"/>
          <w:sz w:val="32"/>
          <w:szCs w:val="32"/>
          <w:lang w:val="en-US" w:eastAsia="zh-CN"/>
        </w:rPr>
        <w:t>无</w:t>
      </w:r>
      <w:r>
        <w:rPr>
          <w:rFonts w:ascii="Times New Roman" w:eastAsia="仿宋_GB2312"/>
          <w:b w:val="0"/>
          <w:sz w:val="32"/>
          <w:szCs w:val="32"/>
        </w:rPr>
        <w:t>国有资本经营预算。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本部门2024年度财政拨款本年收入34,268.16万元，完成年初预算的63.8%，比年初预算减少19,411.93万元，决算数小于预算数主要原因是</w:t>
      </w:r>
      <w:r>
        <w:rPr>
          <w:rFonts w:hint="eastAsia" w:ascii="Times New Roman" w:eastAsia="仿宋_GB2312"/>
          <w:b w:val="0"/>
          <w:sz w:val="32"/>
          <w:szCs w:val="32"/>
        </w:rPr>
        <w:t>回迁安置费</w:t>
      </w:r>
      <w:r>
        <w:rPr>
          <w:rFonts w:hint="eastAsia" w:ascii="Times New Roman" w:eastAsia="仿宋_GB2312"/>
          <w:b w:val="0"/>
          <w:sz w:val="32"/>
          <w:szCs w:val="32"/>
          <w:lang w:eastAsia="zh-CN"/>
        </w:rPr>
        <w:t>、过渡费、企业征收费、其他工程支出、房产转让税费</w:t>
      </w:r>
      <w:r>
        <w:rPr>
          <w:rFonts w:hint="eastAsia" w:ascii="Times New Roman" w:eastAsia="仿宋_GB2312"/>
          <w:b w:val="0"/>
          <w:sz w:val="32"/>
          <w:szCs w:val="32"/>
          <w:lang w:val="en-US" w:eastAsia="zh-CN"/>
        </w:rPr>
        <w:t>等收入减少</w:t>
      </w:r>
      <w:r>
        <w:rPr>
          <w:rFonts w:ascii="Times New Roman" w:eastAsia="仿宋_GB2312"/>
          <w:b w:val="0"/>
          <w:sz w:val="32"/>
          <w:szCs w:val="32"/>
        </w:rPr>
        <w:t>；本年支出34,024.01万元，完成年初预算的63.4%，比年初预算减少19,656.08万元，决算数小于预算数主要原因是</w:t>
      </w:r>
      <w:r>
        <w:rPr>
          <w:rFonts w:hint="eastAsia" w:ascii="Times New Roman" w:eastAsia="仿宋_GB2312"/>
          <w:b w:val="0"/>
          <w:sz w:val="32"/>
          <w:szCs w:val="32"/>
        </w:rPr>
        <w:t>回迁安置费</w:t>
      </w:r>
      <w:r>
        <w:rPr>
          <w:rFonts w:hint="eastAsia" w:ascii="Times New Roman" w:eastAsia="仿宋_GB2312"/>
          <w:b w:val="0"/>
          <w:sz w:val="32"/>
          <w:szCs w:val="32"/>
          <w:lang w:eastAsia="zh-CN"/>
        </w:rPr>
        <w:t>、过渡费、企业征收费、其他工程支出、房产转让税费</w:t>
      </w:r>
      <w:r>
        <w:rPr>
          <w:rFonts w:hint="eastAsia" w:ascii="Times New Roman" w:eastAsia="仿宋_GB2312"/>
          <w:b w:val="0"/>
          <w:sz w:val="32"/>
          <w:szCs w:val="32"/>
          <w:lang w:val="en-US" w:eastAsia="zh-CN"/>
        </w:rPr>
        <w:t>等支出减少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1.一般公共预算财政拨款本年收入完成年初预算的164.4%，比年初预算增加11,566.19万元，主要原因是</w:t>
      </w:r>
      <w:r>
        <w:rPr>
          <w:rFonts w:hint="eastAsia" w:ascii="Times New Roman" w:eastAsia="仿宋_GB2312"/>
          <w:b w:val="0"/>
          <w:sz w:val="32"/>
          <w:szCs w:val="32"/>
          <w:lang w:val="en-US" w:eastAsia="zh-CN"/>
        </w:rPr>
        <w:t>房产转让税收入增加</w:t>
      </w:r>
      <w:r>
        <w:rPr>
          <w:rFonts w:ascii="Times New Roman" w:eastAsia="仿宋_GB2312"/>
          <w:b w:val="0"/>
          <w:sz w:val="32"/>
          <w:szCs w:val="32"/>
        </w:rPr>
        <w:t>；支出完成年初预算的163.0%，比年初预算增加11,322.04万元，主要原因是</w:t>
      </w:r>
      <w:r>
        <w:rPr>
          <w:rFonts w:hint="eastAsia" w:ascii="Times New Roman" w:eastAsia="仿宋_GB2312"/>
          <w:b w:val="0"/>
          <w:sz w:val="32"/>
          <w:szCs w:val="32"/>
          <w:lang w:val="en-US" w:eastAsia="zh-CN"/>
        </w:rPr>
        <w:t>房产转让税支出增加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2.政府性基金预算财政拨款本年收入完成年初预算的13.2%，比年初预算减少30,978.12万元，主要原因是</w:t>
      </w:r>
      <w:r>
        <w:rPr>
          <w:rFonts w:hint="eastAsia" w:ascii="Times New Roman" w:eastAsia="仿宋_GB2312"/>
          <w:b w:val="0"/>
          <w:sz w:val="32"/>
          <w:szCs w:val="32"/>
          <w:lang w:val="en-US" w:eastAsia="zh-CN"/>
        </w:rPr>
        <w:t>过渡费、拆迁款等收入减少</w:t>
      </w:r>
      <w:r>
        <w:rPr>
          <w:rFonts w:ascii="Times New Roman" w:eastAsia="仿宋_GB2312"/>
          <w:b w:val="0"/>
          <w:sz w:val="32"/>
          <w:szCs w:val="32"/>
        </w:rPr>
        <w:t>；支出完成年初预算的13.2%，比年初预算减少30,978.12万元，主要原因是</w:t>
      </w:r>
      <w:r>
        <w:rPr>
          <w:rFonts w:hint="eastAsia" w:ascii="Times New Roman" w:eastAsia="仿宋_GB2312"/>
          <w:b w:val="0"/>
          <w:sz w:val="32"/>
          <w:szCs w:val="32"/>
          <w:lang w:val="en-US" w:eastAsia="zh-CN"/>
        </w:rPr>
        <w:t>过渡费、拆迁款等支出减少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国有资本经营预算；支出完成年初预算的0.0%，比年初预算增加0.00万元，主要原因是</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2024年度财政拨款支出34,024.01万元，主要用于以下方面：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节能环保（类）支出8.00万元，占0.0%，主要用于</w:t>
      </w:r>
      <w:r>
        <w:rPr>
          <w:rFonts w:hint="eastAsia" w:ascii="Times New Roman" w:eastAsia="仿宋_GB2312"/>
          <w:b w:val="0"/>
          <w:sz w:val="32"/>
          <w:szCs w:val="32"/>
        </w:rPr>
        <w:t>正定新区大气污染防治项目</w:t>
      </w:r>
      <w:r>
        <w:rPr>
          <w:rFonts w:ascii="Times New Roman" w:eastAsia="仿宋_GB2312"/>
          <w:b w:val="0"/>
          <w:sz w:val="32"/>
          <w:szCs w:val="32"/>
        </w:rPr>
        <w:t>支出；城乡社区（类）支出4,157.81万元，占12.2%，主要用于</w:t>
      </w:r>
      <w:r>
        <w:rPr>
          <w:rFonts w:hint="eastAsia" w:ascii="Times New Roman" w:eastAsia="仿宋_GB2312"/>
          <w:b w:val="0"/>
          <w:sz w:val="32"/>
          <w:szCs w:val="32"/>
        </w:rPr>
        <w:t>环卫工作经费</w:t>
      </w:r>
      <w:r>
        <w:rPr>
          <w:rFonts w:hint="eastAsia" w:ascii="Times New Roman" w:eastAsia="仿宋_GB2312"/>
          <w:b w:val="0"/>
          <w:sz w:val="32"/>
          <w:szCs w:val="32"/>
          <w:lang w:eastAsia="zh-CN"/>
        </w:rPr>
        <w:t>、环卫车辆运行费、过渡费</w:t>
      </w:r>
      <w:r>
        <w:rPr>
          <w:rFonts w:ascii="Times New Roman" w:eastAsia="仿宋_GB2312"/>
          <w:b w:val="0"/>
          <w:sz w:val="32"/>
          <w:szCs w:val="32"/>
        </w:rPr>
        <w:t>等支出；住房保障（类）支出48.92万元，占0.1%，主要用于</w:t>
      </w:r>
      <w:r>
        <w:rPr>
          <w:rFonts w:hint="eastAsia" w:ascii="Times New Roman" w:eastAsia="仿宋_GB2312"/>
          <w:b w:val="0"/>
          <w:sz w:val="32"/>
          <w:szCs w:val="32"/>
        </w:rPr>
        <w:t>住房租赁和房产经纪工作经费</w:t>
      </w:r>
      <w:r>
        <w:rPr>
          <w:rFonts w:ascii="Times New Roman" w:eastAsia="仿宋_GB2312"/>
          <w:b w:val="0"/>
          <w:sz w:val="32"/>
          <w:szCs w:val="32"/>
        </w:rPr>
        <w:t>等支出；其他（类）支出25,080.06万元，占73.7%，主要用于</w:t>
      </w:r>
      <w:r>
        <w:rPr>
          <w:rFonts w:hint="eastAsia" w:ascii="Times New Roman" w:eastAsia="仿宋_GB2312"/>
          <w:b w:val="0"/>
          <w:sz w:val="32"/>
          <w:szCs w:val="32"/>
        </w:rPr>
        <w:t>房产转让税费</w:t>
      </w:r>
      <w:r>
        <w:rPr>
          <w:rFonts w:hint="eastAsia" w:ascii="Times New Roman" w:eastAsia="仿宋_GB2312"/>
          <w:b w:val="0"/>
          <w:sz w:val="32"/>
          <w:szCs w:val="32"/>
          <w:lang w:eastAsia="zh-CN"/>
        </w:rPr>
        <w:t>、村庄征收拆迁</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城乡社区（类）支出4,729.22万元，占13.9%，主要用于</w:t>
      </w:r>
      <w:r>
        <w:rPr>
          <w:rFonts w:hint="eastAsia" w:ascii="Times New Roman" w:eastAsia="仿宋_GB2312"/>
          <w:b w:val="0"/>
          <w:sz w:val="32"/>
          <w:szCs w:val="32"/>
        </w:rPr>
        <w:t>村庄征收拆迁</w:t>
      </w:r>
      <w:r>
        <w:rPr>
          <w:rFonts w:hint="eastAsia" w:ascii="Times New Roman" w:eastAsia="仿宋_GB2312"/>
          <w:b w:val="0"/>
          <w:sz w:val="32"/>
          <w:szCs w:val="32"/>
          <w:lang w:eastAsia="zh-CN"/>
        </w:rPr>
        <w:t>、</w:t>
      </w:r>
      <w:r>
        <w:rPr>
          <w:rFonts w:hint="eastAsia" w:ascii="Times New Roman" w:eastAsia="仿宋_GB2312"/>
          <w:b w:val="0"/>
          <w:sz w:val="32"/>
          <w:szCs w:val="32"/>
        </w:rPr>
        <w:t>房产转让税费</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eastAsia" w:ascii="Times New Roman" w:eastAsia="仿宋_GB2312"/>
          <w:b w:val="0"/>
          <w:sz w:val="32"/>
          <w:szCs w:val="32"/>
          <w:lang w:val="en-US" w:eastAsia="zh-CN"/>
        </w:rPr>
        <w:t>无</w:t>
      </w: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2024年度财政拨款基本支出526.09万元，其中：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514.98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11.11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本部门2024年度“三公”经费财政拨款支出预算为13.60万元，支出决算为10.48万元，完成预算的77.1%，较预算减少3.12万元，降低22.9%，主要原因是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；较2023年度决算减少1.22万元，降低10.4%，主要原因是</w:t>
      </w:r>
      <w:r>
        <w:rPr>
          <w:rFonts w:hint="eastAsia" w:ascii="Times New Roman" w:eastAsia="仿宋_GB2312"/>
          <w:b w:val="0"/>
          <w:sz w:val="32"/>
          <w:szCs w:val="32"/>
          <w:lang w:val="en-US" w:eastAsia="zh-CN"/>
        </w:rPr>
        <w:t>2024年公务用车维护费支出较2023年公务用车维护费支出减少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正定新区城市管理局无出国出境安排</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正定新区城市管理局无出国出境安排</w:t>
      </w:r>
      <w:r>
        <w:rPr>
          <w:rFonts w:ascii="Times New Roman" w:eastAsia="仿宋_GB2312"/>
          <w:b w:val="0"/>
          <w:sz w:val="32"/>
          <w:szCs w:val="32"/>
        </w:rPr>
        <w:t>。因公出国（境）团组0个、共0人、参加其他单位组织的因公出国（境）团组个、共人/无本部门组织的出国（境）团组。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本部门2024年度公务用车购置及运行维护费预算为13.60万元，支出决算10.48万元，完成预算的77.1%,较预算减少3.12万元，降低22.9%,主要原因是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；较上年减少1.22万元，降低10.4%,主要原因是</w:t>
      </w:r>
      <w:r>
        <w:rPr>
          <w:rFonts w:hint="eastAsia" w:ascii="Times New Roman" w:eastAsia="仿宋_GB2312"/>
          <w:b w:val="0"/>
          <w:sz w:val="32"/>
          <w:szCs w:val="32"/>
          <w:lang w:val="en-US" w:eastAsia="zh-CN"/>
        </w:rPr>
        <w:t>2024年公务用车维护费支出较2023年公务用车维护费支出增加</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本部门2024年度公务用车购置量0辆，发生“公务用车购置”经费支出0.00万元。公务用车购置费支出较预算增加0.00万元，增长0.0%,主要原因是</w:t>
      </w:r>
      <w:r>
        <w:rPr>
          <w:rFonts w:hint="eastAsia" w:ascii="Times New Roman" w:eastAsia="仿宋_GB2312"/>
          <w:b w:val="0"/>
          <w:sz w:val="32"/>
          <w:szCs w:val="32"/>
          <w:lang w:val="en-US" w:eastAsia="zh-CN"/>
        </w:rPr>
        <w:t>正定新区城市管理局未购置公务用车</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正定新区城市管理局未购置公务用车</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公务用车运行维护费支出10.48万元：</w:t>
      </w:r>
      <w:r>
        <w:rPr>
          <w:rFonts w:ascii="Times New Roman" w:eastAsia="仿宋_GB2312"/>
          <w:b w:val="0"/>
          <w:sz w:val="32"/>
          <w:szCs w:val="32"/>
        </w:rPr>
        <w:t>本部门2024年度单位公务用车保有量25辆，发生运行维护费支出10.48万元。公车运行维护费支出较预算减少3.12万元，降低22.9%,主要原因是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；较上年减少1.22万元，降低10.4%，主要原因是</w:t>
      </w:r>
      <w:r>
        <w:rPr>
          <w:rFonts w:hint="eastAsia" w:ascii="Times New Roman" w:eastAsia="仿宋_GB2312"/>
          <w:b w:val="0"/>
          <w:sz w:val="32"/>
          <w:szCs w:val="32"/>
          <w:lang w:val="en-US" w:eastAsia="zh-CN"/>
        </w:rPr>
        <w:t>2024年公务用车维护费支出较2023年公务用车维护费支出增加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w:t>
      </w:r>
      <w:r>
        <w:rPr>
          <w:rFonts w:hint="eastAsia" w:ascii="Times New Roman" w:eastAsia="仿宋_GB2312"/>
          <w:b w:val="0"/>
          <w:sz w:val="32"/>
          <w:szCs w:val="32"/>
          <w:lang w:val="en-US" w:eastAsia="zh-CN"/>
        </w:rPr>
        <w:t>正定新区城市管理局2024年无公务接待安排</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正定新区城市管理局2024年无公务接待安排</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本部门2024年度机关运行经费支出11.11万元，较2023年度减少1.47万元，降低11.7%。主要原因是</w:t>
      </w:r>
      <w:r>
        <w:rPr>
          <w:rFonts w:hint="eastAsia" w:ascii="Times New Roman" w:eastAsia="仿宋_GB2312"/>
          <w:b w:val="0"/>
          <w:sz w:val="32"/>
          <w:szCs w:val="32"/>
          <w:lang w:val="en-US" w:eastAsia="zh-CN"/>
        </w:rPr>
        <w:t>差旅费、公务用车运行维护费减少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7,699.12万元，从采购类型来看，政府采购货物支出0.00万元、政府采购工程支出0.00万元、政府采购服务支出7,699.12万元。授予中小企业合同金额7,699.12万元，占政府采购支出总额的100.0%，其中授予小微企业合同金额7,699.12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截至2024年12月31日，本部门共有车辆25辆，比上年增加25辆，主要是</w:t>
      </w:r>
      <w:r>
        <w:rPr>
          <w:rFonts w:hint="eastAsia" w:ascii="Times New Roman" w:eastAsia="仿宋_GB2312"/>
          <w:b w:val="0"/>
          <w:sz w:val="32"/>
          <w:szCs w:val="32"/>
          <w:lang w:val="en-US" w:eastAsia="zh-CN"/>
        </w:rPr>
        <w:t>环保车辆增加</w:t>
      </w:r>
      <w:r>
        <w:rPr>
          <w:rFonts w:ascii="Times New Roman" w:eastAsia="仿宋_GB2312"/>
          <w:b w:val="0"/>
          <w:sz w:val="32"/>
          <w:szCs w:val="32"/>
        </w:rPr>
        <w:t>。其中，副部（省）级及以上领导用车0辆，主要负责人用车0辆，机要通信用车0辆，应急保障用车0辆，执法执勤用车0辆，特种专业技术用车0辆，离退休干部用车0辆，其他用车25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34268.16</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27</w:t>
      </w:r>
      <w:r>
        <w:rPr>
          <w:rFonts w:ascii="Times New Roman" w:eastAsia="仿宋_GB2312"/>
          <w:b w:val="0"/>
          <w:sz w:val="32"/>
          <w:szCs w:val="32"/>
        </w:rPr>
        <w:t>个，涉及资金</w:t>
      </w:r>
      <w:r>
        <w:rPr>
          <w:rFonts w:hint="eastAsia" w:ascii="Times New Roman" w:eastAsia="仿宋_GB2312"/>
          <w:b w:val="0"/>
          <w:sz w:val="32"/>
          <w:szCs w:val="32"/>
          <w:lang w:val="en-US" w:eastAsia="zh-CN"/>
        </w:rPr>
        <w:t>29012.85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7</w:t>
      </w:r>
      <w:r>
        <w:rPr>
          <w:rFonts w:ascii="Times New Roman" w:eastAsia="仿宋_GB2312"/>
          <w:b w:val="0"/>
          <w:sz w:val="32"/>
          <w:szCs w:val="32"/>
        </w:rPr>
        <w:t>个，涉及资金</w:t>
      </w:r>
      <w:r>
        <w:rPr>
          <w:rFonts w:hint="eastAsia" w:ascii="Times New Roman" w:eastAsia="仿宋_GB2312"/>
          <w:b w:val="0"/>
          <w:sz w:val="32"/>
          <w:szCs w:val="32"/>
          <w:lang w:val="en-US" w:eastAsia="zh-CN"/>
        </w:rPr>
        <w:t>4729.22</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keepNext w:val="0"/>
        <w:keepLines w:val="0"/>
        <w:widowControl/>
        <w:suppressLineNumbers w:val="0"/>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213.19</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ascii="Times New Roman" w:eastAsia="仿宋_GB2312"/>
          <w:b w:val="0"/>
          <w:color w:val="auto"/>
          <w:sz w:val="32"/>
          <w:szCs w:val="32"/>
          <w:lang w:val="en-US" w:eastAsia="zh-CN"/>
        </w:rPr>
        <w:t>202</w:t>
      </w:r>
      <w:r>
        <w:rPr>
          <w:rFonts w:hint="eastAsia" w:ascii="Times New Roman" w:eastAsia="仿宋_GB2312"/>
          <w:b w:val="0"/>
          <w:color w:val="auto"/>
          <w:sz w:val="32"/>
          <w:szCs w:val="32"/>
          <w:lang w:val="en-US" w:eastAsia="zh-CN"/>
        </w:rPr>
        <w:t>4年环卫车辆运行费</w:t>
      </w:r>
      <w:r>
        <w:rPr>
          <w:rFonts w:ascii="Times New Roman" w:eastAsia="仿宋_GB2312"/>
          <w:b w:val="0"/>
          <w:color w:val="auto"/>
          <w:sz w:val="32"/>
          <w:szCs w:val="32"/>
          <w:lang w:val="en-US" w:eastAsia="zh-CN"/>
        </w:rPr>
        <w:t>全年预算数调整数</w:t>
      </w:r>
      <w:r>
        <w:rPr>
          <w:rFonts w:hint="eastAsia" w:ascii="Times New Roman" w:eastAsia="仿宋_GB2312"/>
          <w:b w:val="0"/>
          <w:color w:val="auto"/>
          <w:sz w:val="32"/>
          <w:szCs w:val="32"/>
          <w:lang w:val="en-US" w:eastAsia="zh-CN"/>
        </w:rPr>
        <w:t>213.19</w:t>
      </w:r>
      <w:r>
        <w:rPr>
          <w:rFonts w:ascii="Times New Roman" w:eastAsia="仿宋_GB2312"/>
          <w:b w:val="0"/>
          <w:color w:val="auto"/>
          <w:sz w:val="32"/>
          <w:szCs w:val="32"/>
          <w:lang w:val="en-US" w:eastAsia="zh-CN"/>
        </w:rPr>
        <w:t xml:space="preserve">万元，支出 </w:t>
      </w:r>
      <w:r>
        <w:rPr>
          <w:rFonts w:hint="eastAsia" w:ascii="Times New Roman" w:eastAsia="仿宋_GB2312"/>
          <w:b w:val="0"/>
          <w:color w:val="auto"/>
          <w:sz w:val="32"/>
          <w:szCs w:val="32"/>
          <w:lang w:val="en-US" w:eastAsia="zh-CN"/>
        </w:rPr>
        <w:t>213.19</w:t>
      </w:r>
      <w:r>
        <w:rPr>
          <w:rFonts w:ascii="Times New Roman" w:eastAsia="仿宋_GB2312"/>
          <w:b w:val="0"/>
          <w:color w:val="auto"/>
          <w:sz w:val="32"/>
          <w:szCs w:val="32"/>
          <w:lang w:val="en-US" w:eastAsia="zh-CN"/>
        </w:rPr>
        <w:t>万元，结余资金于年末收回财政。自评得分</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lang w:val="en-US" w:eastAsia="zh-CN"/>
        </w:rPr>
        <w:t>分</w:t>
      </w:r>
      <w:r>
        <w:rPr>
          <w:rFonts w:hint="eastAsia" w:ascii="Times New Roman" w:eastAsia="仿宋_GB2312"/>
          <w:b w:val="0"/>
          <w:color w:val="auto"/>
          <w:sz w:val="32"/>
          <w:szCs w:val="32"/>
          <w:lang w:val="en-US" w:eastAsia="zh-CN"/>
        </w:rPr>
        <w:t>，</w:t>
      </w:r>
      <w:r>
        <w:rPr>
          <w:rFonts w:ascii="Times New Roman" w:eastAsia="仿宋_GB2312"/>
          <w:b w:val="0"/>
          <w:color w:val="auto"/>
          <w:sz w:val="32"/>
          <w:szCs w:val="32"/>
          <w:lang w:val="en-US" w:eastAsia="zh-CN"/>
        </w:rPr>
        <w:t>评价为优秀等次</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lang w:val="en-US" w:eastAsia="zh-CN"/>
        </w:rPr>
        <w:t>1</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分。全年预算数为</w:t>
      </w:r>
      <w:r>
        <w:rPr>
          <w:rFonts w:hint="eastAsia" w:ascii="Times New Roman" w:eastAsia="仿宋_GB2312"/>
          <w:b w:val="0"/>
          <w:sz w:val="32"/>
          <w:szCs w:val="32"/>
          <w:lang w:val="en-US" w:eastAsia="zh-CN"/>
        </w:rPr>
        <w:t>213.19</w:t>
      </w:r>
      <w:r>
        <w:rPr>
          <w:rFonts w:ascii="Times New Roman" w:eastAsia="仿宋_GB2312"/>
          <w:b w:val="0"/>
          <w:sz w:val="32"/>
          <w:szCs w:val="32"/>
        </w:rPr>
        <w:t>万元，执行数为</w:t>
      </w:r>
      <w:r>
        <w:rPr>
          <w:rFonts w:hint="eastAsia" w:ascii="Times New Roman" w:eastAsia="仿宋_GB2312"/>
          <w:b w:val="0"/>
          <w:sz w:val="32"/>
          <w:szCs w:val="32"/>
          <w:lang w:val="en-US" w:eastAsia="zh-CN"/>
        </w:rPr>
        <w:t>213.19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lang w:val="en-US" w:eastAsia="zh-CN"/>
        </w:rPr>
        <w:t>确保及时与供应商进行款项结算</w:t>
      </w:r>
      <w:r>
        <w:rPr>
          <w:rFonts w:ascii="Times New Roman" w:eastAsia="仿宋_GB2312"/>
          <w:b w:val="0"/>
          <w:sz w:val="32"/>
          <w:szCs w:val="32"/>
        </w:rPr>
        <w:t>；二是</w:t>
      </w:r>
      <w:r>
        <w:rPr>
          <w:rFonts w:hint="eastAsia" w:ascii="Times New Roman" w:eastAsia="仿宋_GB2312"/>
          <w:b w:val="0"/>
          <w:sz w:val="32"/>
          <w:szCs w:val="32"/>
          <w:lang w:val="en-US" w:eastAsia="zh-CN"/>
        </w:rPr>
        <w:t>保障环卫车辆工作正常开展</w:t>
      </w:r>
      <w:r>
        <w:rPr>
          <w:rFonts w:ascii="Times New Roman" w:eastAsia="仿宋_GB2312"/>
          <w:b w:val="0"/>
          <w:sz w:val="32"/>
          <w:szCs w:val="32"/>
        </w:rPr>
        <w:t>。下一步改进措施：一是</w:t>
      </w:r>
      <w:r>
        <w:rPr>
          <w:rFonts w:hint="eastAsia" w:ascii="Times New Roman" w:eastAsia="仿宋_GB2312"/>
          <w:b w:val="0"/>
          <w:sz w:val="32"/>
          <w:szCs w:val="32"/>
          <w:lang w:val="en-US" w:eastAsia="zh-CN"/>
        </w:rPr>
        <w:t>节省预算开支</w:t>
      </w:r>
      <w:r>
        <w:rPr>
          <w:rFonts w:ascii="Times New Roman" w:eastAsia="仿宋_GB2312"/>
          <w:b w:val="0"/>
          <w:sz w:val="32"/>
          <w:szCs w:val="32"/>
        </w:rPr>
        <w:t>；二是</w:t>
      </w:r>
      <w:r>
        <w:rPr>
          <w:rFonts w:hint="eastAsia" w:ascii="Times New Roman" w:eastAsia="仿宋_GB2312"/>
          <w:b w:val="0"/>
          <w:sz w:val="32"/>
          <w:szCs w:val="32"/>
          <w:lang w:val="en-US" w:eastAsia="zh-CN"/>
        </w:rPr>
        <w:t>定期维修，保证环卫车辆正常工作</w:t>
      </w:r>
      <w:r>
        <w:rPr>
          <w:rFonts w:ascii="Times New Roman" w:eastAsia="仿宋_GB2312"/>
          <w:b w:val="0"/>
          <w:sz w:val="32"/>
          <w:szCs w:val="32"/>
        </w:rPr>
        <w:t>。</w:t>
      </w:r>
    </w:p>
    <w:tbl>
      <w:tblPr>
        <w:tblStyle w:val="11"/>
        <w:tblW w:w="10260" w:type="dxa"/>
        <w:tblInd w:w="0" w:type="dxa"/>
        <w:shd w:val="clear" w:color="auto" w:fill="auto"/>
        <w:tblLayout w:type="fixed"/>
        <w:tblCellMar>
          <w:top w:w="0" w:type="dxa"/>
          <w:left w:w="0" w:type="dxa"/>
          <w:bottom w:w="0" w:type="dxa"/>
          <w:right w:w="0" w:type="dxa"/>
        </w:tblCellMar>
      </w:tblPr>
      <w:tblGrid>
        <w:gridCol w:w="1215"/>
        <w:gridCol w:w="1080"/>
        <w:gridCol w:w="1080"/>
        <w:gridCol w:w="1245"/>
        <w:gridCol w:w="1410"/>
        <w:gridCol w:w="1080"/>
        <w:gridCol w:w="1080"/>
        <w:gridCol w:w="2070"/>
      </w:tblGrid>
      <w:tr>
        <w:tblPrEx>
          <w:tblCellMar>
            <w:top w:w="0" w:type="dxa"/>
            <w:left w:w="0" w:type="dxa"/>
            <w:bottom w:w="0" w:type="dxa"/>
            <w:right w:w="0" w:type="dxa"/>
          </w:tblCellMar>
        </w:tblPrEx>
        <w:trPr>
          <w:trHeight w:val="375" w:hRule="atLeast"/>
        </w:trPr>
        <w:tc>
          <w:tcPr>
            <w:tcW w:w="121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附件1</w:t>
            </w:r>
          </w:p>
        </w:tc>
        <w:tc>
          <w:tcPr>
            <w:tcW w:w="108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7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510" w:hRule="atLeast"/>
        </w:trPr>
        <w:tc>
          <w:tcPr>
            <w:tcW w:w="1026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正定新城部门预算项目绩效自评表</w:t>
            </w:r>
          </w:p>
        </w:tc>
      </w:tr>
      <w:tr>
        <w:tblPrEx>
          <w:tblCellMar>
            <w:top w:w="0" w:type="dxa"/>
            <w:left w:w="0" w:type="dxa"/>
            <w:bottom w:w="0" w:type="dxa"/>
            <w:right w:w="0" w:type="dxa"/>
          </w:tblCellMar>
        </w:tblPrEx>
        <w:trPr>
          <w:trHeight w:val="345" w:hRule="atLeast"/>
        </w:trPr>
        <w:tc>
          <w:tcPr>
            <w:tcW w:w="10260"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shd w:val="clear" w:color="auto" w:fill="auto"/>
          <w:tblCellMar>
            <w:top w:w="0" w:type="dxa"/>
            <w:left w:w="0" w:type="dxa"/>
            <w:bottom w:w="0" w:type="dxa"/>
            <w:right w:w="0" w:type="dxa"/>
          </w:tblCellMar>
        </w:tblPrEx>
        <w:trPr>
          <w:trHeight w:val="435" w:hRule="atLeast"/>
        </w:trPr>
        <w:tc>
          <w:tcPr>
            <w:tcW w:w="2295"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填报单位：正定新区城市管理局</w:t>
            </w:r>
          </w:p>
        </w:tc>
        <w:tc>
          <w:tcPr>
            <w:tcW w:w="108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2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环卫车辆运行费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正定新区城市管理局</w:t>
            </w: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确保及时与供应商进行款项结算，保障工作正常开展。</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环卫车辆工作正常开展</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2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环卫车辆使用台数</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环卫车辆一次维修合格率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96%</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环卫车辆维修时限</w:t>
            </w: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≤3天</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1天</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tblPrEx>
          <w:tblCellMar>
            <w:top w:w="0" w:type="dxa"/>
            <w:left w:w="0" w:type="dxa"/>
            <w:bottom w:w="0" w:type="dxa"/>
            <w:right w:w="0" w:type="dxa"/>
          </w:tblCellMar>
        </w:tblPrEx>
        <w:trPr>
          <w:trHeight w:val="45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车辆燃油费总额</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≤9万元/辆/年</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6万元/辆/年</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25"/>
                <w:rFonts w:eastAsia="宋体"/>
                <w:lang w:val="en-US" w:eastAsia="zh-CN" w:bidi="ar"/>
              </w:rPr>
              <w:t xml:space="preserve"> </w:t>
            </w:r>
            <w:r>
              <w:rPr>
                <w:rStyle w:val="26"/>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确保道路环境卫生提升情况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有效提升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有效提升</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50分</w:t>
            </w: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25"/>
                <w:rFonts w:eastAsia="宋体"/>
                <w:lang w:val="en-US" w:eastAsia="zh-CN" w:bidi="ar"/>
              </w:rPr>
              <w:t xml:space="preserve"> </w:t>
            </w:r>
            <w:r>
              <w:rPr>
                <w:rStyle w:val="26"/>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25"/>
                <w:rFonts w:eastAsia="宋体"/>
                <w:lang w:val="en-US" w:eastAsia="zh-CN" w:bidi="ar"/>
              </w:rPr>
              <w:t xml:space="preserve"> </w:t>
            </w:r>
            <w:r>
              <w:rPr>
                <w:rStyle w:val="26"/>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shd w:val="clear" w:color="auto" w:fill="auto"/>
          <w:tblCellMar>
            <w:top w:w="0" w:type="dxa"/>
            <w:left w:w="0" w:type="dxa"/>
            <w:bottom w:w="0" w:type="dxa"/>
            <w:right w:w="0" w:type="dxa"/>
          </w:tblCellMar>
        </w:tblPrEx>
        <w:trPr>
          <w:trHeight w:val="3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25"/>
                <w:rFonts w:eastAsia="宋体"/>
                <w:lang w:val="en-US" w:eastAsia="zh-CN" w:bidi="ar"/>
              </w:rPr>
              <w:t xml:space="preserve"> </w:t>
            </w:r>
            <w:r>
              <w:rPr>
                <w:rStyle w:val="26"/>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r>
              <w:rPr>
                <w:rStyle w:val="27"/>
                <w:rFonts w:ascii="宋体" w:hAnsi="宋体" w:eastAsia="宋体" w:cs="宋体"/>
                <w:sz w:val="24"/>
                <w:szCs w:val="24"/>
                <w:lang w:val="en-US" w:eastAsia="zh-CN" w:bidi="ar"/>
              </w:rPr>
              <w:t>分</w:t>
            </w:r>
          </w:p>
        </w:tc>
      </w:tr>
      <w:tr>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2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hint="eastAsia" w:ascii="Times New Roman" w:eastAsia="仿宋_GB2312"/>
          <w:sz w:val="32"/>
          <w:szCs w:val="32"/>
          <w:lang w:val="en-US"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95044A2-0F77-449D-B100-A7F892EF6DF4}"/>
  </w:font>
  <w:font w:name="黑体">
    <w:panose1 w:val="02010609060101010101"/>
    <w:charset w:val="86"/>
    <w:family w:val="auto"/>
    <w:pitch w:val="default"/>
    <w:sig w:usb0="800002BF" w:usb1="38CF7CFA" w:usb2="00000016" w:usb3="00000000" w:csb0="00040001" w:csb1="00000000"/>
    <w:embedRegular r:id="rId2" w:fontKey="{2420F852-A30B-461D-97CD-E400CE73E8C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F3FB0C42-5513-4F83-AB12-90637993A85D}"/>
  </w:font>
  <w:font w:name="仿宋">
    <w:panose1 w:val="02010609060101010101"/>
    <w:charset w:val="86"/>
    <w:family w:val="modern"/>
    <w:pitch w:val="default"/>
    <w:sig w:usb0="800002BF" w:usb1="38CF7CFA" w:usb2="00000016" w:usb3="00000000" w:csb0="00040001" w:csb1="00000000"/>
    <w:embedRegular r:id="rId4" w:fontKey="{25441FBE-E152-4639-955E-804398FBD502}"/>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Arial Unicode MS">
    <w:altName w:val="Arial"/>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embedRegular r:id="rId5" w:fontKey="{B491AD3E-2269-43B9-9644-BB0C4B91176F}"/>
  </w:font>
  <w:font w:name="方正小标宋_GBK">
    <w:panose1 w:val="02000000000000000000"/>
    <w:charset w:val="86"/>
    <w:family w:val="script"/>
    <w:pitch w:val="default"/>
    <w:sig w:usb0="A00002BF" w:usb1="38CF7CFA" w:usb2="00082016" w:usb3="00000000" w:csb0="00040001" w:csb1="00000000"/>
    <w:embedRegular r:id="rId6" w:fontKey="{677B8D84-CEBE-47EA-A5E8-21CADEB6C687}"/>
  </w:font>
  <w:font w:name="仿宋_GB2312">
    <w:panose1 w:val="02010609030101010101"/>
    <w:charset w:val="86"/>
    <w:family w:val="auto"/>
    <w:pitch w:val="default"/>
    <w:sig w:usb0="00000001" w:usb1="080E0000" w:usb2="00000000" w:usb3="00000000" w:csb0="00040000" w:csb1="00000000"/>
    <w:embedRegular r:id="rId7" w:fontKey="{BBCA787C-B29B-436E-B0D3-A4681118F4A0}"/>
  </w:font>
  <w:font w:name="FZFSK--GBK1-0">
    <w:altName w:val="Segoe Print"/>
    <w:panose1 w:val="00000000000000000000"/>
    <w:charset w:val="00"/>
    <w:family w:val="auto"/>
    <w:pitch w:val="default"/>
    <w:sig w:usb0="00000000" w:usb1="00000000" w:usb2="00000000" w:usb3="00000000" w:csb0="00000000" w:csb1="00000000"/>
  </w:font>
  <w:font w:name="ArialUnicodeMS">
    <w:altName w:val="Malgun Gothic"/>
    <w:panose1 w:val="00000000000000000000"/>
    <w:charset w:val="81"/>
    <w:family w:val="auto"/>
    <w:pitch w:val="default"/>
    <w:sig w:usb0="00000000" w:usb1="00000000" w:usb2="00000010" w:usb3="00000000" w:csb0="00080001" w:csb1="00000000"/>
    <w:embedRegular r:id="rId8" w:fontKey="{477751F4-C543-4FA0-A5BA-8B7D8BE2D320}"/>
  </w:font>
  <w:font w:name="方正仿宋_GB2312">
    <w:altName w:val="仿宋"/>
    <w:panose1 w:val="02000000000000000000"/>
    <w:charset w:val="86"/>
    <w:family w:val="auto"/>
    <w:pitch w:val="default"/>
    <w:sig w:usb0="00000000" w:usb1="00000000" w:usb2="00000012" w:usb3="00000000" w:csb0="00040001" w:csb1="00000000"/>
    <w:embedRegular r:id="rId9" w:fontKey="{C184F514-F51C-4E71-A852-1DCEB72D04D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1BC5CAB"/>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4A09FB"/>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73BB4"/>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BD90B41"/>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44B97"/>
    <w:rsid w:val="41C77987"/>
    <w:rsid w:val="41E83F8C"/>
    <w:rsid w:val="422D1842"/>
    <w:rsid w:val="424C27DF"/>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EB60FE"/>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101"/>
    <w:basedOn w:val="13"/>
    <w:qFormat/>
    <w:uiPriority w:val="0"/>
    <w:rPr>
      <w:rFonts w:ascii="Calibri" w:hAnsi="Calibri" w:cs="Calibri"/>
      <w:color w:val="000000"/>
      <w:sz w:val="16"/>
      <w:szCs w:val="16"/>
      <w:u w:val="none"/>
    </w:rPr>
  </w:style>
  <w:style w:type="character" w:customStyle="1" w:styleId="26">
    <w:name w:val="font121"/>
    <w:basedOn w:val="13"/>
    <w:qFormat/>
    <w:uiPriority w:val="0"/>
    <w:rPr>
      <w:rFonts w:ascii="Arial Unicode MS" w:hAnsi="Arial Unicode MS" w:eastAsia="Arial Unicode MS" w:cs="Arial Unicode MS"/>
      <w:color w:val="000000"/>
      <w:sz w:val="16"/>
      <w:szCs w:val="16"/>
      <w:u w:val="none"/>
    </w:rPr>
  </w:style>
  <w:style w:type="character" w:customStyle="1" w:styleId="27">
    <w:name w:val="font112"/>
    <w:basedOn w:val="13"/>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65402.89</c:v>
                </c:pt>
                <c:pt idx="1">
                  <c:v>34268.16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342681626.16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5260910.17</c:v>
                </c:pt>
                <c:pt idx="1">
                  <c:v>334979209.49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65402.89</c:v>
                </c:pt>
                <c:pt idx="1">
                  <c:v>65130.23</c:v>
                </c:pt>
                <c:pt idx="2">
                  <c:v>21517.26</c:v>
                </c:pt>
                <c:pt idx="3">
                  <c:v>21445.55</c:v>
                </c:pt>
                <c:pt idx="4">
                  <c:v>43885.63</c:v>
                </c:pt>
                <c:pt idx="5">
                  <c:v>43684.67</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34268.16</c:v>
                </c:pt>
                <c:pt idx="1">
                  <c:v>34024.01</c:v>
                </c:pt>
                <c:pt idx="2">
                  <c:v>29538.94</c:v>
                </c:pt>
                <c:pt idx="3">
                  <c:v>29294.79</c:v>
                </c:pt>
                <c:pt idx="4">
                  <c:v>4729.22</c:v>
                </c:pt>
                <c:pt idx="5">
                  <c:v>4729.22</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53680.09</c:v>
                </c:pt>
                <c:pt idx="1">
                  <c:v>53680.09</c:v>
                </c:pt>
                <c:pt idx="2">
                  <c:v>17972.75</c:v>
                </c:pt>
                <c:pt idx="3">
                  <c:v>17972.75</c:v>
                </c:pt>
                <c:pt idx="4">
                  <c:v>35707.34</c:v>
                </c:pt>
                <c:pt idx="5">
                  <c:v>35707.34</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34268.16</c:v>
                </c:pt>
                <c:pt idx="1">
                  <c:v>34024.01</c:v>
                </c:pt>
                <c:pt idx="2">
                  <c:v>29538.94</c:v>
                </c:pt>
                <c:pt idx="3">
                  <c:v>29294.79</c:v>
                </c:pt>
                <c:pt idx="4">
                  <c:v>4729.22</c:v>
                </c:pt>
                <c:pt idx="5">
                  <c:v>4729.22</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0</c:v>
                </c:pt>
                <c:pt idx="8">
                  <c:v>0</c:v>
                </c:pt>
                <c:pt idx="9">
                  <c:v>8</c:v>
                </c:pt>
                <c:pt idx="10">
                  <c:v>8887.03</c:v>
                </c:pt>
                <c:pt idx="11">
                  <c:v>0</c:v>
                </c:pt>
                <c:pt idx="12">
                  <c:v>0</c:v>
                </c:pt>
                <c:pt idx="13">
                  <c:v>0</c:v>
                </c:pt>
                <c:pt idx="14">
                  <c:v>0</c:v>
                </c:pt>
                <c:pt idx="15">
                  <c:v>0</c:v>
                </c:pt>
                <c:pt idx="16">
                  <c:v>0</c:v>
                </c:pt>
                <c:pt idx="17">
                  <c:v>0</c:v>
                </c:pt>
                <c:pt idx="18">
                  <c:v>48.92</c:v>
                </c:pt>
                <c:pt idx="19">
                  <c:v>0</c:v>
                </c:pt>
                <c:pt idx="20">
                  <c:v>0</c:v>
                </c:pt>
                <c:pt idx="21">
                  <c:v>0</c:v>
                </c:pt>
                <c:pt idx="22">
                  <c:v>25080.06</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2838</Words>
  <Characters>4096</Characters>
  <Lines>86</Lines>
  <Paragraphs>24</Paragraphs>
  <TotalTime>3</TotalTime>
  <ScaleCrop>false</ScaleCrop>
  <LinksUpToDate>false</LinksUpToDate>
  <CharactersWithSpaces>4428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hp</cp:lastModifiedBy>
  <cp:lastPrinted>2023-08-04T01:00:00Z</cp:lastPrinted>
  <dcterms:modified xsi:type="dcterms:W3CDTF">2025-11-13T02:54:45Z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eyJoZGlkIjoiMGJiNzU2MThhYjBlODkyMWJkODQ3MjY1YjUwY2M1OTgiLCJ1c2VySWQiOiI0OTk1MjQ5MDIifQ==</vt:lpwstr>
  </property>
</Properties>
</file>