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XbLP3tgAAAAKAQAADwAAAAAA&#10;AAABACAAAAAiAAAAZHJzL2Rvd25yZXYueG1sUEsBAhQAFAAAAAgAh07iQCBW79PaAQAAgAMAAA4A&#10;AAAAAAAAAQAgAAAAJwEAAGRycy9lMm9Eb2MueG1sUEsFBgAAAAAGAAYAWQEAAHMFAAAAAA==&#10;">
                <v:fill on="f" focussize="0,0"/>
                <v:stroke on="f"/>
                <v:imagedata o:title=""/>
                <o:lock v:ext="edit" aspectratio="f"/>
                <v:textbo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333001</w:t>
      </w: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：正定新区建设局（本级）</w:t>
      </w:r>
    </w:p>
    <w:p>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pPr>
        <w:spacing w:line="600" w:lineRule="auto"/>
        <w:jc w:val="center"/>
        <w:rPr>
          <w:rFonts w:hint="eastAsia" w:ascii="楷体_GB2312" w:hAnsi="楷体_GB2312" w:eastAsia="楷体_GB2312" w:cs="楷体_GB2312"/>
          <w:color w:val="000000"/>
          <w:sz w:val="40"/>
          <w:szCs w:val="40"/>
        </w:rPr>
      </w:pPr>
    </w:p>
    <w:p>
      <w:pPr>
        <w:rPr>
          <w:rFonts w:hint="eastAsia" w:ascii="黑体" w:hAnsi="黑体" w:eastAsia="黑体" w:cs="黑体"/>
          <w:b/>
          <w:bCs/>
          <w:sz w:val="32"/>
          <w:szCs w:val="36"/>
          <w:highlight w:val="yellow"/>
        </w:rPr>
      </w:pP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正定新区建设局（本级）</w:t>
      </w: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正定新区建设局（本级）</w:t>
      </w: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单位概况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单位概况</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pPr>
        <w:keepNext w:val="0"/>
        <w:keepLines w:val="0"/>
        <w:pageBreakBefore w:val="0"/>
        <w:widowControl/>
        <w:suppressLineNumbers w:val="0"/>
        <w:kinsoku/>
        <w:wordWrap/>
        <w:overflowPunct/>
        <w:topLinePunct w:val="0"/>
        <w:autoSpaceDE/>
        <w:autoSpaceDN/>
        <w:bidi w:val="0"/>
        <w:adjustRightInd/>
        <w:snapToGrid/>
        <w:spacing w:line="600" w:lineRule="exact"/>
        <w:ind w:firstLine="562" w:firstLineChars="200"/>
        <w:jc w:val="left"/>
        <w:textAlignment w:val="auto"/>
      </w:pPr>
      <w:r>
        <w:rPr>
          <w:rFonts w:ascii="FZFSK--GBK1-0" w:hAnsi="FZFSK--GBK1-0" w:eastAsia="FZFSK--GBK1-0" w:cs="FZFSK--GBK1-0"/>
          <w:color w:val="000000"/>
          <w:kern w:val="0"/>
          <w:sz w:val="28"/>
          <w:szCs w:val="28"/>
          <w:lang w:val="en-US" w:eastAsia="zh-CN" w:bidi="ar"/>
        </w:rPr>
        <w:t>（一）办理建筑工程施工许可证、人防结建审批、人防竣工验收备案、消防设计审查、消防验收、消防验收备案、</w:t>
      </w:r>
      <w:r>
        <w:rPr>
          <w:rFonts w:hint="default" w:ascii="FZFSK--GBK1-0" w:hAnsi="FZFSK--GBK1-0" w:eastAsia="FZFSK--GBK1-0" w:cs="FZFSK--GBK1-0"/>
          <w:color w:val="000000"/>
          <w:kern w:val="0"/>
          <w:sz w:val="28"/>
          <w:szCs w:val="28"/>
          <w:lang w:val="en-US" w:eastAsia="zh-CN" w:bidi="ar"/>
        </w:rPr>
        <w:t xml:space="preserve">破路许可、排污许可、命名申请等各种行政审批事项。 </w:t>
      </w:r>
    </w:p>
    <w:p>
      <w:pPr>
        <w:keepNext w:val="0"/>
        <w:keepLines w:val="0"/>
        <w:pageBreakBefore w:val="0"/>
        <w:widowControl/>
        <w:suppressLineNumbers w:val="0"/>
        <w:kinsoku/>
        <w:wordWrap/>
        <w:overflowPunct/>
        <w:topLinePunct w:val="0"/>
        <w:autoSpaceDE/>
        <w:autoSpaceDN/>
        <w:bidi w:val="0"/>
        <w:adjustRightInd/>
        <w:snapToGrid/>
        <w:spacing w:line="600" w:lineRule="exact"/>
        <w:ind w:firstLine="562" w:firstLineChars="200"/>
        <w:jc w:val="left"/>
        <w:textAlignment w:val="auto"/>
      </w:pPr>
      <w:r>
        <w:rPr>
          <w:rFonts w:hint="default" w:ascii="FZFSK--GBK1-0" w:hAnsi="FZFSK--GBK1-0" w:eastAsia="FZFSK--GBK1-0" w:cs="FZFSK--GBK1-0"/>
          <w:color w:val="000000"/>
          <w:kern w:val="0"/>
          <w:sz w:val="28"/>
          <w:szCs w:val="28"/>
          <w:lang w:val="en-US" w:eastAsia="zh-CN" w:bidi="ar"/>
        </w:rPr>
        <w:t xml:space="preserve">（二）工程质量监管，房屋、市政、绿化等招投标监督，招投标备案、中标通知书发放监督，直发包备案；新建商品房预售金监管及物业企业项目备案。 </w:t>
      </w:r>
    </w:p>
    <w:p>
      <w:pPr>
        <w:keepNext w:val="0"/>
        <w:keepLines w:val="0"/>
        <w:pageBreakBefore w:val="0"/>
        <w:widowControl/>
        <w:suppressLineNumbers w:val="0"/>
        <w:kinsoku/>
        <w:wordWrap/>
        <w:overflowPunct/>
        <w:topLinePunct w:val="0"/>
        <w:autoSpaceDE/>
        <w:autoSpaceDN/>
        <w:bidi w:val="0"/>
        <w:adjustRightInd/>
        <w:snapToGrid/>
        <w:spacing w:line="600" w:lineRule="exact"/>
        <w:ind w:firstLine="562" w:firstLineChars="200"/>
        <w:jc w:val="left"/>
        <w:textAlignment w:val="auto"/>
      </w:pPr>
      <w:r>
        <w:rPr>
          <w:rFonts w:hint="default" w:ascii="FZFSK--GBK1-0" w:hAnsi="FZFSK--GBK1-0" w:eastAsia="FZFSK--GBK1-0" w:cs="FZFSK--GBK1-0"/>
          <w:color w:val="000000"/>
          <w:kern w:val="0"/>
          <w:sz w:val="28"/>
          <w:szCs w:val="28"/>
          <w:lang w:val="en-US" w:eastAsia="zh-CN" w:bidi="ar"/>
        </w:rPr>
        <w:t xml:space="preserve">（三）负责房地产市场、建筑市场行业及建筑业企业监督指导；规范建筑市场行为；建筑施工企业的日常管理；指导管理建筑劳务市场活动、负责建筑工程项目实名制工作的管理。 </w:t>
      </w:r>
    </w:p>
    <w:p>
      <w:pPr>
        <w:keepNext w:val="0"/>
        <w:keepLines w:val="0"/>
        <w:pageBreakBefore w:val="0"/>
        <w:widowControl/>
        <w:suppressLineNumbers w:val="0"/>
        <w:kinsoku/>
        <w:wordWrap/>
        <w:overflowPunct/>
        <w:topLinePunct w:val="0"/>
        <w:autoSpaceDE/>
        <w:autoSpaceDN/>
        <w:bidi w:val="0"/>
        <w:adjustRightInd/>
        <w:snapToGrid/>
        <w:spacing w:line="600" w:lineRule="exact"/>
        <w:ind w:firstLine="562" w:firstLineChars="200"/>
        <w:jc w:val="left"/>
        <w:textAlignment w:val="auto"/>
      </w:pPr>
      <w:r>
        <w:rPr>
          <w:rFonts w:hint="default" w:ascii="FZFSK--GBK1-0" w:hAnsi="FZFSK--GBK1-0" w:eastAsia="FZFSK--GBK1-0" w:cs="FZFSK--GBK1-0"/>
          <w:color w:val="000000"/>
          <w:kern w:val="0"/>
          <w:sz w:val="28"/>
          <w:szCs w:val="28"/>
          <w:lang w:val="en-US" w:eastAsia="zh-CN" w:bidi="ar"/>
        </w:rPr>
        <w:t xml:space="preserve">（四）负责建筑节能相关工作以及海绵城市、智慧城市的建设。 </w:t>
      </w:r>
    </w:p>
    <w:p>
      <w:pPr>
        <w:keepNext w:val="0"/>
        <w:keepLines w:val="0"/>
        <w:pageBreakBefore w:val="0"/>
        <w:widowControl/>
        <w:suppressLineNumbers w:val="0"/>
        <w:kinsoku/>
        <w:wordWrap/>
        <w:overflowPunct/>
        <w:topLinePunct w:val="0"/>
        <w:autoSpaceDE/>
        <w:autoSpaceDN/>
        <w:bidi w:val="0"/>
        <w:adjustRightInd/>
        <w:snapToGrid/>
        <w:spacing w:line="600" w:lineRule="exact"/>
        <w:ind w:firstLine="562" w:firstLineChars="200"/>
        <w:jc w:val="left"/>
        <w:textAlignment w:val="auto"/>
      </w:pPr>
      <w:r>
        <w:rPr>
          <w:rFonts w:hint="default" w:ascii="FZFSK--GBK1-0" w:hAnsi="FZFSK--GBK1-0" w:eastAsia="FZFSK--GBK1-0" w:cs="FZFSK--GBK1-0"/>
          <w:color w:val="000000"/>
          <w:kern w:val="0"/>
          <w:sz w:val="28"/>
          <w:szCs w:val="28"/>
          <w:lang w:val="en-US" w:eastAsia="zh-CN" w:bidi="ar"/>
        </w:rPr>
        <w:t xml:space="preserve">（五）负责区域内供热、燃气、电力、水务、污水等能源的整体规划和国家相关政策落实的督导实施工作。 </w:t>
      </w:r>
    </w:p>
    <w:p>
      <w:pPr>
        <w:keepNext w:val="0"/>
        <w:keepLines w:val="0"/>
        <w:pageBreakBefore w:val="0"/>
        <w:widowControl/>
        <w:suppressLineNumbers w:val="0"/>
        <w:kinsoku/>
        <w:wordWrap/>
        <w:overflowPunct/>
        <w:topLinePunct w:val="0"/>
        <w:autoSpaceDE/>
        <w:autoSpaceDN/>
        <w:bidi w:val="0"/>
        <w:adjustRightInd/>
        <w:snapToGrid/>
        <w:spacing w:line="600" w:lineRule="exact"/>
        <w:ind w:firstLine="562" w:firstLineChars="200"/>
        <w:jc w:val="left"/>
        <w:textAlignment w:val="auto"/>
      </w:pPr>
      <w:r>
        <w:rPr>
          <w:rFonts w:hint="default" w:ascii="FZFSK--GBK1-0" w:hAnsi="FZFSK--GBK1-0" w:eastAsia="FZFSK--GBK1-0" w:cs="FZFSK--GBK1-0"/>
          <w:color w:val="000000"/>
          <w:kern w:val="0"/>
          <w:sz w:val="28"/>
          <w:szCs w:val="28"/>
          <w:lang w:val="en-US" w:eastAsia="zh-CN" w:bidi="ar"/>
        </w:rPr>
        <w:t xml:space="preserve">（六）党务廉政、公文流转督办、上传下达、预算编制、材料编写、舆情回复等；城建档案验收与管理。 </w:t>
      </w:r>
    </w:p>
    <w:p>
      <w:pPr>
        <w:keepNext w:val="0"/>
        <w:keepLines w:val="0"/>
        <w:pageBreakBefore w:val="0"/>
        <w:widowControl/>
        <w:suppressLineNumbers w:val="0"/>
        <w:kinsoku/>
        <w:wordWrap/>
        <w:overflowPunct/>
        <w:topLinePunct w:val="0"/>
        <w:autoSpaceDE/>
        <w:autoSpaceDN/>
        <w:bidi w:val="0"/>
        <w:adjustRightInd/>
        <w:snapToGrid/>
        <w:spacing w:line="600" w:lineRule="exact"/>
        <w:ind w:firstLine="562" w:firstLineChars="200"/>
        <w:jc w:val="left"/>
        <w:textAlignment w:val="auto"/>
        <w:rPr>
          <w:rFonts w:ascii="Times New Roman" w:eastAsia="仿宋_GB2312"/>
          <w:sz w:val="32"/>
          <w:szCs w:val="32"/>
        </w:rPr>
      </w:pPr>
      <w:r>
        <w:rPr>
          <w:rFonts w:hint="default" w:ascii="FZFSK--GBK1-0" w:hAnsi="FZFSK--GBK1-0" w:eastAsia="FZFSK--GBK1-0" w:cs="FZFSK--GBK1-0"/>
          <w:color w:val="000000"/>
          <w:kern w:val="0"/>
          <w:sz w:val="28"/>
          <w:szCs w:val="28"/>
          <w:lang w:val="en-US" w:eastAsia="zh-CN" w:bidi="ar"/>
        </w:rPr>
        <w:t>（七）负责建筑安全监督及扬尘监督工作。</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w:t>
      </w:r>
      <w:r>
        <w:rPr>
          <w:rFonts w:hint="eastAsia" w:ascii="Times New Roman" w:eastAsia="仿宋_GB2312"/>
          <w:b w:val="0"/>
          <w:sz w:val="32"/>
          <w:szCs w:val="32"/>
          <w:lang w:val="en-US" w:eastAsia="zh-CN"/>
        </w:rPr>
        <w:t>1</w:t>
      </w:r>
      <w:r>
        <w:rPr>
          <w:rFonts w:ascii="Times New Roman" w:eastAsia="仿宋_GB2312"/>
          <w:b w:val="0"/>
          <w:sz w:val="32"/>
          <w:szCs w:val="32"/>
        </w:rPr>
        <w:t>个，具体情况如下：</w:t>
      </w:r>
    </w:p>
    <w:tbl>
      <w:tblPr>
        <w:tblStyle w:val="11"/>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正定新区建设局（本级）</w:t>
            </w:r>
          </w:p>
        </w:tc>
        <w:tc>
          <w:tcPr>
            <w:tcW w:w="2445" w:type="dxa"/>
          </w:tcPr>
          <w:p>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行政</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   </w:t>
      </w:r>
      <w:r>
        <w:rPr>
          <w:rFonts w:ascii="Times New Roman" w:eastAsia="仿宋_GB2312"/>
          <w:b w:val="0"/>
          <w:sz w:val="44"/>
          <w:szCs w:val="44"/>
        </w:rPr>
        <w:t>2024</w:t>
      </w:r>
      <w:r>
        <w:rPr>
          <w:rFonts w:ascii="Times New Roman" w:eastAsia="黑体"/>
          <w:b w:val="0"/>
          <w:sz w:val="44"/>
          <w:szCs w:val="44"/>
        </w:rPr>
        <w:t>年度部门决算表</w:t>
      </w:r>
    </w:p>
    <w:tbl>
      <w:tblPr>
        <w:tblStyle w:val="11"/>
        <w:tblW w:w="11659" w:type="dxa"/>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61" w:hRule="atLeast"/>
        </w:trPr>
        <w:tc>
          <w:tcPr>
            <w:tcW w:w="11625" w:type="dxa"/>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57" w:hRule="atLeast"/>
        </w:trPr>
        <w:tc>
          <w:tcPr>
            <w:tcW w:w="11625" w:type="dxa"/>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51" w:hRule="atLeast"/>
        </w:trPr>
        <w:tc>
          <w:tcPr>
            <w:tcW w:w="4581" w:type="dxa"/>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部门（单位）：正定新区建设局（本级）</w:t>
            </w:r>
          </w:p>
        </w:tc>
        <w:tc>
          <w:tcPr>
            <w:tcW w:w="2945" w:type="dxa"/>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099" w:type="dxa"/>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544" w:hRule="atLeast"/>
        </w:trPr>
        <w:tc>
          <w:tcPr>
            <w:tcW w:w="5898" w:type="dxa"/>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5727" w:type="dxa"/>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92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92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36,099.97</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872.41</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6,936.63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928" w:type="dxa"/>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928"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928" w:type="dxa"/>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928"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30,034.78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36,972.38</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36,972.38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36,972.38</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36,972.38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1659" w:type="dxa"/>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部门（单位）：正定新区建设局（本级）                                                                                                         </w:t>
            </w:r>
          </w:p>
        </w:tc>
        <w:tc>
          <w:tcPr>
            <w:tcW w:w="3405"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36,972.38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36,972.38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0.98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0.98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人力资源和社会保障管理事务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0.98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0.98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2080104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综合业务管理</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0.98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0.98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6,936.63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6,936.63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城乡社区管理事务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156.51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156.51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107.77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107.77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2120107</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市政公用行业市场监管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48.74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48.74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国有土地使用权出让收入安排的支出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42.41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42.41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其他国有土地使用权出让收入安排的支出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42.41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42.41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21210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国有土地收益基金安排的支出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2121099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其他国有土地收益基金支出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21214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污水处理费安排的支出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2121401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污水处理设施建设和运营</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其他城乡社区支出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5,907.71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5,907.71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2129999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其他城乡社区支出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5,907.71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5,907.71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30,034.78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30,034.78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30,034.78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30,034.78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2299999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30,034.78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30,034.78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346"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9346" w:type="dxa"/>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9346"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3481" w:type="dxa"/>
            <w:gridSpan w:val="4"/>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部门（单位）：正定新区建设局（本级）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2623"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242"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2227"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128"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2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112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148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8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4"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28"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126"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126"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126"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126"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8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36,972.38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102.51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36,869.87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0.98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0.98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人力资源和社会保障管理事务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0.98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0.98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2080104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综合业务管理</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0.98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0.98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6,936.63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102.51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6,834.12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城乡社区管理事务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156.51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102.51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107.77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102.51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2120107</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市政公用行业市场监管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48.74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48.74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42.41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42.41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其他国有土地使用权出让收入安排的支出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42.41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42.41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21210</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国有土地收益基金安排的支出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750.00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750.00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2121099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其他国有土地收益基金支出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750.00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750.00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污水处理费安排的支出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2121401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污水处理设施建设和运营</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5,907.71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5,907.71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5,907.71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5,907.71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30,034.78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30,034.78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30,034.78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30,034.78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2299999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30,034.78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30,034.78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9346"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709" w:type="dxa"/>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1709" w:type="dxa"/>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11709" w:type="dxa"/>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5694" w:type="dxa"/>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部门（单位）：正定新区建设局（本级）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521" w:type="dxa"/>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494" w:type="dxa"/>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4035" w:type="dxa"/>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7674" w:type="dxa"/>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984"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62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427"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2098" w:type="dxa"/>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295" w:type="dxa"/>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984"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2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98"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95" w:type="dxa"/>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4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29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219"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219"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219" w:type="dxa"/>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36,099.97</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872.41</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0.98</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0.98</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6,936.63</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6,064.22</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872.41</w:t>
            </w: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427"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295" w:type="dxa"/>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30,034.78</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30,034.78</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427"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295" w:type="dxa"/>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36,972.38</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36,972.38</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36,099.97</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872.41</w:t>
            </w: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427" w:type="dxa"/>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36,972.38</w:t>
            </w:r>
          </w:p>
        </w:tc>
        <w:tc>
          <w:tcPr>
            <w:tcW w:w="2098" w:type="dxa"/>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1295" w:type="dxa"/>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36,972.38</w:t>
            </w:r>
          </w:p>
        </w:tc>
        <w:tc>
          <w:tcPr>
            <w:tcW w:w="1219" w:type="dxa"/>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36,099.97</w:t>
            </w:r>
          </w:p>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872.41</w:t>
            </w:r>
          </w:p>
        </w:tc>
        <w:tc>
          <w:tcPr>
            <w:tcW w:w="1219" w:type="dxa"/>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1709" w:type="dxa"/>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8697" w:type="dxa"/>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39"/>
        <w:gridCol w:w="1329"/>
        <w:gridCol w:w="705"/>
        <w:gridCol w:w="1305"/>
        <w:gridCol w:w="1366"/>
        <w:gridCol w:w="645"/>
        <w:gridCol w:w="210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57" w:hRule="atLeast"/>
        </w:trPr>
        <w:tc>
          <w:tcPr>
            <w:tcW w:w="8697" w:type="dxa"/>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9" w:hRule="atLeast"/>
        </w:trPr>
        <w:tc>
          <w:tcPr>
            <w:tcW w:w="8697" w:type="dxa"/>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9" w:hRule="atLeast"/>
        </w:trPr>
        <w:tc>
          <w:tcPr>
            <w:tcW w:w="3273" w:type="dxa"/>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编制部门（单位）：正定新区建设局（本级）</w:t>
            </w:r>
          </w:p>
        </w:tc>
        <w:tc>
          <w:tcPr>
            <w:tcW w:w="2671" w:type="dxa"/>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753" w:type="dxa"/>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129" w:type="dxa"/>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1239"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1329"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2010"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2011"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2108"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6" w:hRule="atLeast"/>
        </w:trPr>
        <w:tc>
          <w:tcPr>
            <w:tcW w:w="123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32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010"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011"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108"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123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32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010"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011"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108"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210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36,099.97</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102.51</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35,997.46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0.98</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人力资源和社会保障管理事务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0.98</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2080104</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综合业务管理</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0.98</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6,064.22</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102.51</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5,961.71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城乡社区管理事务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156.51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102.51</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107.77</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102.51</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2120107</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市政公用行业市场监管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48.74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48.74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5,907.71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5,907.71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5,907.71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5,907.71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30,034.78</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30,034.78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30,034.78</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30,034.78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2299999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30,034.78</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30,034.78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8697" w:type="dxa"/>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338" w:type="dxa"/>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24" w:hRule="atLeast"/>
        </w:trPr>
        <w:tc>
          <w:tcPr>
            <w:tcW w:w="11338" w:type="dxa"/>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11338" w:type="dxa"/>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trPr>
        <w:tc>
          <w:tcPr>
            <w:tcW w:w="5200" w:type="dxa"/>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部门（单位）：正定新区建设局（本级）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1963" w:type="dxa"/>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175" w:type="dxa"/>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3798"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7540" w:type="dxa"/>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102.51</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1.15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0.03</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0.71</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94.85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5.77</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2778" w:type="dxa"/>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p>
        </w:tc>
        <w:tc>
          <w:tcPr>
            <w:tcW w:w="6520" w:type="dxa"/>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102.51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11338" w:type="dxa"/>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0480" w:type="dxa"/>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0480" w:type="dxa"/>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trPr>
        <w:tc>
          <w:tcPr>
            <w:tcW w:w="10480" w:type="dxa"/>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4040" w:type="dxa"/>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部门（单位）：正定新区建设局（本级）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2552"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888"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30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3373" w:type="dxa"/>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2040"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47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20" w:type="dxa"/>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46"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2040"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306" w:type="dxa"/>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110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112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11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20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69"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306" w:type="dxa"/>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872.41</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872.41</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872.41</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872.41</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872.41</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872.41</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42.41</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42.41</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42.41</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2120899</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其他国有土地使用权出让收入安排的支出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42.41</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42.41</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42.41</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21210</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国有土地收益基金安排的支出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750.00</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750.00</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750.00</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2121099</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其他国有土地收益基金支出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750.00</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750.00</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750.00</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21214</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污水处理费安排的支出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80.00</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80.00</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80.00</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2121401</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污水处理设施建设和运营</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80.00</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80.00</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80.00</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0480" w:type="dxa"/>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428" w:type="dxa"/>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9428" w:type="dxa"/>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9428" w:type="dxa"/>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3724" w:type="dxa"/>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部门（单位）：正定新区建设局（本级）</w:t>
            </w:r>
          </w:p>
        </w:tc>
        <w:tc>
          <w:tcPr>
            <w:tcW w:w="2680" w:type="dxa"/>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024"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5020" w:type="dxa"/>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4408" w:type="dxa"/>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5020" w:type="dxa"/>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4408" w:type="dxa"/>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299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2027"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1337" w:type="dxa"/>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1338" w:type="dxa"/>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1733" w:type="dxa"/>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2993" w:type="dxa"/>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27" w:type="dxa"/>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7" w:type="dxa"/>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8" w:type="dxa"/>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733" w:type="dxa"/>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5020" w:type="dxa"/>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1332" w:type="dxa"/>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1333" w:type="dxa"/>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174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5020" w:type="dxa"/>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1332" w:type="dxa"/>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33" w:type="dxa"/>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743" w:type="dxa"/>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9428" w:type="dxa"/>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115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1596" w:type="dxa"/>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0" w:hRule="atLeast"/>
        </w:trPr>
        <w:tc>
          <w:tcPr>
            <w:tcW w:w="11596" w:type="dxa"/>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0" w:hRule="atLeast"/>
        </w:trPr>
        <w:tc>
          <w:tcPr>
            <w:tcW w:w="4492" w:type="dxa"/>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部门（单位）：正定新区建设局（本级）</w:t>
            </w:r>
          </w:p>
        </w:tc>
        <w:tc>
          <w:tcPr>
            <w:tcW w:w="2166"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938" w:type="dxa"/>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5813" w:type="dxa"/>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5783" w:type="dxa"/>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226"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823" w:type="dxa"/>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77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850" w:type="dxa"/>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133"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613" w:type="dxa"/>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118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226"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106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777"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50" w:type="dxa"/>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133"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122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81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106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77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85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1133"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6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11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14.56</w:t>
            </w:r>
          </w:p>
        </w:tc>
        <w:tc>
          <w:tcPr>
            <w:tcW w:w="12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14.50</w:t>
            </w:r>
          </w:p>
        </w:tc>
        <w:tc>
          <w:tcPr>
            <w:tcW w:w="9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1063"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14.50</w:t>
            </w:r>
          </w:p>
        </w:tc>
        <w:tc>
          <w:tcPr>
            <w:tcW w:w="77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0.06</w:t>
            </w:r>
          </w:p>
        </w:tc>
        <w:tc>
          <w:tcPr>
            <w:tcW w:w="85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5.77</w:t>
            </w:r>
          </w:p>
        </w:tc>
        <w:tc>
          <w:tcPr>
            <w:tcW w:w="113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5.77</w:t>
            </w: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5.77</w:t>
            </w:r>
          </w:p>
        </w:tc>
        <w:tc>
          <w:tcPr>
            <w:tcW w:w="11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11596" w:type="dxa"/>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2098" w:right="1984" w:bottom="1474"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   </w:t>
      </w:r>
      <w:r>
        <w:rPr>
          <w:rFonts w:ascii="Times New Roman" w:eastAsia="仿宋_GB2312"/>
          <w:b w:val="0"/>
          <w:sz w:val="44"/>
          <w:szCs w:val="44"/>
        </w:rPr>
        <w:t>2024</w:t>
      </w:r>
      <w:r>
        <w:rPr>
          <w:rFonts w:ascii="Times New Roman" w:eastAsia="黑体"/>
          <w:b w:val="0"/>
          <w:sz w:val="44"/>
          <w:szCs w:val="44"/>
        </w:rPr>
        <w:t>年度部门决算情况说明</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本单位2024年度收、支总计（含结转和结余）均为36,972.38万元。与2023年度决算相比，收支各增加31,350.14万元，增长557.6%，主要原因是</w:t>
      </w:r>
      <w:r>
        <w:rPr>
          <w:rFonts w:hint="eastAsia" w:ascii="Times New Roman" w:eastAsia="仿宋_GB2312"/>
          <w:b w:val="0"/>
          <w:sz w:val="32"/>
          <w:szCs w:val="32"/>
          <w:lang w:val="en-US" w:eastAsia="zh-CN"/>
        </w:rPr>
        <w:t>承宏管廊运营服务费、污水处理厂运营费、南水北调费增加</w:t>
      </w:r>
      <w:r>
        <w:rPr>
          <w:rFonts w:ascii="Times New Roman" w:eastAsia="仿宋_GB2312"/>
          <w:b w:val="0"/>
          <w:sz w:val="32"/>
          <w:szCs w:val="32"/>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36,972.38万元，其中：财政拨款收入36,972.38万元，占100.0%；上级补助收入0.00万元，占0.0%；事业收入0.00万元，占0.0%；经营收入0.00万元，占0.0%；附属单位上缴收入0.00万元，占0.0%；其他收入0.00万元，占0.0%。</w:t>
      </w:r>
    </w:p>
    <w:p>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本单位2024年度本年支出合计36,972.38万元，其中：基本支出102.51万元，占0.3%；项目支出36,869.87万元，占99.7%；上缴上级支出0.00万元，占0.0%；经营支出0.00万元，占0.0%；对附属单位补助支出0.00万元，占0.0%。</w:t>
      </w:r>
    </w:p>
    <w:p>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本单位2024年度财政拨款收、支总计（含结转和结余）均为36,972.38万元。与2023年度相比，财政拨款收支各增加31,350.14万元，增长557.6%，主要原因是</w:t>
      </w:r>
      <w:r>
        <w:rPr>
          <w:rFonts w:hint="eastAsia" w:ascii="Times New Roman" w:eastAsia="仿宋_GB2312"/>
          <w:b w:val="0"/>
          <w:sz w:val="32"/>
          <w:szCs w:val="32"/>
          <w:lang w:val="en-US" w:eastAsia="zh-CN"/>
        </w:rPr>
        <w:t>承宏管廊运营服务费、污水处理厂运营费、南水北调费增加</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本单位2024年度财政拨款本年收入36,972.38万元,比上年增加31,350.14万元，增长557.6%，主要原因是</w:t>
      </w:r>
      <w:r>
        <w:rPr>
          <w:rFonts w:hint="eastAsia" w:ascii="Times New Roman" w:eastAsia="仿宋_GB2312"/>
          <w:b w:val="0"/>
          <w:sz w:val="32"/>
          <w:szCs w:val="32"/>
          <w:lang w:val="en-US" w:eastAsia="zh-CN"/>
        </w:rPr>
        <w:t>承宏管廊运营服务费、污水处理厂运营费、南水北调费增加</w:t>
      </w:r>
      <w:r>
        <w:rPr>
          <w:rFonts w:ascii="Times New Roman" w:eastAsia="仿宋_GB2312"/>
          <w:b w:val="0"/>
          <w:sz w:val="32"/>
          <w:szCs w:val="32"/>
        </w:rPr>
        <w:t>；本年支出36,972.38万元，比上年增加31,350.57万元，增长557.7%，主要原因是</w:t>
      </w:r>
      <w:r>
        <w:rPr>
          <w:rFonts w:hint="eastAsia" w:ascii="Times New Roman" w:eastAsia="仿宋_GB2312"/>
          <w:b w:val="0"/>
          <w:sz w:val="32"/>
          <w:szCs w:val="32"/>
          <w:lang w:val="en-US" w:eastAsia="zh-CN"/>
        </w:rPr>
        <w:t>承宏管廊运营服务费、污水处理厂运营费、南水北调费增加</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一般公共预算财政拨款本年收入36,099.97万元,比上年增加30,727.73万元，增长572.0%，主要原因是</w:t>
      </w:r>
      <w:r>
        <w:rPr>
          <w:rFonts w:hint="eastAsia" w:ascii="Times New Roman" w:eastAsia="仿宋_GB2312"/>
          <w:b w:val="0"/>
          <w:sz w:val="32"/>
          <w:szCs w:val="32"/>
          <w:lang w:val="en-US" w:eastAsia="zh-CN"/>
        </w:rPr>
        <w:t>承宏管廊运营服务费、污水处理厂运营费增加</w:t>
      </w:r>
      <w:r>
        <w:rPr>
          <w:rFonts w:ascii="Times New Roman" w:eastAsia="仿宋_GB2312"/>
          <w:b w:val="0"/>
          <w:sz w:val="32"/>
          <w:szCs w:val="32"/>
        </w:rPr>
        <w:t>；本年支出36,099.97万元，比上年增加30,728.16万元，增长572.0%，主要原因是</w:t>
      </w:r>
      <w:r>
        <w:rPr>
          <w:rFonts w:hint="eastAsia" w:ascii="Times New Roman" w:eastAsia="仿宋_GB2312"/>
          <w:b w:val="0"/>
          <w:sz w:val="32"/>
          <w:szCs w:val="32"/>
          <w:lang w:val="en-US" w:eastAsia="zh-CN"/>
        </w:rPr>
        <w:t>承宏管廊运营服务费、污水处理厂运营费增加</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政府性基金预算财政拨款本年收入872.41万元，比上年增加622.41万元，增长249.0%，主要原因是</w:t>
      </w:r>
      <w:r>
        <w:rPr>
          <w:rFonts w:hint="eastAsia" w:ascii="Times New Roman" w:eastAsia="仿宋_GB2312"/>
          <w:b w:val="0"/>
          <w:sz w:val="32"/>
          <w:szCs w:val="32"/>
          <w:lang w:val="en-US" w:eastAsia="zh-CN"/>
        </w:rPr>
        <w:t>南水北调费增加</w:t>
      </w:r>
      <w:r>
        <w:rPr>
          <w:rFonts w:ascii="Times New Roman" w:eastAsia="仿宋_GB2312"/>
          <w:b w:val="0"/>
          <w:sz w:val="32"/>
          <w:szCs w:val="32"/>
        </w:rPr>
        <w:t>；本年支出872.41万元，比上年增加622.41万元，增长249.0%，主要原因是</w:t>
      </w:r>
      <w:r>
        <w:rPr>
          <w:rFonts w:hint="eastAsia" w:ascii="Times New Roman" w:eastAsia="仿宋_GB2312"/>
          <w:b w:val="0"/>
          <w:sz w:val="32"/>
          <w:szCs w:val="32"/>
          <w:lang w:val="en-US" w:eastAsia="zh-CN"/>
        </w:rPr>
        <w:t>南水北调费增加</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国有资本经营预算财政拨款本年收入0.00万元，比上年增加0.00万元，增长0.00%，主要原因是</w:t>
      </w:r>
      <w:r>
        <w:rPr>
          <w:rFonts w:hint="eastAsia" w:ascii="Times New Roman" w:eastAsia="仿宋_GB2312"/>
          <w:b w:val="0"/>
          <w:sz w:val="32"/>
          <w:szCs w:val="32"/>
          <w:lang w:val="en-US" w:eastAsia="zh-CN"/>
        </w:rPr>
        <w:t>正定新区建设局无国有资本经营预算</w:t>
      </w:r>
      <w:r>
        <w:rPr>
          <w:rFonts w:ascii="Times New Roman" w:eastAsia="仿宋_GB2312"/>
          <w:b w:val="0"/>
          <w:sz w:val="32"/>
          <w:szCs w:val="32"/>
        </w:rPr>
        <w:t>政拨款收入；本年支出0.00万元，比上年增加0.00万元，增长0.00%，主要原因是</w:t>
      </w:r>
      <w:r>
        <w:rPr>
          <w:rFonts w:hint="eastAsia" w:ascii="Times New Roman" w:eastAsia="仿宋_GB2312"/>
          <w:b w:val="0"/>
          <w:sz w:val="32"/>
          <w:szCs w:val="32"/>
          <w:lang w:val="en-US" w:eastAsia="zh-CN"/>
        </w:rPr>
        <w:t>正定新区建设局无国有资本经营预算</w:t>
      </w:r>
      <w:r>
        <w:rPr>
          <w:rFonts w:ascii="Times New Roman" w:eastAsia="仿宋_GB2312"/>
          <w:b w:val="0"/>
          <w:sz w:val="32"/>
          <w:szCs w:val="32"/>
        </w:rPr>
        <w:t>政拨款</w:t>
      </w:r>
      <w:r>
        <w:rPr>
          <w:rFonts w:hint="eastAsia" w:ascii="Times New Roman" w:eastAsia="仿宋_GB2312"/>
          <w:b w:val="0"/>
          <w:sz w:val="32"/>
          <w:szCs w:val="32"/>
          <w:lang w:val="en-US" w:eastAsia="zh-CN"/>
        </w:rPr>
        <w:t>支出</w:t>
      </w:r>
      <w:r>
        <w:rPr>
          <w:rFonts w:ascii="Times New Roman" w:eastAsia="仿宋_GB2312"/>
          <w:b w:val="0"/>
          <w:sz w:val="32"/>
          <w:szCs w:val="32"/>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w:t>
      </w:r>
      <w:bookmarkStart w:id="0" w:name="_GoBack"/>
      <w:bookmarkEnd w:id="0"/>
      <w:r>
        <w:rPr>
          <w:rFonts w:ascii="Times New Roman" w:eastAsia="仿宋_GB2312"/>
          <w:b w:val="0"/>
          <w:sz w:val="32"/>
          <w:szCs w:val="32"/>
        </w:rPr>
        <w:t>度财政拨款本年收入36,972.38万元，完成年初预算的99.4%，比年初预算减少217.74万元，决算数小于预算数主要原因是</w:t>
      </w:r>
      <w:r>
        <w:rPr>
          <w:rFonts w:hint="eastAsia" w:ascii="Times New Roman" w:eastAsia="仿宋_GB2312"/>
          <w:b w:val="0"/>
          <w:color w:val="auto"/>
          <w:sz w:val="32"/>
          <w:szCs w:val="32"/>
          <w:lang w:val="en-US" w:eastAsia="zh-CN"/>
        </w:rPr>
        <w:t>承宏管廊运营费、污水处理厂运营费实际收入低于年初预算</w:t>
      </w:r>
      <w:r>
        <w:rPr>
          <w:rFonts w:ascii="Times New Roman" w:eastAsia="仿宋_GB2312"/>
          <w:b w:val="0"/>
          <w:sz w:val="32"/>
          <w:szCs w:val="32"/>
        </w:rPr>
        <w:t>；本年支出36,972.38万元，完成年初预算的99.4%，比年初预算减少217.74万元，决算数小于预算数主要原因是</w:t>
      </w:r>
      <w:r>
        <w:rPr>
          <w:rFonts w:hint="eastAsia" w:ascii="Times New Roman" w:eastAsia="仿宋_GB2312"/>
          <w:b w:val="0"/>
          <w:color w:val="auto"/>
          <w:sz w:val="32"/>
          <w:szCs w:val="32"/>
          <w:lang w:val="en-US" w:eastAsia="zh-CN"/>
        </w:rPr>
        <w:t>承宏管廊运营费、污水处理厂运营费实际支出低于年初预算</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一般公共预算财政拨款本年收入完成年初预算的204.7%，比年初预算增加18,460.32万元，主要原因是</w:t>
      </w:r>
      <w:r>
        <w:rPr>
          <w:rFonts w:hint="eastAsia" w:ascii="Times New Roman" w:eastAsia="仿宋_GB2312"/>
          <w:b w:val="0"/>
          <w:sz w:val="32"/>
          <w:szCs w:val="32"/>
          <w:lang w:val="en-US" w:eastAsia="zh-CN"/>
        </w:rPr>
        <w:t>承宏管廊运营服务费、污水处理厂运营费增加</w:t>
      </w:r>
      <w:r>
        <w:rPr>
          <w:rFonts w:ascii="Times New Roman" w:eastAsia="仿宋_GB2312"/>
          <w:b w:val="0"/>
          <w:sz w:val="32"/>
          <w:szCs w:val="32"/>
        </w:rPr>
        <w:t>；支出完成年初预算的204.7%，比年初预算增加18,460.32万元，主要原因是</w:t>
      </w:r>
      <w:r>
        <w:rPr>
          <w:rFonts w:hint="eastAsia" w:ascii="Times New Roman" w:eastAsia="仿宋_GB2312"/>
          <w:b w:val="0"/>
          <w:sz w:val="32"/>
          <w:szCs w:val="32"/>
          <w:lang w:val="en-US" w:eastAsia="zh-CN"/>
        </w:rPr>
        <w:t>承宏管廊运营服务费、污水处理厂运营费增加</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color w:val="auto"/>
          <w:sz w:val="32"/>
          <w:szCs w:val="32"/>
        </w:rPr>
      </w:pPr>
      <w:r>
        <w:rPr>
          <w:rFonts w:ascii="Times New Roman" w:eastAsia="仿宋_GB2312"/>
          <w:b w:val="0"/>
          <w:sz w:val="32"/>
          <w:szCs w:val="32"/>
        </w:rPr>
        <w:t>2. 政府性基金预算财政拨款本年收入完成年初预算的4.5%，比年初预算减少18,678.06万元，主要原因是</w:t>
      </w:r>
      <w:r>
        <w:rPr>
          <w:rFonts w:hint="eastAsia" w:ascii="Times New Roman" w:eastAsia="仿宋_GB2312"/>
          <w:b w:val="0"/>
          <w:color w:val="0000FF"/>
          <w:sz w:val="32"/>
          <w:szCs w:val="32"/>
          <w:lang w:val="en-US" w:eastAsia="zh-CN"/>
        </w:rPr>
        <w:t>承宏管廊运营服务费、污水处理厂运营费部分资金从一般公共预算支出</w:t>
      </w:r>
      <w:r>
        <w:rPr>
          <w:rFonts w:ascii="Times New Roman" w:eastAsia="仿宋_GB2312"/>
          <w:b w:val="0"/>
          <w:sz w:val="32"/>
          <w:szCs w:val="32"/>
        </w:rPr>
        <w:t>；支出完成年初预算的4.5%，比年初预算减少18,678.06万元，主要原因是</w:t>
      </w:r>
      <w:r>
        <w:rPr>
          <w:rFonts w:hint="eastAsia" w:ascii="Times New Roman" w:eastAsia="仿宋_GB2312"/>
          <w:b w:val="0"/>
          <w:color w:val="0000FF"/>
          <w:sz w:val="32"/>
          <w:szCs w:val="32"/>
          <w:lang w:val="en-US" w:eastAsia="zh-CN"/>
        </w:rPr>
        <w:t>承宏管廊运营服务费、污水处理厂运营费部分资金从一般公共预算支出</w:t>
      </w:r>
      <w:r>
        <w:rPr>
          <w:rFonts w:ascii="Times New Roman" w:eastAsia="仿宋_GB2312"/>
          <w:b w:val="0"/>
          <w:color w:val="auto"/>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国有资本经营预算财政拨款本年收入完成年初预算的0.0 %，比年初预算增加0.00万元，主要原因是</w:t>
      </w:r>
      <w:r>
        <w:rPr>
          <w:rFonts w:hint="eastAsia" w:ascii="Times New Roman" w:eastAsia="仿宋_GB2312"/>
          <w:b w:val="0"/>
          <w:sz w:val="32"/>
          <w:szCs w:val="32"/>
          <w:lang w:val="en-US" w:eastAsia="zh-CN"/>
        </w:rPr>
        <w:t>无</w:t>
      </w:r>
      <w:r>
        <w:rPr>
          <w:rFonts w:ascii="Times New Roman" w:eastAsia="仿宋_GB2312"/>
          <w:b w:val="0"/>
          <w:sz w:val="32"/>
          <w:szCs w:val="32"/>
        </w:rPr>
        <w:t>国有资本经营预算；支出完成年初预算的0.0%，比年初预算增加0.00万元，主要原因是</w:t>
      </w:r>
      <w:r>
        <w:rPr>
          <w:rFonts w:hint="eastAsia" w:ascii="Times New Roman" w:eastAsia="仿宋_GB2312"/>
          <w:b w:val="0"/>
          <w:sz w:val="32"/>
          <w:szCs w:val="32"/>
          <w:lang w:val="en-US" w:eastAsia="zh-CN"/>
        </w:rPr>
        <w:t>无</w:t>
      </w:r>
      <w:r>
        <w:rPr>
          <w:rFonts w:ascii="Times New Roman" w:eastAsia="仿宋_GB2312"/>
          <w:b w:val="0"/>
          <w:sz w:val="32"/>
          <w:szCs w:val="32"/>
        </w:rPr>
        <w:t>国有资本经营预算。</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2024年度财政拨款支出36,972.38万元，主要用于以下方面：</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社会保障和就业（类）支出0.98万元，占0.0%，主要用于</w:t>
      </w:r>
      <w:r>
        <w:rPr>
          <w:rFonts w:hint="eastAsia" w:ascii="Times New Roman" w:eastAsia="仿宋_GB2312"/>
          <w:b w:val="0"/>
          <w:sz w:val="32"/>
          <w:szCs w:val="32"/>
        </w:rPr>
        <w:t>长期聘用人员体检费</w:t>
      </w:r>
      <w:r>
        <w:rPr>
          <w:rFonts w:ascii="Times New Roman" w:eastAsia="仿宋_GB2312"/>
          <w:b w:val="0"/>
          <w:sz w:val="32"/>
          <w:szCs w:val="32"/>
        </w:rPr>
        <w:t>支出；城乡社区（类）支出6,064.22万元，占16.4%，主要用于</w:t>
      </w:r>
      <w:r>
        <w:rPr>
          <w:rFonts w:hint="eastAsia" w:ascii="Times New Roman" w:eastAsia="仿宋_GB2312"/>
          <w:b w:val="0"/>
          <w:sz w:val="32"/>
          <w:szCs w:val="32"/>
        </w:rPr>
        <w:t>供热补贴</w:t>
      </w:r>
      <w:r>
        <w:rPr>
          <w:rFonts w:hint="eastAsia" w:ascii="Times New Roman" w:eastAsia="仿宋_GB2312"/>
          <w:b w:val="0"/>
          <w:sz w:val="32"/>
          <w:szCs w:val="32"/>
          <w:lang w:eastAsia="zh-CN"/>
        </w:rPr>
        <w:t>、防汛专项经费、代缴电费</w:t>
      </w:r>
      <w:r>
        <w:rPr>
          <w:rFonts w:ascii="Times New Roman" w:eastAsia="仿宋_GB2312"/>
          <w:b w:val="0"/>
          <w:sz w:val="32"/>
          <w:szCs w:val="32"/>
        </w:rPr>
        <w:t>等支出；其他（类）支出30,034.78万元，占81.2%，主要用于</w:t>
      </w:r>
      <w:r>
        <w:rPr>
          <w:rFonts w:hint="eastAsia" w:ascii="Times New Roman" w:eastAsia="仿宋_GB2312"/>
          <w:b w:val="0"/>
          <w:sz w:val="32"/>
          <w:szCs w:val="32"/>
        </w:rPr>
        <w:t>承宏管廊运营服务费</w:t>
      </w:r>
      <w:r>
        <w:rPr>
          <w:rFonts w:hint="eastAsia" w:ascii="Times New Roman" w:eastAsia="仿宋_GB2312"/>
          <w:b w:val="0"/>
          <w:sz w:val="32"/>
          <w:szCs w:val="32"/>
          <w:lang w:eastAsia="zh-CN"/>
        </w:rPr>
        <w:t>、智慧城市相关建设费用、污水处理厂运营费</w:t>
      </w:r>
      <w:r>
        <w:rPr>
          <w:rFonts w:ascii="Times New Roman" w:eastAsia="仿宋_GB2312"/>
          <w:b w:val="0"/>
          <w:sz w:val="32"/>
          <w:szCs w:val="32"/>
        </w:rPr>
        <w:t>等支出。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城乡社区（类）支出872.41万元，占2.4%，主要用于</w:t>
      </w:r>
      <w:r>
        <w:rPr>
          <w:rFonts w:hint="eastAsia" w:ascii="Times New Roman" w:eastAsia="仿宋_GB2312"/>
          <w:b w:val="0"/>
          <w:sz w:val="32"/>
          <w:szCs w:val="32"/>
        </w:rPr>
        <w:t>南水北调费</w:t>
      </w:r>
      <w:r>
        <w:rPr>
          <w:rFonts w:hint="eastAsia" w:ascii="Times New Roman" w:eastAsia="仿宋_GB2312"/>
          <w:b w:val="0"/>
          <w:sz w:val="32"/>
          <w:szCs w:val="32"/>
          <w:lang w:eastAsia="zh-CN"/>
        </w:rPr>
        <w:t>、污水处理厂运营费</w:t>
      </w:r>
      <w:r>
        <w:rPr>
          <w:rFonts w:ascii="Times New Roman" w:eastAsia="仿宋_GB2312"/>
          <w:b w:val="0"/>
          <w:sz w:val="32"/>
          <w:szCs w:val="32"/>
        </w:rPr>
        <w:t>等支出；</w:t>
      </w:r>
    </w:p>
    <w:p>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r>
        <w:rPr>
          <w:rFonts w:ascii="Times New Roman" w:eastAsia="仿宋_GB2312"/>
          <w:b/>
          <w:sz w:val="32"/>
          <w:szCs w:val="32"/>
        </w:rPr>
        <w:t>国有资本经营预算财政拨款支出：</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无国有资本经营预算</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2024年度财政拨款基本支出102.51万元，其中：</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0.00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公用经费102.51万元，主要包括办公费、印刷费、咨询费、手续费、水费、电费、邮电费、取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本单位2024年度“三公”经费财政拨款支出预算为14.56万元，支出决算为5.77万元，完成预算的39.6%，较预算减少8.79万元，降低60.4%，主要原因是</w:t>
      </w:r>
      <w:r>
        <w:rPr>
          <w:rFonts w:hint="eastAsia" w:ascii="Times New Roman" w:eastAsia="仿宋_GB2312"/>
          <w:b w:val="0"/>
          <w:sz w:val="32"/>
          <w:szCs w:val="32"/>
          <w:lang w:val="en-US" w:eastAsia="zh-CN"/>
        </w:rPr>
        <w:t>2024年公务用车维护费支出较少</w:t>
      </w:r>
      <w:r>
        <w:rPr>
          <w:rFonts w:ascii="Times New Roman" w:eastAsia="仿宋_GB2312"/>
          <w:b w:val="0"/>
          <w:sz w:val="32"/>
          <w:szCs w:val="32"/>
        </w:rPr>
        <w:t>；较2023年度决算增加1.84万元，增长46.8%，主要原因是</w:t>
      </w:r>
      <w:r>
        <w:rPr>
          <w:rFonts w:hint="eastAsia" w:ascii="Times New Roman" w:eastAsia="仿宋_GB2312"/>
          <w:b w:val="0"/>
          <w:sz w:val="32"/>
          <w:szCs w:val="32"/>
          <w:lang w:val="en-US" w:eastAsia="zh-CN"/>
        </w:rPr>
        <w:t>2024年公务用车维护费支出较2023年公务用车维护费支出增加</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b w:val="0"/>
          <w:sz w:val="32"/>
          <w:szCs w:val="32"/>
        </w:rPr>
        <w:t>本单位2024年度因公出国（境）费支出预算为0.00万元,支出决算0.00万元。完成预算的0.0%。因公出国（境）费支出较预算增加0.00万元，增长0.0%,主要原因是</w:t>
      </w:r>
      <w:r>
        <w:rPr>
          <w:rFonts w:hint="eastAsia" w:ascii="Times New Roman" w:eastAsia="仿宋_GB2312"/>
          <w:b w:val="0"/>
          <w:sz w:val="32"/>
          <w:szCs w:val="32"/>
          <w:lang w:val="en-US" w:eastAsia="zh-CN"/>
        </w:rPr>
        <w:t>正定新区建设局无出国出境安排</w:t>
      </w:r>
      <w:r>
        <w:rPr>
          <w:rFonts w:ascii="Times New Roman" w:eastAsia="仿宋_GB2312"/>
          <w:b w:val="0"/>
          <w:sz w:val="32"/>
          <w:szCs w:val="32"/>
        </w:rPr>
        <w:t>；较上年增加0.00万元，增长0.00%,主要原因是</w:t>
      </w:r>
      <w:r>
        <w:rPr>
          <w:rFonts w:hint="eastAsia" w:ascii="Times New Roman" w:eastAsia="仿宋_GB2312"/>
          <w:b w:val="0"/>
          <w:sz w:val="32"/>
          <w:szCs w:val="32"/>
          <w:lang w:val="en-US" w:eastAsia="zh-CN"/>
        </w:rPr>
        <w:t>正定新区建设局无出国出境安排</w:t>
      </w:r>
      <w:r>
        <w:rPr>
          <w:rFonts w:ascii="Times New Roman" w:eastAsia="仿宋_GB2312"/>
          <w:b w:val="0"/>
          <w:sz w:val="32"/>
          <w:szCs w:val="32"/>
        </w:rPr>
        <w:t>。因公出国（境）团组0个、共0人、参加其他单位组织的因公出国（境）团组个、共人/无本部门组织的出国（境）团组。</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b w:val="0"/>
          <w:sz w:val="32"/>
          <w:szCs w:val="32"/>
        </w:rPr>
        <w:t>本单位2024年度公务用车购置及运行维护费预算为14.50万元，支出决算5.77万元，完成预算的39.8%,较预算减少8.73万元，降低60.2%,主要原因是</w:t>
      </w:r>
      <w:r>
        <w:rPr>
          <w:rFonts w:hint="eastAsia" w:ascii="Times New Roman" w:eastAsia="仿宋_GB2312"/>
          <w:b w:val="0"/>
          <w:sz w:val="32"/>
          <w:szCs w:val="32"/>
          <w:lang w:val="en-US" w:eastAsia="zh-CN"/>
        </w:rPr>
        <w:t>2024年公务用车维护费支出较少</w:t>
      </w:r>
      <w:r>
        <w:rPr>
          <w:rFonts w:ascii="Times New Roman" w:eastAsia="仿宋_GB2312"/>
          <w:b w:val="0"/>
          <w:sz w:val="32"/>
          <w:szCs w:val="32"/>
        </w:rPr>
        <w:t>；较上年增加1.84万元，增长46.8%,主要原因是</w:t>
      </w:r>
      <w:r>
        <w:rPr>
          <w:rFonts w:hint="eastAsia" w:ascii="Times New Roman" w:eastAsia="仿宋_GB2312"/>
          <w:b w:val="0"/>
          <w:sz w:val="32"/>
          <w:szCs w:val="32"/>
          <w:lang w:val="en-US" w:eastAsia="zh-CN"/>
        </w:rPr>
        <w:t>2024年公务用车维护费支出较2023年公务用车维护费支出增加</w:t>
      </w:r>
      <w:r>
        <w:rPr>
          <w:rFonts w:ascii="Times New Roman" w:eastAsia="仿宋_GB2312"/>
          <w:b w:val="0"/>
          <w:sz w:val="32"/>
          <w:szCs w:val="32"/>
        </w:rPr>
        <w:t>。其中：</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本单位2024年度公务用车购置量0辆，发生“公务用车购置”经费支出0.00 万元。公务用车购置费支出较预算增加0.00万元，增长0.0%,主要原因是</w:t>
      </w:r>
      <w:r>
        <w:rPr>
          <w:rFonts w:hint="eastAsia" w:ascii="Times New Roman" w:eastAsia="仿宋_GB2312"/>
          <w:b w:val="0"/>
          <w:sz w:val="32"/>
          <w:szCs w:val="32"/>
          <w:lang w:val="en-US" w:eastAsia="zh-CN"/>
        </w:rPr>
        <w:t>正定新区建设局未购置公务用车</w:t>
      </w:r>
      <w:r>
        <w:rPr>
          <w:rFonts w:ascii="Times New Roman" w:eastAsia="仿宋_GB2312"/>
          <w:b w:val="0"/>
          <w:sz w:val="32"/>
          <w:szCs w:val="32"/>
        </w:rPr>
        <w:t>；较上年增加0.00万元，增长0.00%,主要原因是</w:t>
      </w:r>
      <w:r>
        <w:rPr>
          <w:rFonts w:hint="eastAsia" w:ascii="Times New Roman" w:eastAsia="仿宋_GB2312"/>
          <w:b w:val="0"/>
          <w:sz w:val="32"/>
          <w:szCs w:val="32"/>
          <w:lang w:val="en-US" w:eastAsia="zh-CN"/>
        </w:rPr>
        <w:t>正定新区建设局2023年和2024年均未购置公务用车</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公务用车运行维护费支出5.77万元：</w:t>
      </w:r>
      <w:r>
        <w:rPr>
          <w:rFonts w:ascii="Times New Roman" w:eastAsia="仿宋_GB2312"/>
          <w:b w:val="0"/>
          <w:sz w:val="32"/>
          <w:szCs w:val="32"/>
        </w:rPr>
        <w:t>本单位2024年度单位公务用车保有量1辆，发生运行维护费支出5.77万元。公车运行维护费支出较预算减少8.73万元，降低60.2%,主要原因是</w:t>
      </w:r>
      <w:r>
        <w:rPr>
          <w:rFonts w:hint="eastAsia" w:ascii="Times New Roman" w:eastAsia="仿宋_GB2312"/>
          <w:b w:val="0"/>
          <w:sz w:val="32"/>
          <w:szCs w:val="32"/>
          <w:lang w:val="en-US" w:eastAsia="zh-CN"/>
        </w:rPr>
        <w:t>2024年公务用车维护费支出较少</w:t>
      </w:r>
      <w:r>
        <w:rPr>
          <w:rFonts w:ascii="Times New Roman" w:eastAsia="仿宋_GB2312"/>
          <w:b w:val="0"/>
          <w:sz w:val="32"/>
          <w:szCs w:val="32"/>
        </w:rPr>
        <w:t>；较上年增加1.84万元，增长46.8%，主要原因是</w:t>
      </w:r>
      <w:r>
        <w:rPr>
          <w:rFonts w:hint="eastAsia" w:ascii="Times New Roman" w:eastAsia="仿宋_GB2312"/>
          <w:b w:val="0"/>
          <w:sz w:val="32"/>
          <w:szCs w:val="32"/>
          <w:lang w:val="en-US" w:eastAsia="zh-CN"/>
        </w:rPr>
        <w:t>2024年公务用车维护费支出较2023年公务用车维护费支出增加</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本单位2024年度公务接待费支出预算为0.06万元，支出决算0.00万元，完成预算的0.0%。公务接待费支出较预算减少0.06万元，降低100.0%,主要原因是</w:t>
      </w:r>
      <w:r>
        <w:rPr>
          <w:rFonts w:hint="eastAsia" w:ascii="Times New Roman" w:eastAsia="仿宋_GB2312"/>
          <w:b w:val="0"/>
          <w:sz w:val="32"/>
          <w:szCs w:val="32"/>
          <w:lang w:val="en-US" w:eastAsia="zh-CN"/>
        </w:rPr>
        <w:t>正定新区建设局2024年无公务接待安排</w:t>
      </w:r>
      <w:r>
        <w:rPr>
          <w:rFonts w:ascii="Times New Roman" w:eastAsia="仿宋_GB2312"/>
          <w:b w:val="0"/>
          <w:sz w:val="32"/>
          <w:szCs w:val="32"/>
        </w:rPr>
        <w:t>；较上年度增加0.00万元，增长0.00%,主要原因是</w:t>
      </w:r>
      <w:r>
        <w:rPr>
          <w:rFonts w:hint="eastAsia" w:ascii="Times New Roman" w:eastAsia="仿宋_GB2312"/>
          <w:b w:val="0"/>
          <w:sz w:val="32"/>
          <w:szCs w:val="32"/>
          <w:lang w:val="en-US" w:eastAsia="zh-CN"/>
        </w:rPr>
        <w:t>正定新区建设局2023年和2024年均无公务接待安排</w:t>
      </w:r>
      <w:r>
        <w:rPr>
          <w:rFonts w:ascii="Times New Roman" w:eastAsia="仿宋_GB2312"/>
          <w:b w:val="0"/>
          <w:sz w:val="32"/>
          <w:szCs w:val="32"/>
        </w:rPr>
        <w:t>。本年度共发生公务接待0批次、0人次。</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hint="default" w:ascii="Times New Roman" w:eastAsia="仿宋_GB2312"/>
          <w:sz w:val="32"/>
          <w:szCs w:val="32"/>
          <w:lang w:val="en-US" w:eastAsia="zh-CN"/>
        </w:rPr>
      </w:pPr>
      <w:r>
        <w:rPr>
          <w:rFonts w:ascii="Times New Roman" w:eastAsia="仿宋_GB2312"/>
          <w:b w:val="0"/>
          <w:sz w:val="32"/>
          <w:szCs w:val="32"/>
        </w:rPr>
        <w:t>本单位2024年度机关运行经费支出102.51万元，较2023年度增加95.96万元，增长1,465.0%。主要原因是</w:t>
      </w:r>
      <w:r>
        <w:rPr>
          <w:rFonts w:hint="eastAsia" w:ascii="Times New Roman" w:eastAsia="仿宋_GB2312"/>
          <w:b w:val="0"/>
          <w:sz w:val="32"/>
          <w:szCs w:val="32"/>
          <w:lang w:val="en-US" w:eastAsia="zh-CN"/>
        </w:rPr>
        <w:t>长聘人员工资在基本支出中列支。</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3,985.18万元，从采购类型来看，政府采购货物支出352.90万元、政府采购工程支出0.00万元、政府采购服务支出3,632.28万元。授予中小企业合同金额3,985.18万元，占政府采购支出总额的100.0%，其中授予小微企业合同金额3,632.28万元，占政府采购支出总额的91.1%。</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0辆，比上年增加0辆，主要是。其中，副部（省）级及以上领导用车0辆，主要负责人用车0辆，机要通信用车0辆，应急保障用车0辆，执法执勤用车0辆，特种专业技术用车0辆，离退休干部用车0辆，其他用车0辆，其他用车主要是。单位价值100万元（含）以上设备（不含车辆）0台（套）。</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w:t>
      </w:r>
      <w:r>
        <w:rPr>
          <w:rFonts w:hint="eastAsia" w:ascii="Times New Roman" w:eastAsia="仿宋_GB2312"/>
          <w:b w:val="0"/>
          <w:sz w:val="32"/>
          <w:szCs w:val="32"/>
          <w:lang w:val="en-US" w:eastAsia="zh-CN"/>
        </w:rPr>
        <w:t>36972.37</w:t>
      </w:r>
      <w:r>
        <w:rPr>
          <w:rFonts w:ascii="Times New Roman" w:eastAsia="仿宋_GB2312"/>
          <w:b w:val="0"/>
          <w:sz w:val="32"/>
          <w:szCs w:val="32"/>
        </w:rPr>
        <w:t>万元。其中，一般公共预算项目</w:t>
      </w:r>
      <w:r>
        <w:rPr>
          <w:rFonts w:hint="eastAsia" w:ascii="Times New Roman" w:eastAsia="仿宋_GB2312"/>
          <w:b w:val="0"/>
          <w:sz w:val="32"/>
          <w:szCs w:val="32"/>
          <w:lang w:val="en-US" w:eastAsia="zh-CN"/>
        </w:rPr>
        <w:t>20</w:t>
      </w:r>
      <w:r>
        <w:rPr>
          <w:rFonts w:ascii="Times New Roman" w:eastAsia="仿宋_GB2312"/>
          <w:b w:val="0"/>
          <w:sz w:val="32"/>
          <w:szCs w:val="32"/>
        </w:rPr>
        <w:t>个，涉及资金</w:t>
      </w:r>
      <w:r>
        <w:rPr>
          <w:rFonts w:hint="eastAsia" w:ascii="Times New Roman" w:eastAsia="仿宋_GB2312"/>
          <w:b w:val="0"/>
          <w:sz w:val="32"/>
          <w:szCs w:val="32"/>
          <w:lang w:val="en-US" w:eastAsia="zh-CN"/>
        </w:rPr>
        <w:t>36099.96</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4</w:t>
      </w:r>
      <w:r>
        <w:rPr>
          <w:rFonts w:ascii="Times New Roman" w:eastAsia="仿宋_GB2312"/>
          <w:b w:val="0"/>
          <w:sz w:val="32"/>
          <w:szCs w:val="32"/>
        </w:rPr>
        <w:t>个，涉及资金</w:t>
      </w:r>
      <w:r>
        <w:rPr>
          <w:rFonts w:hint="eastAsia" w:ascii="Times New Roman" w:eastAsia="仿宋_GB2312"/>
          <w:b w:val="0"/>
          <w:sz w:val="32"/>
          <w:szCs w:val="32"/>
          <w:lang w:val="en-US" w:eastAsia="zh-CN"/>
        </w:rPr>
        <w:t>872.41</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w:t>
      </w:r>
    </w:p>
    <w:p>
      <w:pPr>
        <w:keepNext w:val="0"/>
        <w:keepLines w:val="0"/>
        <w:widowControl/>
        <w:suppressLineNumbers w:val="0"/>
        <w:ind w:firstLine="640" w:firstLineChars="200"/>
        <w:jc w:val="left"/>
        <w:rPr>
          <w:rFonts w:ascii="Times New Roman" w:eastAsia="仿宋_GB2312"/>
          <w:b w:val="0"/>
          <w:color w:val="auto"/>
          <w:sz w:val="32"/>
          <w:szCs w:val="32"/>
        </w:rPr>
      </w:pPr>
      <w:r>
        <w:rPr>
          <w:rFonts w:ascii="Times New Roman" w:eastAsia="仿宋_GB2312"/>
          <w:b w:val="0"/>
          <w:color w:val="auto"/>
          <w:sz w:val="32"/>
          <w:szCs w:val="32"/>
        </w:rPr>
        <w:t>组织对</w:t>
      </w:r>
      <w:r>
        <w:rPr>
          <w:rFonts w:hint="eastAsia" w:ascii="Times New Roman" w:eastAsia="仿宋_GB2312"/>
          <w:b w:val="0"/>
          <w:color w:val="auto"/>
          <w:sz w:val="32"/>
          <w:szCs w:val="32"/>
          <w:lang w:val="en-US" w:eastAsia="zh-CN"/>
        </w:rPr>
        <w:t>1</w:t>
      </w:r>
      <w:r>
        <w:rPr>
          <w:rFonts w:ascii="Times New Roman" w:eastAsia="仿宋_GB2312"/>
          <w:b w:val="0"/>
          <w:color w:val="auto"/>
          <w:sz w:val="32"/>
          <w:szCs w:val="32"/>
        </w:rPr>
        <w:t>个项目开展了部门重点评价，涉及一般公共预算支出</w:t>
      </w:r>
      <w:r>
        <w:rPr>
          <w:rFonts w:hint="eastAsia" w:ascii="Times New Roman" w:eastAsia="仿宋_GB2312"/>
          <w:b w:val="0"/>
          <w:color w:val="auto"/>
          <w:sz w:val="32"/>
          <w:szCs w:val="32"/>
          <w:lang w:val="en-US" w:eastAsia="zh-CN"/>
        </w:rPr>
        <w:t>5000</w:t>
      </w:r>
      <w:r>
        <w:rPr>
          <w:rFonts w:ascii="Times New Roman" w:eastAsia="仿宋_GB2312"/>
          <w:b w:val="0"/>
          <w:color w:val="auto"/>
          <w:sz w:val="32"/>
          <w:szCs w:val="32"/>
        </w:rPr>
        <w:t>万元，政府性基金预算支出</w:t>
      </w:r>
      <w:r>
        <w:rPr>
          <w:rFonts w:hint="eastAsia" w:ascii="Times New Roman" w:eastAsia="仿宋_GB2312"/>
          <w:b w:val="0"/>
          <w:color w:val="auto"/>
          <w:sz w:val="32"/>
          <w:szCs w:val="32"/>
          <w:lang w:val="en-US" w:eastAsia="zh-CN"/>
        </w:rPr>
        <w:t>0</w:t>
      </w:r>
      <w:r>
        <w:rPr>
          <w:rFonts w:ascii="Times New Roman" w:eastAsia="仿宋_GB2312"/>
          <w:b w:val="0"/>
          <w:color w:val="auto"/>
          <w:sz w:val="32"/>
          <w:szCs w:val="32"/>
        </w:rPr>
        <w:t>万元，国有资本经营预算支出</w:t>
      </w:r>
      <w:r>
        <w:rPr>
          <w:rFonts w:hint="eastAsia" w:ascii="Times New Roman" w:eastAsia="仿宋_GB2312"/>
          <w:b w:val="0"/>
          <w:color w:val="auto"/>
          <w:sz w:val="32"/>
          <w:szCs w:val="32"/>
          <w:lang w:val="en-US" w:eastAsia="zh-CN"/>
        </w:rPr>
        <w:t>0</w:t>
      </w:r>
      <w:r>
        <w:rPr>
          <w:rFonts w:ascii="Times New Roman" w:eastAsia="仿宋_GB2312"/>
          <w:b w:val="0"/>
          <w:color w:val="auto"/>
          <w:sz w:val="32"/>
          <w:szCs w:val="32"/>
        </w:rPr>
        <w:t>万元，从评价情况来看，</w:t>
      </w:r>
      <w:r>
        <w:rPr>
          <w:rFonts w:ascii="Times New Roman" w:eastAsia="仿宋_GB2312"/>
          <w:b w:val="0"/>
          <w:color w:val="auto"/>
          <w:sz w:val="32"/>
          <w:szCs w:val="32"/>
          <w:lang w:val="en-US" w:eastAsia="zh-CN"/>
        </w:rPr>
        <w:t>202</w:t>
      </w:r>
      <w:r>
        <w:rPr>
          <w:rFonts w:hint="eastAsia" w:ascii="Times New Roman" w:eastAsia="仿宋_GB2312"/>
          <w:b w:val="0"/>
          <w:color w:val="auto"/>
          <w:sz w:val="32"/>
          <w:szCs w:val="32"/>
          <w:lang w:val="en-US" w:eastAsia="zh-CN"/>
        </w:rPr>
        <w:t>4年供热补贴</w:t>
      </w:r>
      <w:r>
        <w:rPr>
          <w:rFonts w:ascii="Times New Roman" w:eastAsia="仿宋_GB2312"/>
          <w:b w:val="0"/>
          <w:color w:val="auto"/>
          <w:sz w:val="32"/>
          <w:szCs w:val="32"/>
          <w:lang w:val="en-US" w:eastAsia="zh-CN"/>
        </w:rPr>
        <w:t xml:space="preserve">全年预算数调整数 </w:t>
      </w:r>
    </w:p>
    <w:p>
      <w:pPr>
        <w:keepNext w:val="0"/>
        <w:keepLines w:val="0"/>
        <w:widowControl/>
        <w:suppressLineNumbers w:val="0"/>
        <w:jc w:val="left"/>
        <w:rPr>
          <w:rFonts w:ascii="Times New Roman" w:eastAsia="仿宋_GB2312"/>
          <w:color w:val="0000FF"/>
          <w:sz w:val="32"/>
          <w:szCs w:val="32"/>
        </w:rPr>
      </w:pPr>
      <w:r>
        <w:rPr>
          <w:rFonts w:hint="eastAsia" w:ascii="Times New Roman" w:eastAsia="仿宋_GB2312"/>
          <w:b w:val="0"/>
          <w:color w:val="auto"/>
          <w:sz w:val="32"/>
          <w:szCs w:val="32"/>
          <w:lang w:val="en-US" w:eastAsia="zh-CN"/>
        </w:rPr>
        <w:t>5000</w:t>
      </w:r>
      <w:r>
        <w:rPr>
          <w:rFonts w:ascii="Times New Roman" w:eastAsia="仿宋_GB2312"/>
          <w:b w:val="0"/>
          <w:color w:val="auto"/>
          <w:sz w:val="32"/>
          <w:szCs w:val="32"/>
          <w:lang w:val="en-US" w:eastAsia="zh-CN"/>
        </w:rPr>
        <w:t xml:space="preserve">万元，支出 </w:t>
      </w:r>
      <w:r>
        <w:rPr>
          <w:rFonts w:hint="eastAsia" w:ascii="Times New Roman" w:eastAsia="仿宋_GB2312"/>
          <w:b w:val="0"/>
          <w:color w:val="auto"/>
          <w:sz w:val="32"/>
          <w:szCs w:val="32"/>
          <w:lang w:val="en-US" w:eastAsia="zh-CN"/>
        </w:rPr>
        <w:t>5000</w:t>
      </w:r>
      <w:r>
        <w:rPr>
          <w:rFonts w:ascii="Times New Roman" w:eastAsia="仿宋_GB2312"/>
          <w:b w:val="0"/>
          <w:color w:val="auto"/>
          <w:sz w:val="32"/>
          <w:szCs w:val="32"/>
          <w:lang w:val="en-US" w:eastAsia="zh-CN"/>
        </w:rPr>
        <w:t>万元，结余资金于年末收回财政。自评得分95分</w:t>
      </w:r>
      <w:r>
        <w:rPr>
          <w:rFonts w:hint="eastAsia" w:ascii="Times New Roman" w:eastAsia="仿宋_GB2312"/>
          <w:b w:val="0"/>
          <w:color w:val="auto"/>
          <w:sz w:val="32"/>
          <w:szCs w:val="32"/>
          <w:lang w:val="en-US" w:eastAsia="zh-CN"/>
        </w:rPr>
        <w:t>，</w:t>
      </w:r>
      <w:r>
        <w:rPr>
          <w:rFonts w:ascii="Times New Roman" w:eastAsia="仿宋_GB2312"/>
          <w:b w:val="0"/>
          <w:color w:val="auto"/>
          <w:sz w:val="32"/>
          <w:szCs w:val="32"/>
          <w:lang w:val="en-US" w:eastAsia="zh-CN"/>
        </w:rPr>
        <w:t>评价为优秀等次。</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本单位在今年部门决算公开中反映</w:t>
      </w:r>
      <w:r>
        <w:rPr>
          <w:rFonts w:hint="eastAsia" w:ascii="Times New Roman" w:eastAsia="仿宋_GB2312"/>
          <w:b w:val="0"/>
          <w:sz w:val="32"/>
          <w:szCs w:val="32"/>
          <w:lang w:val="en-US" w:eastAsia="zh-CN"/>
        </w:rPr>
        <w:t>1</w:t>
      </w:r>
      <w:r>
        <w:rPr>
          <w:rFonts w:ascii="Times New Roman" w:eastAsia="仿宋_GB2312"/>
          <w:b w:val="0"/>
          <w:sz w:val="32"/>
          <w:szCs w:val="32"/>
        </w:rPr>
        <w:t>个项目绩效自评结果。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项目绩效自评情况：根据年初设定的绩效目标，</w:t>
      </w:r>
      <w:r>
        <w:rPr>
          <w:rFonts w:hint="eastAsia" w:ascii="Times New Roman" w:eastAsia="仿宋_GB2312"/>
          <w:b w:val="0"/>
          <w:sz w:val="32"/>
          <w:szCs w:val="32"/>
          <w:lang w:val="en-US" w:eastAsia="zh-CN"/>
        </w:rPr>
        <w:t>供热补贴</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分。全年预算数为</w:t>
      </w:r>
      <w:r>
        <w:rPr>
          <w:rFonts w:hint="eastAsia" w:ascii="Times New Roman" w:eastAsia="仿宋_GB2312"/>
          <w:b w:val="0"/>
          <w:sz w:val="32"/>
          <w:szCs w:val="32"/>
          <w:lang w:val="en-US" w:eastAsia="zh-CN"/>
        </w:rPr>
        <w:t>5000</w:t>
      </w:r>
      <w:r>
        <w:rPr>
          <w:rFonts w:ascii="Times New Roman" w:eastAsia="仿宋_GB2312"/>
          <w:b w:val="0"/>
          <w:sz w:val="32"/>
          <w:szCs w:val="32"/>
        </w:rPr>
        <w:t>万元，执行数为</w:t>
      </w:r>
      <w:r>
        <w:rPr>
          <w:rFonts w:hint="eastAsia" w:ascii="Times New Roman" w:eastAsia="仿宋_GB2312"/>
          <w:b w:val="0"/>
          <w:sz w:val="32"/>
          <w:szCs w:val="32"/>
          <w:lang w:val="en-US" w:eastAsia="zh-CN"/>
        </w:rPr>
        <w:t>5000</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%。项目绩效目标完成情况：一是</w:t>
      </w:r>
      <w:r>
        <w:rPr>
          <w:rFonts w:hint="eastAsia" w:ascii="Times New Roman" w:eastAsia="仿宋_GB2312"/>
          <w:b w:val="0"/>
          <w:sz w:val="32"/>
          <w:szCs w:val="32"/>
          <w:lang w:val="en-US" w:eastAsia="zh-CN"/>
        </w:rPr>
        <w:t>供热补贴发放到位</w:t>
      </w:r>
      <w:r>
        <w:rPr>
          <w:rFonts w:ascii="Times New Roman" w:eastAsia="仿宋_GB2312"/>
          <w:b w:val="0"/>
          <w:sz w:val="32"/>
          <w:szCs w:val="32"/>
        </w:rPr>
        <w:t>；二是</w:t>
      </w:r>
      <w:r>
        <w:rPr>
          <w:rFonts w:hint="eastAsia" w:ascii="Times New Roman" w:eastAsia="仿宋_GB2312"/>
          <w:b w:val="0"/>
          <w:sz w:val="32"/>
          <w:szCs w:val="32"/>
          <w:lang w:val="en-US" w:eastAsia="zh-CN"/>
        </w:rPr>
        <w:t>供暖季平稳度过</w:t>
      </w:r>
      <w:r>
        <w:rPr>
          <w:rFonts w:ascii="Times New Roman" w:eastAsia="仿宋_GB2312"/>
          <w:b w:val="0"/>
          <w:sz w:val="32"/>
          <w:szCs w:val="32"/>
        </w:rPr>
        <w:t>。下一步改进措施：一是</w:t>
      </w:r>
      <w:r>
        <w:rPr>
          <w:rFonts w:hint="eastAsia" w:ascii="Times New Roman" w:eastAsia="仿宋_GB2312"/>
          <w:b w:val="0"/>
          <w:sz w:val="32"/>
          <w:szCs w:val="32"/>
          <w:lang w:val="en-US" w:eastAsia="zh-CN"/>
        </w:rPr>
        <w:t>及时、高效将供热补贴发放到位</w:t>
      </w:r>
      <w:r>
        <w:rPr>
          <w:rFonts w:ascii="Times New Roman" w:eastAsia="仿宋_GB2312"/>
          <w:b w:val="0"/>
          <w:sz w:val="32"/>
          <w:szCs w:val="32"/>
        </w:rPr>
        <w:t>；二是</w:t>
      </w:r>
      <w:r>
        <w:rPr>
          <w:rFonts w:hint="eastAsia" w:ascii="Times New Roman" w:eastAsia="仿宋_GB2312"/>
          <w:b w:val="0"/>
          <w:sz w:val="32"/>
          <w:szCs w:val="32"/>
          <w:lang w:val="en-US" w:eastAsia="zh-CN"/>
        </w:rPr>
        <w:t>保障正定新区居民度过供暖季</w:t>
      </w:r>
      <w:r>
        <w:rPr>
          <w:rFonts w:ascii="Times New Roman" w:eastAsia="仿宋_GB2312"/>
          <w:b w:val="0"/>
          <w:sz w:val="32"/>
          <w:szCs w:val="32"/>
        </w:rPr>
        <w:t>。</w:t>
      </w:r>
    </w:p>
    <w:tbl>
      <w:tblPr>
        <w:tblW w:w="10330" w:type="dxa"/>
        <w:tblInd w:w="0" w:type="dxa"/>
        <w:shd w:val="clear"/>
        <w:tblLayout w:type="fixed"/>
        <w:tblCellMar>
          <w:top w:w="0" w:type="dxa"/>
          <w:left w:w="0" w:type="dxa"/>
          <w:bottom w:w="0" w:type="dxa"/>
          <w:right w:w="0" w:type="dxa"/>
        </w:tblCellMar>
      </w:tblPr>
      <w:tblGrid>
        <w:gridCol w:w="1215"/>
        <w:gridCol w:w="1150"/>
        <w:gridCol w:w="1080"/>
        <w:gridCol w:w="1245"/>
        <w:gridCol w:w="1410"/>
        <w:gridCol w:w="1080"/>
        <w:gridCol w:w="1080"/>
        <w:gridCol w:w="2070"/>
      </w:tblGrid>
      <w:tr>
        <w:tblPrEx>
          <w:shd w:val="clear"/>
          <w:tblLayout w:type="fixed"/>
          <w:tblCellMar>
            <w:top w:w="0" w:type="dxa"/>
            <w:left w:w="0" w:type="dxa"/>
            <w:bottom w:w="0" w:type="dxa"/>
            <w:right w:w="0" w:type="dxa"/>
          </w:tblCellMar>
        </w:tblPrEx>
        <w:trPr>
          <w:trHeight w:val="375" w:hRule="atLeast"/>
        </w:trPr>
        <w:tc>
          <w:tcPr>
            <w:tcW w:w="1215" w:type="dxa"/>
            <w:tcBorders>
              <w:top w:val="nil"/>
              <w:left w:val="nil"/>
              <w:bottom w:val="nil"/>
              <w:right w:val="nil"/>
            </w:tcBorders>
            <w:shd w:val="clear"/>
            <w:noWrap/>
            <w:tcMar>
              <w:top w:w="15" w:type="dxa"/>
              <w:left w:w="15" w:type="dxa"/>
              <w:right w:w="15" w:type="dxa"/>
            </w:tcMar>
            <w:vAlign w:val="bottom"/>
          </w:tcPr>
          <w:p>
            <w:pPr>
              <w:keepNext w:val="0"/>
              <w:keepLines w:val="0"/>
              <w:widowControl/>
              <w:suppressLineNumbers w:val="0"/>
              <w:jc w:val="left"/>
              <w:textAlignment w:val="bottom"/>
              <w:rPr>
                <w:rFonts w:ascii="黑体" w:hAnsi="宋体" w:eastAsia="黑体" w:cs="黑体"/>
                <w:i w:val="0"/>
                <w:color w:val="000000"/>
                <w:sz w:val="28"/>
                <w:szCs w:val="28"/>
                <w:u w:val="none"/>
              </w:rPr>
            </w:pPr>
            <w:r>
              <w:rPr>
                <w:rFonts w:hint="eastAsia" w:ascii="黑体" w:hAnsi="宋体" w:eastAsia="黑体" w:cs="黑体"/>
                <w:i w:val="0"/>
                <w:color w:val="000000"/>
                <w:kern w:val="0"/>
                <w:sz w:val="28"/>
                <w:szCs w:val="28"/>
                <w:u w:val="none"/>
                <w:bdr w:val="none" w:color="auto" w:sz="0" w:space="0"/>
                <w:lang w:val="en-US" w:eastAsia="zh-CN" w:bidi="ar"/>
              </w:rPr>
              <w:t>附件1</w:t>
            </w:r>
          </w:p>
        </w:tc>
        <w:tc>
          <w:tcPr>
            <w:tcW w:w="1150" w:type="dxa"/>
            <w:tcBorders>
              <w:top w:val="nil"/>
              <w:left w:val="nil"/>
              <w:bottom w:val="nil"/>
              <w:right w:val="nil"/>
            </w:tcBorders>
            <w:shd w:val="clear"/>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80" w:type="dxa"/>
            <w:tcBorders>
              <w:top w:val="nil"/>
              <w:left w:val="nil"/>
              <w:bottom w:val="nil"/>
              <w:right w:val="nil"/>
            </w:tcBorders>
            <w:shd w:val="clear"/>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45" w:type="dxa"/>
            <w:tcBorders>
              <w:top w:val="nil"/>
              <w:left w:val="nil"/>
              <w:bottom w:val="nil"/>
              <w:right w:val="nil"/>
            </w:tcBorders>
            <w:shd w:val="clear"/>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410" w:type="dxa"/>
            <w:tcBorders>
              <w:top w:val="nil"/>
              <w:left w:val="nil"/>
              <w:bottom w:val="nil"/>
              <w:right w:val="nil"/>
            </w:tcBorders>
            <w:shd w:val="clear"/>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80" w:type="dxa"/>
            <w:tcBorders>
              <w:top w:val="nil"/>
              <w:left w:val="nil"/>
              <w:bottom w:val="nil"/>
              <w:right w:val="nil"/>
            </w:tcBorders>
            <w:shd w:val="clear"/>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80" w:type="dxa"/>
            <w:tcBorders>
              <w:top w:val="nil"/>
              <w:left w:val="nil"/>
              <w:bottom w:val="nil"/>
              <w:right w:val="nil"/>
            </w:tcBorders>
            <w:shd w:val="clear"/>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070" w:type="dxa"/>
            <w:tcBorders>
              <w:top w:val="nil"/>
              <w:left w:val="nil"/>
              <w:bottom w:val="nil"/>
              <w:right w:val="nil"/>
            </w:tcBorders>
            <w:shd w:val="clear"/>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shd w:val="clear"/>
          <w:tblLayout w:type="fixed"/>
          <w:tblCellMar>
            <w:top w:w="0" w:type="dxa"/>
            <w:left w:w="0" w:type="dxa"/>
            <w:bottom w:w="0" w:type="dxa"/>
            <w:right w:w="0" w:type="dxa"/>
          </w:tblCellMar>
        </w:tblPrEx>
        <w:trPr>
          <w:trHeight w:val="510" w:hRule="atLeast"/>
        </w:trPr>
        <w:tc>
          <w:tcPr>
            <w:tcW w:w="10330" w:type="dxa"/>
            <w:gridSpan w:val="8"/>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40"/>
                <w:szCs w:val="40"/>
                <w:u w:val="none"/>
                <w:bdr w:val="none" w:color="auto" w:sz="0" w:space="0"/>
                <w:lang w:val="en-US" w:eastAsia="zh-CN" w:bidi="ar"/>
              </w:rPr>
              <w:t>正定新</w:t>
            </w:r>
            <w:r>
              <w:rPr>
                <w:rFonts w:hint="default" w:ascii="方正小标宋_GBK" w:hAnsi="方正小标宋_GBK" w:eastAsia="方正小标宋_GBK" w:cs="方正小标宋_GBK"/>
                <w:i w:val="0"/>
                <w:color w:val="000000"/>
                <w:kern w:val="0"/>
                <w:sz w:val="40"/>
                <w:szCs w:val="40"/>
                <w:u w:val="none"/>
                <w:lang w:val="en-US" w:eastAsia="zh-CN" w:bidi="ar"/>
              </w:rPr>
              <w:t>城</w:t>
            </w:r>
            <w:r>
              <w:rPr>
                <w:rFonts w:hint="eastAsia" w:ascii="方正小标宋_GBK" w:hAnsi="方正小标宋_GBK" w:eastAsia="方正小标宋_GBK" w:cs="方正小标宋_GBK"/>
                <w:i w:val="0"/>
                <w:color w:val="000000"/>
                <w:kern w:val="0"/>
                <w:sz w:val="40"/>
                <w:szCs w:val="40"/>
                <w:u w:val="none"/>
                <w:lang w:val="en-US" w:eastAsia="zh-CN" w:bidi="ar"/>
              </w:rPr>
              <w:t>部门</w:t>
            </w:r>
            <w:r>
              <w:rPr>
                <w:rFonts w:hint="default" w:ascii="方正小标宋_GBK" w:hAnsi="方正小标宋_GBK" w:eastAsia="方正小标宋_GBK" w:cs="方正小标宋_GBK"/>
                <w:i w:val="0"/>
                <w:color w:val="000000"/>
                <w:kern w:val="0"/>
                <w:sz w:val="40"/>
                <w:szCs w:val="40"/>
                <w:u w:val="none"/>
                <w:lang w:val="en-US" w:eastAsia="zh-CN" w:bidi="ar"/>
              </w:rPr>
              <w:t>预算</w:t>
            </w:r>
            <w:r>
              <w:rPr>
                <w:rFonts w:hint="default" w:ascii="方正小标宋_GBK" w:hAnsi="方正小标宋_GBK" w:eastAsia="方正小标宋_GBK" w:cs="方正小标宋_GBK"/>
                <w:i w:val="0"/>
                <w:color w:val="000000"/>
                <w:kern w:val="0"/>
                <w:sz w:val="40"/>
                <w:szCs w:val="40"/>
                <w:u w:val="none"/>
                <w:bdr w:val="none" w:color="auto" w:sz="0" w:space="0"/>
                <w:lang w:val="en-US" w:eastAsia="zh-CN" w:bidi="ar"/>
              </w:rPr>
              <w:t>项目绩效自评表</w:t>
            </w:r>
          </w:p>
        </w:tc>
      </w:tr>
      <w:tr>
        <w:tblPrEx>
          <w:shd w:val="clear"/>
          <w:tblLayout w:type="fixed"/>
          <w:tblCellMar>
            <w:top w:w="0" w:type="dxa"/>
            <w:left w:w="0" w:type="dxa"/>
            <w:bottom w:w="0" w:type="dxa"/>
            <w:right w:w="0" w:type="dxa"/>
          </w:tblCellMar>
        </w:tblPrEx>
        <w:trPr>
          <w:trHeight w:val="345" w:hRule="atLeast"/>
        </w:trPr>
        <w:tc>
          <w:tcPr>
            <w:tcW w:w="10330" w:type="dxa"/>
            <w:gridSpan w:val="8"/>
            <w:tcBorders>
              <w:top w:val="nil"/>
              <w:left w:val="nil"/>
              <w:bottom w:val="nil"/>
              <w:right w:val="nil"/>
            </w:tcBorders>
            <w:shd w:val="clear"/>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（2024年度）</w:t>
            </w:r>
          </w:p>
        </w:tc>
      </w:tr>
      <w:tr>
        <w:tblPrEx>
          <w:shd w:val="clear"/>
          <w:tblLayout w:type="fixed"/>
          <w:tblCellMar>
            <w:top w:w="0" w:type="dxa"/>
            <w:left w:w="0" w:type="dxa"/>
            <w:bottom w:w="0" w:type="dxa"/>
            <w:right w:w="0" w:type="dxa"/>
          </w:tblCellMar>
        </w:tblPrEx>
        <w:trPr>
          <w:trHeight w:val="435" w:hRule="atLeast"/>
        </w:trPr>
        <w:tc>
          <w:tcPr>
            <w:tcW w:w="1215" w:type="dxa"/>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填报单位：</w:t>
            </w:r>
          </w:p>
        </w:tc>
        <w:tc>
          <w:tcPr>
            <w:tcW w:w="1150" w:type="dxa"/>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正定新区建设局</w:t>
            </w:r>
          </w:p>
        </w:tc>
        <w:tc>
          <w:tcPr>
            <w:tcW w:w="1080" w:type="dxa"/>
            <w:tcBorders>
              <w:top w:val="nil"/>
              <w:left w:val="nil"/>
              <w:bottom w:val="nil"/>
              <w:right w:val="nil"/>
            </w:tcBorders>
            <w:shd w:val="clear"/>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45" w:type="dxa"/>
            <w:tcBorders>
              <w:top w:val="nil"/>
              <w:left w:val="nil"/>
              <w:bottom w:val="nil"/>
              <w:right w:val="nil"/>
            </w:tcBorders>
            <w:shd w:val="clear"/>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410" w:type="dxa"/>
            <w:tcBorders>
              <w:top w:val="nil"/>
              <w:left w:val="nil"/>
              <w:bottom w:val="nil"/>
              <w:right w:val="nil"/>
            </w:tcBorders>
            <w:shd w:val="clear"/>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nil"/>
              <w:left w:val="nil"/>
              <w:bottom w:val="nil"/>
              <w:right w:val="nil"/>
            </w:tcBorders>
            <w:shd w:val="clear"/>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nil"/>
              <w:left w:val="nil"/>
              <w:bottom w:val="nil"/>
              <w:right w:val="nil"/>
            </w:tcBorders>
            <w:shd w:val="clear"/>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70" w:type="dxa"/>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金额单位：万元</w:t>
            </w:r>
          </w:p>
        </w:tc>
      </w:tr>
      <w:tr>
        <w:tblPrEx>
          <w:shd w:val="clear"/>
          <w:tblLayout w:type="fixed"/>
          <w:tblCellMar>
            <w:top w:w="0" w:type="dxa"/>
            <w:left w:w="0" w:type="dxa"/>
            <w:bottom w:w="0" w:type="dxa"/>
            <w:right w:w="0" w:type="dxa"/>
          </w:tblCellMar>
        </w:tblPrEx>
        <w:trPr>
          <w:trHeight w:val="495" w:hRule="atLeast"/>
        </w:trPr>
        <w:tc>
          <w:tcPr>
            <w:tcW w:w="1215" w:type="dxa"/>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25"/>
                <w:bdr w:val="none" w:color="auto" w:sz="0" w:space="0"/>
                <w:lang w:val="en-US" w:eastAsia="zh-CN" w:bidi="ar"/>
              </w:rPr>
              <w:t>一、</w:t>
            </w:r>
            <w:r>
              <w:rPr>
                <w:rFonts w:ascii="Calibri" w:hAnsi="Calibri" w:eastAsia="宋体" w:cs="Calibri"/>
                <w:i w:val="0"/>
                <w:color w:val="000000"/>
                <w:kern w:val="0"/>
                <w:sz w:val="16"/>
                <w:szCs w:val="16"/>
                <w:u w:val="none"/>
                <w:bdr w:val="none" w:color="auto" w:sz="0" w:space="0"/>
                <w:lang w:val="en-US" w:eastAsia="zh-CN" w:bidi="ar"/>
              </w:rPr>
              <w:t xml:space="preserve"> </w:t>
            </w:r>
            <w:r>
              <w:rPr>
                <w:rStyle w:val="25"/>
                <w:bdr w:val="none" w:color="auto" w:sz="0" w:space="0"/>
                <w:lang w:val="en-US" w:eastAsia="zh-CN" w:bidi="ar"/>
              </w:rPr>
              <w:t>基本情况</w:t>
            </w:r>
          </w:p>
        </w:tc>
        <w:tc>
          <w:tcPr>
            <w:tcW w:w="115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项目名称</w:t>
            </w:r>
          </w:p>
        </w:tc>
        <w:tc>
          <w:tcPr>
            <w:tcW w:w="2325"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供热补贴</w:t>
            </w:r>
          </w:p>
        </w:tc>
        <w:tc>
          <w:tcPr>
            <w:tcW w:w="141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实施(主管）单位</w:t>
            </w:r>
          </w:p>
        </w:tc>
        <w:tc>
          <w:tcPr>
            <w:tcW w:w="4230" w:type="dxa"/>
            <w:gridSpan w:val="3"/>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正定新区建设局</w:t>
            </w:r>
          </w:p>
        </w:tc>
      </w:tr>
      <w:tr>
        <w:tblPrEx>
          <w:shd w:val="clear"/>
          <w:tblLayout w:type="fixed"/>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二、预算执行情况</w:t>
            </w:r>
          </w:p>
        </w:tc>
        <w:tc>
          <w:tcPr>
            <w:tcW w:w="2230"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预算安排情况（调整后）</w:t>
            </w:r>
          </w:p>
        </w:tc>
        <w:tc>
          <w:tcPr>
            <w:tcW w:w="2655"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资金到位情况</w:t>
            </w:r>
          </w:p>
        </w:tc>
        <w:tc>
          <w:tcPr>
            <w:tcW w:w="2160"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资金执行情况</w:t>
            </w:r>
          </w:p>
        </w:tc>
        <w:tc>
          <w:tcPr>
            <w:tcW w:w="20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预算执行进度</w:t>
            </w:r>
          </w:p>
        </w:tc>
      </w:tr>
      <w:tr>
        <w:tblPrEx>
          <w:shd w:val="clear"/>
          <w:tblLayout w:type="fixed"/>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5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预算数：</w:t>
            </w:r>
          </w:p>
        </w:tc>
        <w:tc>
          <w:tcPr>
            <w:tcW w:w="108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5000</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到位数：</w:t>
            </w:r>
          </w:p>
        </w:tc>
        <w:tc>
          <w:tcPr>
            <w:tcW w:w="141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5000</w:t>
            </w:r>
          </w:p>
        </w:tc>
        <w:tc>
          <w:tcPr>
            <w:tcW w:w="108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执行数：</w:t>
            </w:r>
          </w:p>
        </w:tc>
        <w:tc>
          <w:tcPr>
            <w:tcW w:w="108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5000</w:t>
            </w:r>
          </w:p>
        </w:tc>
        <w:tc>
          <w:tcPr>
            <w:tcW w:w="2070"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100%</w:t>
            </w:r>
          </w:p>
        </w:tc>
      </w:tr>
      <w:tr>
        <w:tblPrEx>
          <w:tblLayout w:type="fixed"/>
          <w:tblCellMar>
            <w:top w:w="0" w:type="dxa"/>
            <w:left w:w="0" w:type="dxa"/>
            <w:bottom w:w="0" w:type="dxa"/>
            <w:right w:w="0" w:type="dxa"/>
          </w:tblCellMar>
        </w:tblPrEx>
        <w:trPr>
          <w:trHeight w:val="42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5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5000</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其中：财政资金</w:t>
            </w:r>
          </w:p>
        </w:tc>
        <w:tc>
          <w:tcPr>
            <w:tcW w:w="141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5000</w:t>
            </w:r>
          </w:p>
        </w:tc>
        <w:tc>
          <w:tcPr>
            <w:tcW w:w="108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5000</w:t>
            </w:r>
          </w:p>
        </w:tc>
        <w:tc>
          <w:tcPr>
            <w:tcW w:w="207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Layout w:type="fixed"/>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5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rPr>
                <w:rFonts w:hint="default" w:ascii="Calibri" w:hAnsi="Calibri" w:eastAsia="宋体" w:cs="Calibri"/>
                <w:i w:val="0"/>
                <w:color w:val="000000"/>
                <w:sz w:val="21"/>
                <w:szCs w:val="21"/>
                <w:u w:val="none"/>
              </w:rPr>
            </w:pP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其他</w:t>
            </w:r>
          </w:p>
        </w:tc>
        <w:tc>
          <w:tcPr>
            <w:tcW w:w="141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tblLayout w:type="fixed"/>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三、目标完成情况</w:t>
            </w:r>
          </w:p>
        </w:tc>
        <w:tc>
          <w:tcPr>
            <w:tcW w:w="3475" w:type="dxa"/>
            <w:gridSpan w:val="3"/>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年度预期目标</w:t>
            </w:r>
          </w:p>
        </w:tc>
        <w:tc>
          <w:tcPr>
            <w:tcW w:w="3570" w:type="dxa"/>
            <w:gridSpan w:val="3"/>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具体完成情况</w:t>
            </w:r>
          </w:p>
        </w:tc>
        <w:tc>
          <w:tcPr>
            <w:tcW w:w="20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总体完成率</w:t>
            </w:r>
          </w:p>
        </w:tc>
      </w:tr>
      <w:tr>
        <w:tblPrEx>
          <w:shd w:val="clear"/>
          <w:tblLayout w:type="fixed"/>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75" w:type="dxa"/>
            <w:gridSpan w:val="3"/>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供热补贴发放到位，供暖季平稳度过</w:t>
            </w:r>
          </w:p>
        </w:tc>
        <w:tc>
          <w:tcPr>
            <w:tcW w:w="3570" w:type="dxa"/>
            <w:gridSpan w:val="3"/>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供热补贴已发放到位</w:t>
            </w:r>
          </w:p>
        </w:tc>
        <w:tc>
          <w:tcPr>
            <w:tcW w:w="2070"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100%</w:t>
            </w:r>
          </w:p>
        </w:tc>
      </w:tr>
      <w:tr>
        <w:tblPrEx>
          <w:tblLayout w:type="fixed"/>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75"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570"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tblLayout w:type="fixed"/>
          <w:tblCellMar>
            <w:top w:w="0" w:type="dxa"/>
            <w:left w:w="0" w:type="dxa"/>
            <w:bottom w:w="0" w:type="dxa"/>
            <w:right w:w="0" w:type="dxa"/>
          </w:tblCellMar>
        </w:tblPrEx>
        <w:trPr>
          <w:trHeight w:val="13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75"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570"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Layout w:type="fixed"/>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Style w:val="25"/>
                <w:bdr w:val="none" w:color="auto" w:sz="0" w:space="0"/>
                <w:lang w:val="en-US" w:eastAsia="zh-CN" w:bidi="ar"/>
              </w:rPr>
              <w:t>四、</w:t>
            </w:r>
            <w:r>
              <w:rPr>
                <w:rFonts w:ascii="Calibri" w:hAnsi="Calibri" w:eastAsia="宋体" w:cs="Calibri"/>
                <w:i w:val="0"/>
                <w:color w:val="000000"/>
                <w:kern w:val="0"/>
                <w:sz w:val="16"/>
                <w:szCs w:val="16"/>
                <w:u w:val="none"/>
                <w:bdr w:val="none" w:color="auto" w:sz="0" w:space="0"/>
                <w:lang w:val="en-US" w:eastAsia="zh-CN" w:bidi="ar"/>
              </w:rPr>
              <w:t xml:space="preserve"> </w:t>
            </w:r>
            <w:r>
              <w:rPr>
                <w:rStyle w:val="25"/>
                <w:bdr w:val="none" w:color="auto" w:sz="0" w:space="0"/>
                <w:lang w:val="en-US" w:eastAsia="zh-CN" w:bidi="ar"/>
              </w:rPr>
              <w:t>年度绩效指标完成情况</w:t>
            </w:r>
          </w:p>
        </w:tc>
        <w:tc>
          <w:tcPr>
            <w:tcW w:w="115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二级指标</w:t>
            </w:r>
          </w:p>
        </w:tc>
        <w:tc>
          <w:tcPr>
            <w:tcW w:w="2655"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三级指标</w:t>
            </w:r>
          </w:p>
        </w:tc>
        <w:tc>
          <w:tcPr>
            <w:tcW w:w="108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预期指标值</w:t>
            </w:r>
          </w:p>
        </w:tc>
        <w:tc>
          <w:tcPr>
            <w:tcW w:w="108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实际完成值</w:t>
            </w:r>
          </w:p>
        </w:tc>
        <w:tc>
          <w:tcPr>
            <w:tcW w:w="20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自评得分</w:t>
            </w:r>
          </w:p>
        </w:tc>
      </w:tr>
      <w:tr>
        <w:tblPrEx>
          <w:tblLayout w:type="fixed"/>
          <w:tblCellMar>
            <w:top w:w="0" w:type="dxa"/>
            <w:left w:w="0" w:type="dxa"/>
            <w:bottom w:w="0" w:type="dxa"/>
            <w:right w:w="0" w:type="dxa"/>
          </w:tblCellMar>
        </w:tblPrEx>
        <w:trPr>
          <w:trHeight w:val="420" w:hRule="atLeast"/>
        </w:trPr>
        <w:tc>
          <w:tcPr>
            <w:tcW w:w="121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50" w:type="dxa"/>
            <w:vMerge w:val="restart"/>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产出指标（50）</w:t>
            </w:r>
          </w:p>
        </w:tc>
        <w:tc>
          <w:tcPr>
            <w:tcW w:w="1080" w:type="dxa"/>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数量指标</w:t>
            </w:r>
          </w:p>
        </w:tc>
        <w:tc>
          <w:tcPr>
            <w:tcW w:w="2655"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购置燃气立方米数量</w:t>
            </w:r>
          </w:p>
        </w:tc>
        <w:tc>
          <w:tcPr>
            <w:tcW w:w="1080" w:type="dxa"/>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≥1500000立方米</w:t>
            </w:r>
          </w:p>
        </w:tc>
        <w:tc>
          <w:tcPr>
            <w:tcW w:w="108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1500000</w:t>
            </w:r>
          </w:p>
        </w:tc>
        <w:tc>
          <w:tcPr>
            <w:tcW w:w="20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10分</w:t>
            </w:r>
          </w:p>
        </w:tc>
      </w:tr>
      <w:tr>
        <w:tblPrEx>
          <w:shd w:val="clear"/>
          <w:tblLayout w:type="fixed"/>
          <w:tblCellMar>
            <w:top w:w="0" w:type="dxa"/>
            <w:left w:w="0" w:type="dxa"/>
            <w:bottom w:w="0" w:type="dxa"/>
            <w:right w:w="0" w:type="dxa"/>
          </w:tblCellMar>
        </w:tblPrEx>
        <w:trPr>
          <w:trHeight w:val="630" w:hRule="atLeast"/>
        </w:trPr>
        <w:tc>
          <w:tcPr>
            <w:tcW w:w="121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50"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质量指标</w:t>
            </w:r>
          </w:p>
        </w:tc>
        <w:tc>
          <w:tcPr>
            <w:tcW w:w="2655" w:type="dxa"/>
            <w:gridSpan w:val="2"/>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居民供热质量</w:t>
            </w:r>
          </w:p>
        </w:tc>
        <w:tc>
          <w:tcPr>
            <w:tcW w:w="108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居民供热质量全市排名前10名</w:t>
            </w:r>
          </w:p>
        </w:tc>
        <w:tc>
          <w:tcPr>
            <w:tcW w:w="1080" w:type="dxa"/>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满足</w:t>
            </w:r>
          </w:p>
        </w:tc>
        <w:tc>
          <w:tcPr>
            <w:tcW w:w="20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10分</w:t>
            </w:r>
          </w:p>
        </w:tc>
      </w:tr>
      <w:tr>
        <w:tblPrEx>
          <w:shd w:val="clear"/>
          <w:tblLayout w:type="fixed"/>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50"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时效指标</w:t>
            </w:r>
          </w:p>
        </w:tc>
        <w:tc>
          <w:tcPr>
            <w:tcW w:w="2655"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供热周期时间</w:t>
            </w:r>
          </w:p>
        </w:tc>
        <w:tc>
          <w:tcPr>
            <w:tcW w:w="1080" w:type="dxa"/>
            <w:tcBorders>
              <w:top w:val="nil"/>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=120天</w:t>
            </w:r>
          </w:p>
        </w:tc>
        <w:tc>
          <w:tcPr>
            <w:tcW w:w="108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120</w:t>
            </w:r>
            <w:r>
              <w:rPr>
                <w:rStyle w:val="26"/>
                <w:bdr w:val="none" w:color="auto" w:sz="0" w:space="0"/>
                <w:lang w:val="en-US" w:eastAsia="zh-CN" w:bidi="ar"/>
              </w:rPr>
              <w:t>天</w:t>
            </w:r>
          </w:p>
        </w:tc>
        <w:tc>
          <w:tcPr>
            <w:tcW w:w="20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10分</w:t>
            </w:r>
          </w:p>
        </w:tc>
      </w:tr>
      <w:tr>
        <w:tblPrEx>
          <w:tblLayout w:type="fixed"/>
          <w:tblCellMar>
            <w:top w:w="0" w:type="dxa"/>
            <w:left w:w="0" w:type="dxa"/>
            <w:bottom w:w="0" w:type="dxa"/>
            <w:right w:w="0" w:type="dxa"/>
          </w:tblCellMar>
        </w:tblPrEx>
        <w:trPr>
          <w:trHeight w:val="450" w:hRule="atLeast"/>
        </w:trPr>
        <w:tc>
          <w:tcPr>
            <w:tcW w:w="121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50"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成本指标</w:t>
            </w:r>
          </w:p>
        </w:tc>
        <w:tc>
          <w:tcPr>
            <w:tcW w:w="2655"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每立方米供暖补贴所需成本</w:t>
            </w:r>
          </w:p>
        </w:tc>
        <w:tc>
          <w:tcPr>
            <w:tcW w:w="108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’=2.348元/立方米</w:t>
            </w:r>
          </w:p>
        </w:tc>
        <w:tc>
          <w:tcPr>
            <w:tcW w:w="108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bdr w:val="none" w:color="auto" w:sz="0" w:space="0"/>
                <w:lang w:val="en-US" w:eastAsia="zh-CN" w:bidi="ar"/>
              </w:rPr>
              <w:t>2.348</w:t>
            </w:r>
          </w:p>
        </w:tc>
        <w:tc>
          <w:tcPr>
            <w:tcW w:w="20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10分</w:t>
            </w:r>
          </w:p>
        </w:tc>
      </w:tr>
      <w:tr>
        <w:tblPrEx>
          <w:shd w:val="clear"/>
          <w:tblLayout w:type="fixed"/>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50"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nil"/>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预算执行率</w:t>
            </w:r>
          </w:p>
        </w:tc>
        <w:tc>
          <w:tcPr>
            <w:tcW w:w="2655"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预算执行率</w:t>
            </w:r>
          </w:p>
        </w:tc>
        <w:tc>
          <w:tcPr>
            <w:tcW w:w="108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10分</w:t>
            </w:r>
          </w:p>
        </w:tc>
      </w:tr>
      <w:tr>
        <w:tblPrEx>
          <w:tblLayout w:type="fixed"/>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50" w:type="dxa"/>
            <w:vMerge w:val="restart"/>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效益指标（50）</w:t>
            </w:r>
          </w:p>
        </w:tc>
        <w:tc>
          <w:tcPr>
            <w:tcW w:w="1080" w:type="dxa"/>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经济效益指标</w:t>
            </w:r>
          </w:p>
        </w:tc>
        <w:tc>
          <w:tcPr>
            <w:tcW w:w="2655"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指标</w:t>
            </w:r>
            <w:r>
              <w:rPr>
                <w:rStyle w:val="27"/>
                <w:rFonts w:eastAsia="宋体"/>
                <w:bdr w:val="none" w:color="auto" w:sz="0" w:space="0"/>
                <w:lang w:val="en-US" w:eastAsia="zh-CN" w:bidi="ar"/>
              </w:rPr>
              <w:t xml:space="preserve"> </w:t>
            </w:r>
            <w:r>
              <w:rPr>
                <w:rStyle w:val="28"/>
                <w:bdr w:val="none" w:color="auto" w:sz="0" w:space="0"/>
                <w:lang w:val="en-US" w:eastAsia="zh-CN" w:bidi="ar"/>
              </w:rPr>
              <w:t>１</w:t>
            </w:r>
          </w:p>
        </w:tc>
        <w:tc>
          <w:tcPr>
            <w:tcW w:w="108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08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20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tblLayout w:type="fixed"/>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50"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社会效益指标</w:t>
            </w:r>
          </w:p>
        </w:tc>
        <w:tc>
          <w:tcPr>
            <w:tcW w:w="2655"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有效保障新区采暖期平稳过渡</w:t>
            </w:r>
          </w:p>
        </w:tc>
        <w:tc>
          <w:tcPr>
            <w:tcW w:w="108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有效保障</w:t>
            </w:r>
          </w:p>
        </w:tc>
        <w:tc>
          <w:tcPr>
            <w:tcW w:w="108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平稳过渡</w:t>
            </w:r>
          </w:p>
        </w:tc>
        <w:tc>
          <w:tcPr>
            <w:tcW w:w="20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50分</w:t>
            </w:r>
          </w:p>
        </w:tc>
      </w:tr>
      <w:tr>
        <w:tblPrEx>
          <w:shd w:val="clear"/>
          <w:tblLayout w:type="fixed"/>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50"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生态效益指标</w:t>
            </w:r>
          </w:p>
        </w:tc>
        <w:tc>
          <w:tcPr>
            <w:tcW w:w="2655"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25"/>
                <w:bdr w:val="none" w:color="auto" w:sz="0" w:space="0"/>
                <w:lang w:val="en-US" w:eastAsia="zh-CN" w:bidi="ar"/>
              </w:rPr>
              <w:t>指标</w:t>
            </w:r>
            <w:r>
              <w:rPr>
                <w:rFonts w:ascii="Calibri" w:hAnsi="Calibri" w:eastAsia="宋体" w:cs="Calibri"/>
                <w:i w:val="0"/>
                <w:color w:val="000000"/>
                <w:kern w:val="0"/>
                <w:sz w:val="16"/>
                <w:szCs w:val="16"/>
                <w:u w:val="none"/>
                <w:bdr w:val="none" w:color="auto" w:sz="0" w:space="0"/>
                <w:lang w:val="en-US" w:eastAsia="zh-CN" w:bidi="ar"/>
              </w:rPr>
              <w:t xml:space="preserve"> </w:t>
            </w:r>
            <w:r>
              <w:rPr>
                <w:rStyle w:val="29"/>
                <w:bdr w:val="none" w:color="auto" w:sz="0" w:space="0"/>
                <w:lang w:val="en-US" w:eastAsia="zh-CN" w:bidi="ar"/>
              </w:rPr>
              <w:t>１</w:t>
            </w:r>
          </w:p>
        </w:tc>
        <w:tc>
          <w:tcPr>
            <w:tcW w:w="108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08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20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Layout w:type="fixed"/>
          <w:tblCellMar>
            <w:top w:w="0" w:type="dxa"/>
            <w:left w:w="0" w:type="dxa"/>
            <w:bottom w:w="0" w:type="dxa"/>
            <w:right w:w="0" w:type="dxa"/>
          </w:tblCellMar>
        </w:tblPrEx>
        <w:trPr>
          <w:trHeight w:val="420" w:hRule="atLeast"/>
        </w:trPr>
        <w:tc>
          <w:tcPr>
            <w:tcW w:w="121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50"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可持续影响指标</w:t>
            </w:r>
          </w:p>
        </w:tc>
        <w:tc>
          <w:tcPr>
            <w:tcW w:w="2655"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25"/>
                <w:bdr w:val="none" w:color="auto" w:sz="0" w:space="0"/>
                <w:lang w:val="en-US" w:eastAsia="zh-CN" w:bidi="ar"/>
              </w:rPr>
              <w:t>指标</w:t>
            </w:r>
            <w:r>
              <w:rPr>
                <w:rFonts w:ascii="Calibri" w:hAnsi="Calibri" w:eastAsia="宋体" w:cs="Calibri"/>
                <w:i w:val="0"/>
                <w:color w:val="000000"/>
                <w:kern w:val="0"/>
                <w:sz w:val="16"/>
                <w:szCs w:val="16"/>
                <w:u w:val="none"/>
                <w:bdr w:val="none" w:color="auto" w:sz="0" w:space="0"/>
                <w:lang w:val="en-US" w:eastAsia="zh-CN" w:bidi="ar"/>
              </w:rPr>
              <w:t xml:space="preserve"> </w:t>
            </w:r>
            <w:r>
              <w:rPr>
                <w:rStyle w:val="29"/>
                <w:bdr w:val="none" w:color="auto" w:sz="0" w:space="0"/>
                <w:lang w:val="en-US" w:eastAsia="zh-CN" w:bidi="ar"/>
              </w:rPr>
              <w:t>１</w:t>
            </w:r>
          </w:p>
        </w:tc>
        <w:tc>
          <w:tcPr>
            <w:tcW w:w="108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08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20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shd w:val="clear"/>
          <w:tblLayout w:type="fixed"/>
          <w:tblCellMar>
            <w:top w:w="0" w:type="dxa"/>
            <w:left w:w="0" w:type="dxa"/>
            <w:bottom w:w="0" w:type="dxa"/>
            <w:right w:w="0" w:type="dxa"/>
          </w:tblCellMar>
        </w:tblPrEx>
        <w:trPr>
          <w:trHeight w:val="360" w:hRule="atLeast"/>
        </w:trPr>
        <w:tc>
          <w:tcPr>
            <w:tcW w:w="121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50"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满意度指标</w:t>
            </w:r>
          </w:p>
        </w:tc>
        <w:tc>
          <w:tcPr>
            <w:tcW w:w="2655"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25"/>
                <w:bdr w:val="none" w:color="auto" w:sz="0" w:space="0"/>
                <w:lang w:val="en-US" w:eastAsia="zh-CN" w:bidi="ar"/>
              </w:rPr>
              <w:t>指标</w:t>
            </w:r>
            <w:r>
              <w:rPr>
                <w:rFonts w:ascii="Calibri" w:hAnsi="Calibri" w:eastAsia="宋体" w:cs="Calibri"/>
                <w:i w:val="0"/>
                <w:color w:val="000000"/>
                <w:kern w:val="0"/>
                <w:sz w:val="16"/>
                <w:szCs w:val="16"/>
                <w:u w:val="none"/>
                <w:bdr w:val="none" w:color="auto" w:sz="0" w:space="0"/>
                <w:lang w:val="en-US" w:eastAsia="zh-CN" w:bidi="ar"/>
              </w:rPr>
              <w:t xml:space="preserve"> </w:t>
            </w:r>
            <w:r>
              <w:rPr>
                <w:rStyle w:val="29"/>
                <w:bdr w:val="none" w:color="auto" w:sz="0" w:space="0"/>
                <w:lang w:val="en-US" w:eastAsia="zh-CN" w:bidi="ar"/>
              </w:rPr>
              <w:t>１</w:t>
            </w:r>
          </w:p>
        </w:tc>
        <w:tc>
          <w:tcPr>
            <w:tcW w:w="108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108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c>
          <w:tcPr>
            <w:tcW w:w="20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default" w:ascii="Calibri" w:hAnsi="Calibri" w:eastAsia="宋体" w:cs="Calibri"/>
                <w:i w:val="0"/>
                <w:color w:val="000000"/>
                <w:sz w:val="21"/>
                <w:szCs w:val="21"/>
                <w:u w:val="none"/>
              </w:rPr>
            </w:pPr>
          </w:p>
        </w:tc>
      </w:tr>
      <w:tr>
        <w:tblPrEx>
          <w:tblLayout w:type="fixed"/>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045" w:type="dxa"/>
            <w:gridSpan w:val="6"/>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总分</w:t>
            </w:r>
          </w:p>
        </w:tc>
        <w:tc>
          <w:tcPr>
            <w:tcW w:w="20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100</w:t>
            </w:r>
            <w:r>
              <w:rPr>
                <w:rStyle w:val="26"/>
                <w:bdr w:val="none" w:color="auto" w:sz="0" w:space="0"/>
                <w:lang w:val="en-US" w:eastAsia="zh-CN" w:bidi="ar"/>
              </w:rPr>
              <w:t>分</w:t>
            </w:r>
          </w:p>
        </w:tc>
      </w:tr>
      <w:tr>
        <w:tblPrEx>
          <w:tblLayout w:type="fixed"/>
          <w:tblCellMar>
            <w:top w:w="0" w:type="dxa"/>
            <w:left w:w="0" w:type="dxa"/>
            <w:bottom w:w="0" w:type="dxa"/>
            <w:right w:w="0" w:type="dxa"/>
          </w:tblCellMar>
        </w:tblPrEx>
        <w:trPr>
          <w:trHeight w:val="735" w:hRule="atLeast"/>
        </w:trPr>
        <w:tc>
          <w:tcPr>
            <w:tcW w:w="1215" w:type="dxa"/>
            <w:tcBorders>
              <w:top w:val="nil"/>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五、</w:t>
            </w:r>
            <w:r>
              <w:rPr>
                <w:rFonts w:ascii="Calibri" w:hAnsi="Calibri" w:eastAsia="宋体" w:cs="Calibri"/>
                <w:i w:val="0"/>
                <w:color w:val="000000"/>
                <w:kern w:val="0"/>
                <w:sz w:val="16"/>
                <w:szCs w:val="16"/>
                <w:u w:val="none"/>
                <w:bdr w:val="none" w:color="auto" w:sz="0" w:space="0"/>
                <w:lang w:val="en-US" w:eastAsia="zh-CN" w:bidi="ar"/>
              </w:rPr>
              <w:t xml:space="preserve"> </w:t>
            </w:r>
            <w:r>
              <w:rPr>
                <w:rStyle w:val="25"/>
                <w:bdr w:val="none" w:color="auto" w:sz="0" w:space="0"/>
                <w:lang w:val="en-US" w:eastAsia="zh-CN" w:bidi="ar"/>
              </w:rPr>
              <w:t>存在问题、原因及下一步整改措施</w:t>
            </w:r>
          </w:p>
        </w:tc>
        <w:tc>
          <w:tcPr>
            <w:tcW w:w="9115" w:type="dxa"/>
            <w:gridSpan w:val="7"/>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无</w:t>
            </w:r>
          </w:p>
        </w:tc>
      </w:tr>
      <w:tr>
        <w:tblPrEx>
          <w:shd w:val="clear"/>
          <w:tblLayout w:type="fixed"/>
          <w:tblCellMar>
            <w:top w:w="0" w:type="dxa"/>
            <w:left w:w="0" w:type="dxa"/>
            <w:bottom w:w="0" w:type="dxa"/>
            <w:right w:w="0" w:type="dxa"/>
          </w:tblCellMar>
        </w:tblPrEx>
        <w:trPr>
          <w:trHeight w:val="270" w:hRule="atLeast"/>
        </w:trPr>
        <w:tc>
          <w:tcPr>
            <w:tcW w:w="1215" w:type="dxa"/>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填报人：</w:t>
            </w:r>
          </w:p>
        </w:tc>
        <w:tc>
          <w:tcPr>
            <w:tcW w:w="1150" w:type="dxa"/>
            <w:tcBorders>
              <w:top w:val="nil"/>
              <w:left w:val="nil"/>
              <w:bottom w:val="nil"/>
              <w:right w:val="nil"/>
            </w:tcBorders>
            <w:shd w:val="clear"/>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nil"/>
              <w:left w:val="nil"/>
              <w:bottom w:val="nil"/>
              <w:right w:val="nil"/>
            </w:tcBorders>
            <w:shd w:val="clear"/>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45" w:type="dxa"/>
            <w:tcBorders>
              <w:top w:val="nil"/>
              <w:left w:val="nil"/>
              <w:bottom w:val="nil"/>
              <w:right w:val="nil"/>
            </w:tcBorders>
            <w:shd w:val="clear"/>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410" w:type="dxa"/>
            <w:tcBorders>
              <w:top w:val="nil"/>
              <w:left w:val="nil"/>
              <w:bottom w:val="nil"/>
              <w:right w:val="nil"/>
            </w:tcBorders>
            <w:shd w:val="clear"/>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nil"/>
              <w:left w:val="nil"/>
              <w:bottom w:val="nil"/>
              <w:right w:val="nil"/>
            </w:tcBorders>
            <w:shd w:val="clear"/>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bdr w:val="none" w:color="auto" w:sz="0" w:space="0"/>
                <w:lang w:val="en-US" w:eastAsia="zh-CN" w:bidi="ar"/>
              </w:rPr>
              <w:t>联系电话：</w:t>
            </w:r>
          </w:p>
        </w:tc>
        <w:tc>
          <w:tcPr>
            <w:tcW w:w="2070" w:type="dxa"/>
            <w:tcBorders>
              <w:top w:val="nil"/>
              <w:left w:val="nil"/>
              <w:bottom w:val="nil"/>
              <w:right w:val="nil"/>
            </w:tcBorders>
            <w:shd w:val="clear"/>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bl>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pPr>
        <w:widowControl/>
        <w:spacing w:before="0" w:beforeLines="0" w:beforeAutospacing="0" w:after="0" w:afterLines="0" w:afterAutospacing="0" w:line="360" w:lineRule="auto"/>
        <w:ind w:firstLine="640" w:firstLineChars="200"/>
        <w:jc w:val="left"/>
        <w:rPr>
          <w:rFonts w:hint="default" w:ascii="Times New Roman" w:eastAsia="仿宋_GB2312"/>
          <w:sz w:val="32"/>
          <w:szCs w:val="32"/>
          <w:lang w:val="en-US" w:eastAsia="zh-CN"/>
        </w:rPr>
      </w:pPr>
      <w:r>
        <w:rPr>
          <w:rFonts w:hint="eastAsia" w:ascii="Times New Roman" w:eastAsia="仿宋_GB2312"/>
          <w:sz w:val="32"/>
          <w:szCs w:val="32"/>
          <w:lang w:val="en-US" w:eastAsia="zh-CN"/>
        </w:rPr>
        <w:t>无</w:t>
      </w:r>
    </w:p>
    <w:p>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1.本单位2024年度国有资本经营预算财政拨款支出决算表（公开08表）无相应收支，故空表列示。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C1BD605E-A992-4341-A3BE-52D6EED2A3FD}"/>
  </w:font>
  <w:font w:name="黑体">
    <w:panose1 w:val="02010609060101010101"/>
    <w:charset w:val="86"/>
    <w:family w:val="auto"/>
    <w:pitch w:val="default"/>
    <w:sig w:usb0="800002BF" w:usb1="38CF7CFA" w:usb2="00000016" w:usb3="00000000" w:csb0="00040001" w:csb1="00000000"/>
    <w:embedRegular r:id="rId2" w:fontKey="{AF93AE99-9DF7-49E5-AB4B-25D04717480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A7C2F18B-A1BE-46F8-806B-8787125E83C1}"/>
  </w:font>
  <w:font w:name="仿宋">
    <w:panose1 w:val="02010609060101010101"/>
    <w:charset w:val="86"/>
    <w:family w:val="modern"/>
    <w:pitch w:val="default"/>
    <w:sig w:usb0="800002BF" w:usb1="38CF7CFA" w:usb2="00000016" w:usb3="00000000" w:csb0="00040001" w:csb1="00000000"/>
    <w:embedRegular r:id="rId4" w:fontKey="{E3F770E3-4326-4703-999B-6B058C093113}"/>
  </w:font>
  <w:font w:name="Calibri Light">
    <w:panose1 w:val="020F0302020204030204"/>
    <w:charset w:val="00"/>
    <w:family w:val="auto"/>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0" w:usb1="00000000" w:usb2="00000000" w:usb3="00000000" w:csb0="00000000" w:csb1="00000000"/>
    <w:embedRegular r:id="rId5" w:fontKey="{C422AAF2-095F-4333-8423-5BEB623FD7AA}"/>
  </w:font>
  <w:font w:name="方正小标宋_GBK">
    <w:panose1 w:val="02000000000000000000"/>
    <w:charset w:val="86"/>
    <w:family w:val="script"/>
    <w:pitch w:val="default"/>
    <w:sig w:usb0="00000000" w:usb1="00000000" w:usb2="00000000" w:usb3="00000000" w:csb0="00000000" w:csb1="00000000"/>
    <w:embedRegular r:id="rId6" w:fontKey="{1501D411-3B69-4E0E-9FB5-B64D186EF788}"/>
  </w:font>
  <w:font w:name="仿宋_GB2312">
    <w:panose1 w:val="02010609030101010101"/>
    <w:charset w:val="86"/>
    <w:family w:val="auto"/>
    <w:pitch w:val="default"/>
    <w:sig w:usb0="00000000" w:usb1="00000000" w:usb2="00000000" w:usb3="00000000" w:csb0="00000000" w:csb1="00000000"/>
    <w:embedRegular r:id="rId7" w:fontKey="{8598DB0D-13E4-4930-A928-72C3F47270C0}"/>
  </w:font>
  <w:font w:name="ArialUnicodeMS">
    <w:altName w:val="Malgun Gothic"/>
    <w:panose1 w:val="00000000000000000000"/>
    <w:charset w:val="81"/>
    <w:family w:val="auto"/>
    <w:pitch w:val="default"/>
    <w:sig w:usb0="00000000" w:usb1="00000000" w:usb2="00000010" w:usb3="00000000" w:csb0="00080001" w:csb1="00000000"/>
    <w:embedRegular r:id="rId8" w:fontKey="{D5AB6729-337C-432B-9805-D4782B248BB1}"/>
  </w:font>
  <w:font w:name="方正仿宋_GB2312">
    <w:panose1 w:val="02000000000000000000"/>
    <w:charset w:val="86"/>
    <w:family w:val="auto"/>
    <w:pitch w:val="default"/>
    <w:sig w:usb0="00000000" w:usb1="00000000" w:usb2="00000000" w:usb3="00000000" w:csb0="00000000" w:csb1="00000000"/>
    <w:embedRegular r:id="rId9" w:fontKey="{D2F511EE-3498-4652-B5D9-BD87C360D032}"/>
  </w:font>
  <w:font w:name="FZFSK--GBK1-0">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Malgun Gothic">
    <w:panose1 w:val="020B0503020000020004"/>
    <w:charset w:val="81"/>
    <w:family w:val="auto"/>
    <w:pitch w:val="default"/>
    <w:sig w:usb0="9000002F" w:usb1="29D77CFB" w:usb2="00000012" w:usb3="00000000" w:csb0="00080001" w:csb1="00000000"/>
  </w:font>
  <w:font w:name="仿宋_GB2312">
    <w:panose1 w:val="02010609030101010101"/>
    <w:charset w:val="00"/>
    <w:family w:val="auto"/>
    <w:pitch w:val="default"/>
    <w:sig w:usb0="00000000" w:usb1="00000000" w:usb2="00000000" w:usb3="00000000" w:csb0="00000000" w:csb1="00000000"/>
  </w:font>
  <w:font w:name="方正小标宋_GBK">
    <w:panose1 w:val="02000000000000000000"/>
    <w:charset w:val="00"/>
    <w:family w:val="auto"/>
    <w:pitch w:val="default"/>
    <w:sig w:usb0="00000000" w:usb1="00000000" w:usb2="00000000" w:usb3="00000000" w:csb0="00000000" w:csb1="00000000"/>
    <w:embedRegular r:id="rId10" w:fontKey="{AC7CC3FF-5769-4DD5-87B9-BB1BE0D88CD4}"/>
  </w:font>
  <w:font w:name="Arial Unicode MS">
    <w:altName w:val="Arial"/>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EFF" w:usb1="C000785B" w:usb2="00000009" w:usb3="00000000" w:csb0="400001FF" w:csb1="FFFF0000"/>
  </w:font>
  <w:font w:name="TimesNewRomanPSMT">
    <w:altName w:val="Times New Roman"/>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pPr>
  </w:p>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B85990"/>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12A1"/>
    <w:rsid w:val="301430AF"/>
    <w:rsid w:val="30630612"/>
    <w:rsid w:val="308E59B0"/>
    <w:rsid w:val="30B10568"/>
    <w:rsid w:val="30E55DD3"/>
    <w:rsid w:val="30E60399"/>
    <w:rsid w:val="31356AA5"/>
    <w:rsid w:val="313E22F0"/>
    <w:rsid w:val="31B0194C"/>
    <w:rsid w:val="31CE17D1"/>
    <w:rsid w:val="32270449"/>
    <w:rsid w:val="323E4515"/>
    <w:rsid w:val="32766ECC"/>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A07D65"/>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054109"/>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B5430"/>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AE0F04"/>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0564AB"/>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Layout w:type="fixed"/>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character" w:customStyle="1" w:styleId="25">
    <w:name w:val="font61"/>
    <w:basedOn w:val="13"/>
    <w:uiPriority w:val="0"/>
    <w:rPr>
      <w:rFonts w:hint="eastAsia" w:ascii="宋体" w:hAnsi="宋体" w:eastAsia="宋体" w:cs="宋体"/>
      <w:color w:val="000000"/>
      <w:sz w:val="16"/>
      <w:szCs w:val="16"/>
      <w:u w:val="none"/>
    </w:rPr>
  </w:style>
  <w:style w:type="character" w:customStyle="1" w:styleId="26">
    <w:name w:val="font131"/>
    <w:basedOn w:val="13"/>
    <w:uiPriority w:val="0"/>
    <w:rPr>
      <w:rFonts w:hint="eastAsia" w:ascii="宋体" w:hAnsi="宋体" w:eastAsia="宋体" w:cs="宋体"/>
      <w:color w:val="000000"/>
      <w:sz w:val="21"/>
      <w:szCs w:val="21"/>
      <w:u w:val="none"/>
    </w:rPr>
  </w:style>
  <w:style w:type="character" w:customStyle="1" w:styleId="27">
    <w:name w:val="font81"/>
    <w:basedOn w:val="13"/>
    <w:uiPriority w:val="0"/>
    <w:rPr>
      <w:rFonts w:hint="default" w:ascii="Calibri" w:hAnsi="Calibri" w:cs="Calibri"/>
      <w:color w:val="000000"/>
      <w:sz w:val="16"/>
      <w:szCs w:val="16"/>
      <w:u w:val="none"/>
    </w:rPr>
  </w:style>
  <w:style w:type="character" w:customStyle="1" w:styleId="28">
    <w:name w:val="font141"/>
    <w:basedOn w:val="13"/>
    <w:uiPriority w:val="0"/>
    <w:rPr>
      <w:rFonts w:ascii="Arial Unicode MS" w:hAnsi="Arial Unicode MS" w:eastAsia="Arial Unicode MS" w:cs="Arial Unicode MS"/>
      <w:color w:val="000000"/>
      <w:sz w:val="16"/>
      <w:szCs w:val="16"/>
      <w:u w:val="none"/>
    </w:rPr>
  </w:style>
  <w:style w:type="character" w:customStyle="1" w:styleId="29">
    <w:name w:val="font151"/>
    <w:basedOn w:val="13"/>
    <w:uiPriority w:val="0"/>
    <w:rPr>
      <w:rFonts w:hint="default" w:ascii="Arial Unicode MS" w:hAnsi="Arial Unicode MS" w:eastAsia="Arial Unicode MS" w:cs="Arial Unicode MS"/>
      <w:color w:val="000000"/>
      <w:sz w:val="16"/>
      <w:szCs w:val="16"/>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5622.24</c:v>
                </c:pt>
                <c:pt idx="1">
                  <c:v>36972.38</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369723796.39</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1025054.09</c:v>
                </c:pt>
                <c:pt idx="1">
                  <c:v>368698742.3</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5622.24</c:v>
                </c:pt>
                <c:pt idx="1">
                  <c:v>5621.81</c:v>
                </c:pt>
                <c:pt idx="2">
                  <c:v>5372.24</c:v>
                </c:pt>
                <c:pt idx="3">
                  <c:v>5371.81</c:v>
                </c:pt>
                <c:pt idx="4">
                  <c:v>250</c:v>
                </c:pt>
                <c:pt idx="5">
                  <c:v>250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36972.38</c:v>
                </c:pt>
                <c:pt idx="1">
                  <c:v>36972.38</c:v>
                </c:pt>
                <c:pt idx="2">
                  <c:v>36099.97</c:v>
                </c:pt>
                <c:pt idx="3">
                  <c:v>36099.97</c:v>
                </c:pt>
                <c:pt idx="4">
                  <c:v>872.41</c:v>
                </c:pt>
                <c:pt idx="5">
                  <c:v>872.41</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37190.12</c:v>
                </c:pt>
                <c:pt idx="1">
                  <c:v>37190.12</c:v>
                </c:pt>
                <c:pt idx="2">
                  <c:v>17639.65</c:v>
                </c:pt>
                <c:pt idx="3">
                  <c:v>17639.65</c:v>
                </c:pt>
                <c:pt idx="4">
                  <c:v>19550.47</c:v>
                </c:pt>
                <c:pt idx="5">
                  <c:v>19550.47</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36972.38</c:v>
                </c:pt>
                <c:pt idx="1">
                  <c:v>36972.38</c:v>
                </c:pt>
                <c:pt idx="2">
                  <c:v>36099.97</c:v>
                </c:pt>
                <c:pt idx="3">
                  <c:v>36099.97</c:v>
                </c:pt>
                <c:pt idx="4">
                  <c:v>872.41</c:v>
                </c:pt>
                <c:pt idx="5">
                  <c:v>872.41</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0</c:v>
                </c:pt>
                <c:pt idx="5">
                  <c:v>0</c:v>
                </c:pt>
                <c:pt idx="6">
                  <c:v>0</c:v>
                </c:pt>
                <c:pt idx="7">
                  <c:v>0.98</c:v>
                </c:pt>
                <c:pt idx="8">
                  <c:v>0</c:v>
                </c:pt>
                <c:pt idx="9">
                  <c:v>0</c:v>
                </c:pt>
                <c:pt idx="10">
                  <c:v>6936.63</c:v>
                </c:pt>
                <c:pt idx="11">
                  <c:v>0</c:v>
                </c:pt>
                <c:pt idx="12">
                  <c:v>0</c:v>
                </c:pt>
                <c:pt idx="13">
                  <c:v>0</c:v>
                </c:pt>
                <c:pt idx="14">
                  <c:v>0</c:v>
                </c:pt>
                <c:pt idx="15">
                  <c:v>0</c:v>
                </c:pt>
                <c:pt idx="16">
                  <c:v>0</c:v>
                </c:pt>
                <c:pt idx="17">
                  <c:v>0</c:v>
                </c:pt>
                <c:pt idx="18">
                  <c:v>0</c:v>
                </c:pt>
                <c:pt idx="19">
                  <c:v>0</c:v>
                </c:pt>
                <c:pt idx="20">
                  <c:v>0</c:v>
                </c:pt>
                <c:pt idx="21">
                  <c:v>0</c:v>
                </c:pt>
                <c:pt idx="22">
                  <c:v>30034.78</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25</Pages>
  <Words>611</Words>
  <Characters>2169</Characters>
  <Lines>86</Lines>
  <Paragraphs>24</Paragraphs>
  <TotalTime>4</TotalTime>
  <ScaleCrop>false</ScaleCrop>
  <LinksUpToDate>false</LinksUpToDate>
  <CharactersWithSpaces>2170</CharactersWithSpaces>
  <Application>WPS Office_11.1.0.8840_F1E327BC-269C-435d-A152-05C5408002CA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Administrator</cp:lastModifiedBy>
  <cp:lastPrinted>2023-08-04T01:00:00Z</cp:lastPrinted>
  <dcterms:modified xsi:type="dcterms:W3CDTF">2025-09-18T08:32:35Z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2052-11.1.0.8840</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