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bookmarkStart w:id="0" w:name="_GoBack"/>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bookmarkEnd w:id="0"/>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303001</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：正定新区发展改革和审计局</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1C0D69A6">
      <w:pPr>
        <w:widowControl/>
        <w:spacing w:before="0" w:beforeLines="0" w:beforeAutospacing="0" w:after="0" w:afterLines="0" w:afterAutospacing="0" w:line="360" w:lineRule="auto"/>
        <w:jc w:val="center"/>
        <w:rPr>
          <w:rFonts w:hint="default" w:ascii="Times New Roman" w:eastAsia="方正小标宋_GBK"/>
          <w:sz w:val="72"/>
          <w:szCs w:val="72"/>
          <w:lang w:val="en-US" w:eastAsia="zh-CN"/>
        </w:rPr>
      </w:pPr>
      <w:r>
        <w:rPr>
          <w:rFonts w:ascii="Times New Roman" w:eastAsia="方正小标宋_GBK"/>
          <w:b w:val="0"/>
          <w:sz w:val="72"/>
          <w:szCs w:val="72"/>
        </w:rPr>
        <w:t>正定新区发展改革和审计局</w:t>
      </w:r>
      <w:r>
        <w:rPr>
          <w:rFonts w:hint="eastAsia" w:ascii="Times New Roman" w:eastAsia="方正小标宋_GBK"/>
          <w:b w:val="0"/>
          <w:sz w:val="72"/>
          <w:szCs w:val="72"/>
          <w:lang w:val="en-US" w:eastAsia="zh-CN"/>
        </w:rPr>
        <w:t>(本级)</w:t>
      </w:r>
    </w:p>
    <w:p w14:paraId="789CD1DE">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03039F6B">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正定新区发展改革和审计局(单位名称，加盖公章）</w:t>
      </w:r>
    </w:p>
    <w:p w14:paraId="1DD9AFA0">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val="en-US" w:eastAsia="zh-CN"/>
        </w:rPr>
        <w:t>十一</w:t>
      </w:r>
      <w:r>
        <w:rPr>
          <w:rFonts w:ascii="Times New Roman" w:eastAsia="楷体_GB2312"/>
          <w:b w:val="0"/>
          <w:sz w:val="44"/>
          <w:szCs w:val="44"/>
        </w:rPr>
        <w:t>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48536AC5">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14:paraId="0463692A">
      <w:pPr>
        <w:widowControl/>
        <w:spacing w:after="160" w:line="580" w:lineRule="exact"/>
        <w:ind w:firstLine="640" w:firstLineChars="200"/>
        <w:rPr>
          <w:rFonts w:ascii="Times New Roman" w:hAnsi="Times New Roman" w:eastAsia="黑体" w:cs="Times New Roman"/>
          <w:sz w:val="32"/>
          <w:szCs w:val="32"/>
        </w:rPr>
      </w:pPr>
    </w:p>
    <w:p w14:paraId="133B38E9">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第一部分部门概况</w:t>
      </w:r>
    </w:p>
    <w:p w14:paraId="130CE89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14:paraId="3BB3113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0424B205">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14:paraId="13664FA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00820C3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61BD936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718BB25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3116BC2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7740827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51A99EE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1A0747B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5CC0B9C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6D3F8795">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14:paraId="1787642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29BC54B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6984422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1DA20EC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65E3868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71EA1B4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5234907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4C6B50F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0411886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390227E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73DF8ACB">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2E3731F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第一部分部门概况</w:t>
      </w:r>
    </w:p>
    <w:p w14:paraId="5674806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14:paraId="1E732EB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sz w:val="32"/>
          <w:szCs w:val="32"/>
        </w:rPr>
        <w:t>1. 省、市重点建设项目管理，按照县发改局要求，组织填报《重点项目包联帮扶情况台账》，并按时保质完成省、市重点建设项目月报工作。积极谋划申请省、市重点建设项目 。为分包项目提供保姆式服务，定期与项目单位沟通并进行现场督导。2.完成新区固定资产投资项目入统及后续数据上报工作；对符合申请资金要求的项目积极申请中央资金、债券等资金。3.政府投资项目及国家规定由县区审批的投资项目审批，包括项目建议书审批、可行性研究报告审批、初步设计及概算审批等；企业投资的固定资产投资项目核准；企业投资建设的投资项目备案；固定资产投资项目立项过程中的节能评估和审查、社会稳定风险评估和审查、项目招标方案和不招标申请核准、环境影响评价审查。4.招商引资等相关职能。</w:t>
      </w:r>
    </w:p>
    <w:p w14:paraId="3AC6C5C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6456CB1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正定新区发展改革和审计局（本级）</w:t>
            </w:r>
          </w:p>
        </w:tc>
        <w:tc>
          <w:tcPr>
            <w:tcW w:w="2445" w:type="dxa"/>
          </w:tcPr>
          <w:p w14:paraId="2E443189">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AB629F3">
      <w:pPr>
        <w:ind w:firstLine="640" w:firstLineChars="200"/>
        <w:rPr>
          <w:rFonts w:hint="eastAsia" w:ascii="Times New Roman" w:hAnsi="Times New Roman" w:eastAsia="黑体" w:cs="Times New Roman"/>
          <w:sz w:val="32"/>
          <w:szCs w:val="32"/>
          <w:highlight w:val="yellow"/>
        </w:rPr>
      </w:pPr>
      <w:r>
        <w:rPr>
          <w:rFonts w:hint="eastAsia" w:ascii="Times New Roman" w:eastAsia="仿宋_GB2312"/>
          <w:sz w:val="32"/>
          <w:szCs w:val="32"/>
        </w:rPr>
        <w:t>我部门无二级预算单位，因此，正定新区发展改革和审计局 202</w:t>
      </w:r>
      <w:r>
        <w:rPr>
          <w:rFonts w:hint="eastAsia" w:ascii="Times New Roman" w:eastAsia="仿宋_GB2312"/>
          <w:sz w:val="32"/>
          <w:szCs w:val="32"/>
          <w:lang w:val="en-US" w:eastAsia="zh-CN"/>
        </w:rPr>
        <w:t>4</w:t>
      </w:r>
      <w:r>
        <w:rPr>
          <w:rFonts w:hint="eastAsia" w:ascii="Times New Roman" w:eastAsia="仿宋_GB2312"/>
          <w:sz w:val="32"/>
          <w:szCs w:val="32"/>
        </w:rPr>
        <w:t>年度部门决算即正定新区发展改革和审计局本级 202</w:t>
      </w:r>
      <w:r>
        <w:rPr>
          <w:rFonts w:hint="eastAsia" w:ascii="Times New Roman" w:eastAsia="仿宋_GB2312"/>
          <w:sz w:val="32"/>
          <w:szCs w:val="32"/>
          <w:lang w:val="en-US" w:eastAsia="zh-CN"/>
        </w:rPr>
        <w:t>4</w:t>
      </w:r>
      <w:r>
        <w:rPr>
          <w:rFonts w:hint="eastAsia" w:ascii="Times New Roman" w:eastAsia="仿宋_GB2312"/>
          <w:sz w:val="32"/>
          <w:szCs w:val="32"/>
        </w:rPr>
        <w:t xml:space="preserve"> 年度决算。</w:t>
      </w:r>
      <w:r>
        <w:rPr>
          <w:rFonts w:hint="eastAsia" w:ascii="Times New Roman" w:hAnsi="Times New Roman" w:eastAsia="黑体" w:cs="Times New Roman"/>
          <w:sz w:val="32"/>
          <w:szCs w:val="32"/>
          <w:highlight w:val="yellow"/>
        </w:rPr>
        <w:br w:type="page"/>
      </w:r>
    </w:p>
    <w:p w14:paraId="59E04545">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部门（单位）：正定新区发展改革和审计局</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493.71</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321.46</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270.59</w:t>
            </w: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270.59</w:t>
            </w: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172.25</w:t>
            </w: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764.30</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764.30</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764.30</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764.30</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部门（单位）：正定新区发展改革和审计局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764.30</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764.30</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321.46</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321.46</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70711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C0B608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533F90C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53F03A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29.33</w:t>
            </w:r>
          </w:p>
        </w:tc>
        <w:tc>
          <w:tcPr>
            <w:tcW w:w="1037" w:type="dxa"/>
            <w:tcBorders>
              <w:top w:val="nil"/>
              <w:left w:val="nil"/>
              <w:bottom w:val="single" w:color="000000" w:sz="4" w:space="0"/>
              <w:right w:val="single" w:color="000000" w:sz="4" w:space="0"/>
            </w:tcBorders>
            <w:noWrap/>
            <w:vAlign w:val="center"/>
          </w:tcPr>
          <w:p w14:paraId="5E3397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29.33</w:t>
            </w:r>
          </w:p>
        </w:tc>
        <w:tc>
          <w:tcPr>
            <w:tcW w:w="1037" w:type="dxa"/>
            <w:tcBorders>
              <w:top w:val="nil"/>
              <w:left w:val="nil"/>
              <w:bottom w:val="single" w:color="000000" w:sz="4" w:space="0"/>
              <w:right w:val="single" w:color="000000" w:sz="4" w:space="0"/>
            </w:tcBorders>
            <w:noWrap/>
            <w:vAlign w:val="center"/>
          </w:tcPr>
          <w:p w14:paraId="058FB2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697A2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7384A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1F3CA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2CBD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CB434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C9A71B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14:paraId="22407B5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229EED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29.33</w:t>
            </w:r>
          </w:p>
        </w:tc>
        <w:tc>
          <w:tcPr>
            <w:tcW w:w="1037" w:type="dxa"/>
            <w:tcBorders>
              <w:top w:val="nil"/>
              <w:left w:val="nil"/>
              <w:bottom w:val="single" w:color="000000" w:sz="4" w:space="0"/>
              <w:right w:val="single" w:color="000000" w:sz="4" w:space="0"/>
            </w:tcBorders>
            <w:noWrap/>
            <w:vAlign w:val="center"/>
          </w:tcPr>
          <w:p w14:paraId="38EB6C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29.33</w:t>
            </w:r>
          </w:p>
        </w:tc>
        <w:tc>
          <w:tcPr>
            <w:tcW w:w="1037" w:type="dxa"/>
            <w:tcBorders>
              <w:top w:val="nil"/>
              <w:left w:val="nil"/>
              <w:bottom w:val="single" w:color="000000" w:sz="4" w:space="0"/>
              <w:right w:val="single" w:color="000000" w:sz="4" w:space="0"/>
            </w:tcBorders>
            <w:noWrap/>
            <w:vAlign w:val="center"/>
          </w:tcPr>
          <w:p w14:paraId="1711FF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A075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02553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F0D88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310F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A9F31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B3DB82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20104</w:t>
            </w:r>
          </w:p>
        </w:tc>
        <w:tc>
          <w:tcPr>
            <w:tcW w:w="1160" w:type="dxa"/>
            <w:tcBorders>
              <w:top w:val="nil"/>
              <w:left w:val="nil"/>
              <w:bottom w:val="single" w:color="000000" w:sz="4" w:space="0"/>
              <w:right w:val="single" w:color="000000" w:sz="4" w:space="0"/>
            </w:tcBorders>
            <w:noWrap/>
            <w:vAlign w:val="center"/>
          </w:tcPr>
          <w:p w14:paraId="39104D0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发展与改革事务</w:t>
            </w:r>
          </w:p>
        </w:tc>
        <w:tc>
          <w:tcPr>
            <w:tcW w:w="1037" w:type="dxa"/>
            <w:tcBorders>
              <w:top w:val="nil"/>
              <w:left w:val="nil"/>
              <w:bottom w:val="single" w:color="000000" w:sz="4" w:space="0"/>
              <w:right w:val="single" w:color="000000" w:sz="4" w:space="0"/>
            </w:tcBorders>
            <w:noWrap/>
            <w:vAlign w:val="center"/>
          </w:tcPr>
          <w:p w14:paraId="533214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185.14</w:t>
            </w:r>
          </w:p>
        </w:tc>
        <w:tc>
          <w:tcPr>
            <w:tcW w:w="1037" w:type="dxa"/>
            <w:tcBorders>
              <w:top w:val="nil"/>
              <w:left w:val="nil"/>
              <w:bottom w:val="single" w:color="000000" w:sz="4" w:space="0"/>
              <w:right w:val="single" w:color="000000" w:sz="4" w:space="0"/>
            </w:tcBorders>
            <w:noWrap/>
            <w:vAlign w:val="center"/>
          </w:tcPr>
          <w:p w14:paraId="51D0C8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185.14</w:t>
            </w:r>
          </w:p>
        </w:tc>
        <w:tc>
          <w:tcPr>
            <w:tcW w:w="1037" w:type="dxa"/>
            <w:tcBorders>
              <w:top w:val="nil"/>
              <w:left w:val="nil"/>
              <w:bottom w:val="single" w:color="000000" w:sz="4" w:space="0"/>
              <w:right w:val="single" w:color="000000" w:sz="4" w:space="0"/>
            </w:tcBorders>
            <w:noWrap/>
            <w:vAlign w:val="center"/>
          </w:tcPr>
          <w:p w14:paraId="7D87DC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09F0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6DC63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0D877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E796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1F2C6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4D3E97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2010401</w:t>
            </w:r>
          </w:p>
        </w:tc>
        <w:tc>
          <w:tcPr>
            <w:tcW w:w="1160" w:type="dxa"/>
            <w:tcBorders>
              <w:top w:val="nil"/>
              <w:left w:val="nil"/>
              <w:bottom w:val="single" w:color="000000" w:sz="4" w:space="0"/>
              <w:right w:val="single" w:color="000000" w:sz="4" w:space="0"/>
            </w:tcBorders>
            <w:noWrap/>
            <w:vAlign w:val="center"/>
          </w:tcPr>
          <w:p w14:paraId="21E7A28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187B1F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3.53</w:t>
            </w:r>
          </w:p>
        </w:tc>
        <w:tc>
          <w:tcPr>
            <w:tcW w:w="1037" w:type="dxa"/>
            <w:tcBorders>
              <w:top w:val="nil"/>
              <w:left w:val="nil"/>
              <w:bottom w:val="single" w:color="000000" w:sz="4" w:space="0"/>
              <w:right w:val="single" w:color="000000" w:sz="4" w:space="0"/>
            </w:tcBorders>
            <w:noWrap/>
            <w:vAlign w:val="center"/>
          </w:tcPr>
          <w:p w14:paraId="148F8F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3.53</w:t>
            </w:r>
          </w:p>
        </w:tc>
        <w:tc>
          <w:tcPr>
            <w:tcW w:w="1037" w:type="dxa"/>
            <w:tcBorders>
              <w:top w:val="nil"/>
              <w:left w:val="nil"/>
              <w:bottom w:val="single" w:color="000000" w:sz="4" w:space="0"/>
              <w:right w:val="single" w:color="000000" w:sz="4" w:space="0"/>
            </w:tcBorders>
            <w:noWrap/>
            <w:vAlign w:val="center"/>
          </w:tcPr>
          <w:p w14:paraId="33DA06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C67D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8AE86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B0E69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B027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AC061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24C039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2010499</w:t>
            </w:r>
          </w:p>
        </w:tc>
        <w:tc>
          <w:tcPr>
            <w:tcW w:w="1160" w:type="dxa"/>
            <w:tcBorders>
              <w:top w:val="nil"/>
              <w:left w:val="nil"/>
              <w:bottom w:val="single" w:color="000000" w:sz="4" w:space="0"/>
              <w:right w:val="single" w:color="000000" w:sz="4" w:space="0"/>
            </w:tcBorders>
            <w:noWrap/>
            <w:vAlign w:val="center"/>
          </w:tcPr>
          <w:p w14:paraId="3EE4B21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其他发展与改革事务支出</w:t>
            </w:r>
          </w:p>
        </w:tc>
        <w:tc>
          <w:tcPr>
            <w:tcW w:w="1037" w:type="dxa"/>
            <w:tcBorders>
              <w:top w:val="nil"/>
              <w:left w:val="nil"/>
              <w:bottom w:val="single" w:color="000000" w:sz="4" w:space="0"/>
              <w:right w:val="single" w:color="000000" w:sz="4" w:space="0"/>
            </w:tcBorders>
            <w:noWrap/>
            <w:vAlign w:val="center"/>
          </w:tcPr>
          <w:p w14:paraId="3AB7CE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181.62</w:t>
            </w:r>
          </w:p>
        </w:tc>
        <w:tc>
          <w:tcPr>
            <w:tcW w:w="1037" w:type="dxa"/>
            <w:tcBorders>
              <w:top w:val="nil"/>
              <w:left w:val="nil"/>
              <w:bottom w:val="single" w:color="000000" w:sz="4" w:space="0"/>
              <w:right w:val="single" w:color="000000" w:sz="4" w:space="0"/>
            </w:tcBorders>
            <w:noWrap/>
            <w:vAlign w:val="center"/>
          </w:tcPr>
          <w:p w14:paraId="338C22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181.62</w:t>
            </w:r>
          </w:p>
        </w:tc>
        <w:tc>
          <w:tcPr>
            <w:tcW w:w="1037" w:type="dxa"/>
            <w:tcBorders>
              <w:top w:val="nil"/>
              <w:left w:val="nil"/>
              <w:bottom w:val="single" w:color="000000" w:sz="4" w:space="0"/>
              <w:right w:val="single" w:color="000000" w:sz="4" w:space="0"/>
            </w:tcBorders>
            <w:noWrap/>
            <w:vAlign w:val="center"/>
          </w:tcPr>
          <w:p w14:paraId="1E2F9C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5335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CAA5B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11042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0DA22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0D086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65B26C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20199</w:t>
            </w:r>
          </w:p>
        </w:tc>
        <w:tc>
          <w:tcPr>
            <w:tcW w:w="1160" w:type="dxa"/>
            <w:tcBorders>
              <w:top w:val="nil"/>
              <w:left w:val="nil"/>
              <w:bottom w:val="single" w:color="000000" w:sz="4" w:space="0"/>
              <w:right w:val="single" w:color="000000" w:sz="4" w:space="0"/>
            </w:tcBorders>
            <w:noWrap/>
            <w:vAlign w:val="center"/>
          </w:tcPr>
          <w:p w14:paraId="42C5702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其他一般公共服务支出</w:t>
            </w:r>
          </w:p>
        </w:tc>
        <w:tc>
          <w:tcPr>
            <w:tcW w:w="1037" w:type="dxa"/>
            <w:tcBorders>
              <w:top w:val="nil"/>
              <w:left w:val="nil"/>
              <w:bottom w:val="single" w:color="000000" w:sz="4" w:space="0"/>
              <w:right w:val="single" w:color="000000" w:sz="4" w:space="0"/>
            </w:tcBorders>
            <w:noWrap/>
            <w:vAlign w:val="center"/>
          </w:tcPr>
          <w:p w14:paraId="1CC44A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106.99</w:t>
            </w:r>
          </w:p>
        </w:tc>
        <w:tc>
          <w:tcPr>
            <w:tcW w:w="1037" w:type="dxa"/>
            <w:tcBorders>
              <w:top w:val="nil"/>
              <w:left w:val="nil"/>
              <w:bottom w:val="single" w:color="000000" w:sz="4" w:space="0"/>
              <w:right w:val="single" w:color="000000" w:sz="4" w:space="0"/>
            </w:tcBorders>
            <w:noWrap/>
            <w:vAlign w:val="center"/>
          </w:tcPr>
          <w:p w14:paraId="012A7A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106.99</w:t>
            </w:r>
          </w:p>
        </w:tc>
        <w:tc>
          <w:tcPr>
            <w:tcW w:w="1037" w:type="dxa"/>
            <w:tcBorders>
              <w:top w:val="nil"/>
              <w:left w:val="nil"/>
              <w:bottom w:val="single" w:color="000000" w:sz="4" w:space="0"/>
              <w:right w:val="single" w:color="000000" w:sz="4" w:space="0"/>
            </w:tcBorders>
            <w:noWrap/>
            <w:vAlign w:val="center"/>
          </w:tcPr>
          <w:p w14:paraId="67287F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EDBD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800E7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33C46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840F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AFC88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AA5BE2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2019999</w:t>
            </w:r>
          </w:p>
        </w:tc>
        <w:tc>
          <w:tcPr>
            <w:tcW w:w="1160" w:type="dxa"/>
            <w:tcBorders>
              <w:top w:val="nil"/>
              <w:left w:val="nil"/>
              <w:bottom w:val="single" w:color="000000" w:sz="4" w:space="0"/>
              <w:right w:val="single" w:color="000000" w:sz="4" w:space="0"/>
            </w:tcBorders>
            <w:noWrap/>
            <w:vAlign w:val="center"/>
          </w:tcPr>
          <w:p w14:paraId="02F6738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其他一般公共服务支出</w:t>
            </w:r>
          </w:p>
        </w:tc>
        <w:tc>
          <w:tcPr>
            <w:tcW w:w="1037" w:type="dxa"/>
            <w:tcBorders>
              <w:top w:val="nil"/>
              <w:left w:val="nil"/>
              <w:bottom w:val="single" w:color="000000" w:sz="4" w:space="0"/>
              <w:right w:val="single" w:color="000000" w:sz="4" w:space="0"/>
            </w:tcBorders>
            <w:noWrap/>
            <w:vAlign w:val="center"/>
          </w:tcPr>
          <w:p w14:paraId="395AA1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106.99</w:t>
            </w:r>
          </w:p>
        </w:tc>
        <w:tc>
          <w:tcPr>
            <w:tcW w:w="1037" w:type="dxa"/>
            <w:tcBorders>
              <w:top w:val="nil"/>
              <w:left w:val="nil"/>
              <w:bottom w:val="single" w:color="000000" w:sz="4" w:space="0"/>
              <w:right w:val="single" w:color="000000" w:sz="4" w:space="0"/>
            </w:tcBorders>
            <w:noWrap/>
            <w:vAlign w:val="center"/>
          </w:tcPr>
          <w:p w14:paraId="2CDBEB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106.99</w:t>
            </w:r>
          </w:p>
        </w:tc>
        <w:tc>
          <w:tcPr>
            <w:tcW w:w="1037" w:type="dxa"/>
            <w:tcBorders>
              <w:top w:val="nil"/>
              <w:left w:val="nil"/>
              <w:bottom w:val="single" w:color="000000" w:sz="4" w:space="0"/>
              <w:right w:val="single" w:color="000000" w:sz="4" w:space="0"/>
            </w:tcBorders>
            <w:noWrap/>
            <w:vAlign w:val="center"/>
          </w:tcPr>
          <w:p w14:paraId="71B63D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9CCC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1F80D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0766A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517E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B3655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F34E9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108A5B6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349EC0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270.59</w:t>
            </w:r>
          </w:p>
        </w:tc>
        <w:tc>
          <w:tcPr>
            <w:tcW w:w="1037" w:type="dxa"/>
            <w:tcBorders>
              <w:top w:val="nil"/>
              <w:left w:val="nil"/>
              <w:bottom w:val="single" w:color="000000" w:sz="4" w:space="0"/>
              <w:right w:val="single" w:color="000000" w:sz="4" w:space="0"/>
            </w:tcBorders>
            <w:noWrap/>
            <w:vAlign w:val="center"/>
          </w:tcPr>
          <w:p w14:paraId="69D1E1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270.59</w:t>
            </w:r>
          </w:p>
        </w:tc>
        <w:tc>
          <w:tcPr>
            <w:tcW w:w="1037" w:type="dxa"/>
            <w:tcBorders>
              <w:top w:val="nil"/>
              <w:left w:val="nil"/>
              <w:bottom w:val="single" w:color="000000" w:sz="4" w:space="0"/>
              <w:right w:val="single" w:color="000000" w:sz="4" w:space="0"/>
            </w:tcBorders>
            <w:noWrap/>
            <w:vAlign w:val="center"/>
          </w:tcPr>
          <w:p w14:paraId="29CAEF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0447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BD402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D1848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4BB02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357C1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09DFDB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14:paraId="5A23416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14:paraId="4F9C1B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270.59</w:t>
            </w:r>
          </w:p>
        </w:tc>
        <w:tc>
          <w:tcPr>
            <w:tcW w:w="1037" w:type="dxa"/>
            <w:tcBorders>
              <w:top w:val="nil"/>
              <w:left w:val="nil"/>
              <w:bottom w:val="single" w:color="000000" w:sz="4" w:space="0"/>
              <w:right w:val="single" w:color="000000" w:sz="4" w:space="0"/>
            </w:tcBorders>
            <w:noWrap/>
            <w:vAlign w:val="center"/>
          </w:tcPr>
          <w:p w14:paraId="15FFA0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270.59</w:t>
            </w:r>
          </w:p>
        </w:tc>
        <w:tc>
          <w:tcPr>
            <w:tcW w:w="1037" w:type="dxa"/>
            <w:tcBorders>
              <w:top w:val="nil"/>
              <w:left w:val="nil"/>
              <w:bottom w:val="single" w:color="000000" w:sz="4" w:space="0"/>
              <w:right w:val="single" w:color="000000" w:sz="4" w:space="0"/>
            </w:tcBorders>
            <w:noWrap/>
            <w:vAlign w:val="center"/>
          </w:tcPr>
          <w:p w14:paraId="07D64B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15E6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CFB20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D0175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50D14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F363D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8EE459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2120899</w:t>
            </w:r>
          </w:p>
        </w:tc>
        <w:tc>
          <w:tcPr>
            <w:tcW w:w="1160" w:type="dxa"/>
            <w:tcBorders>
              <w:top w:val="nil"/>
              <w:left w:val="nil"/>
              <w:bottom w:val="single" w:color="000000" w:sz="4" w:space="0"/>
              <w:right w:val="single" w:color="000000" w:sz="4" w:space="0"/>
            </w:tcBorders>
            <w:noWrap/>
            <w:vAlign w:val="center"/>
          </w:tcPr>
          <w:p w14:paraId="45BAB1F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其他国有土地使用权出让收入安排的支出</w:t>
            </w:r>
          </w:p>
        </w:tc>
        <w:tc>
          <w:tcPr>
            <w:tcW w:w="1037" w:type="dxa"/>
            <w:tcBorders>
              <w:top w:val="nil"/>
              <w:left w:val="nil"/>
              <w:bottom w:val="single" w:color="000000" w:sz="4" w:space="0"/>
              <w:right w:val="single" w:color="000000" w:sz="4" w:space="0"/>
            </w:tcBorders>
            <w:noWrap/>
            <w:vAlign w:val="center"/>
          </w:tcPr>
          <w:p w14:paraId="0D48C3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270.59</w:t>
            </w:r>
          </w:p>
        </w:tc>
        <w:tc>
          <w:tcPr>
            <w:tcW w:w="1037" w:type="dxa"/>
            <w:tcBorders>
              <w:top w:val="nil"/>
              <w:left w:val="nil"/>
              <w:bottom w:val="single" w:color="000000" w:sz="4" w:space="0"/>
              <w:right w:val="single" w:color="000000" w:sz="4" w:space="0"/>
            </w:tcBorders>
            <w:noWrap/>
            <w:vAlign w:val="center"/>
          </w:tcPr>
          <w:p w14:paraId="3D5054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270.59</w:t>
            </w:r>
          </w:p>
        </w:tc>
        <w:tc>
          <w:tcPr>
            <w:tcW w:w="1037" w:type="dxa"/>
            <w:tcBorders>
              <w:top w:val="nil"/>
              <w:left w:val="nil"/>
              <w:bottom w:val="single" w:color="000000" w:sz="4" w:space="0"/>
              <w:right w:val="single" w:color="000000" w:sz="4" w:space="0"/>
            </w:tcBorders>
            <w:noWrap/>
            <w:vAlign w:val="center"/>
          </w:tcPr>
          <w:p w14:paraId="6978D4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11E17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9D3E6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E2670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F87C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4AB79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AEF3A3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w:t>
            </w:r>
          </w:p>
        </w:tc>
        <w:tc>
          <w:tcPr>
            <w:tcW w:w="1160" w:type="dxa"/>
            <w:tcBorders>
              <w:top w:val="nil"/>
              <w:left w:val="nil"/>
              <w:bottom w:val="single" w:color="000000" w:sz="4" w:space="0"/>
              <w:right w:val="single" w:color="000000" w:sz="4" w:space="0"/>
            </w:tcBorders>
            <w:noWrap/>
            <w:vAlign w:val="center"/>
          </w:tcPr>
          <w:p w14:paraId="4AE56BC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14:paraId="6BBD42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172.25</w:t>
            </w:r>
          </w:p>
        </w:tc>
        <w:tc>
          <w:tcPr>
            <w:tcW w:w="1037" w:type="dxa"/>
            <w:tcBorders>
              <w:top w:val="nil"/>
              <w:left w:val="nil"/>
              <w:bottom w:val="single" w:color="000000" w:sz="4" w:space="0"/>
              <w:right w:val="single" w:color="000000" w:sz="4" w:space="0"/>
            </w:tcBorders>
            <w:noWrap/>
            <w:vAlign w:val="center"/>
          </w:tcPr>
          <w:p w14:paraId="13C1AD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172.25</w:t>
            </w:r>
          </w:p>
        </w:tc>
        <w:tc>
          <w:tcPr>
            <w:tcW w:w="1037" w:type="dxa"/>
            <w:tcBorders>
              <w:top w:val="nil"/>
              <w:left w:val="nil"/>
              <w:bottom w:val="single" w:color="000000" w:sz="4" w:space="0"/>
              <w:right w:val="single" w:color="000000" w:sz="4" w:space="0"/>
            </w:tcBorders>
            <w:noWrap/>
            <w:vAlign w:val="center"/>
          </w:tcPr>
          <w:p w14:paraId="0171CE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1318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5AF72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B8667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8514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4010B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E2BA68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22999</w:t>
            </w:r>
          </w:p>
        </w:tc>
        <w:tc>
          <w:tcPr>
            <w:tcW w:w="1160" w:type="dxa"/>
            <w:tcBorders>
              <w:top w:val="nil"/>
              <w:left w:val="nil"/>
              <w:bottom w:val="single" w:color="000000" w:sz="4" w:space="0"/>
              <w:right w:val="single" w:color="000000" w:sz="4" w:space="0"/>
            </w:tcBorders>
            <w:noWrap/>
            <w:vAlign w:val="center"/>
          </w:tcPr>
          <w:p w14:paraId="4FA3EC6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14:paraId="529F09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172.25</w:t>
            </w:r>
          </w:p>
        </w:tc>
        <w:tc>
          <w:tcPr>
            <w:tcW w:w="1037" w:type="dxa"/>
            <w:tcBorders>
              <w:top w:val="nil"/>
              <w:left w:val="nil"/>
              <w:bottom w:val="single" w:color="000000" w:sz="4" w:space="0"/>
              <w:right w:val="single" w:color="000000" w:sz="4" w:space="0"/>
            </w:tcBorders>
            <w:noWrap/>
            <w:vAlign w:val="center"/>
          </w:tcPr>
          <w:p w14:paraId="7C68EC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172.25</w:t>
            </w:r>
          </w:p>
        </w:tc>
        <w:tc>
          <w:tcPr>
            <w:tcW w:w="1037" w:type="dxa"/>
            <w:tcBorders>
              <w:top w:val="nil"/>
              <w:left w:val="nil"/>
              <w:bottom w:val="single" w:color="000000" w:sz="4" w:space="0"/>
              <w:right w:val="single" w:color="000000" w:sz="4" w:space="0"/>
            </w:tcBorders>
            <w:noWrap/>
            <w:vAlign w:val="center"/>
          </w:tcPr>
          <w:p w14:paraId="6B8E57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10DC6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E7501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2142D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4378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C7949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A17FE9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2299999</w:t>
            </w:r>
          </w:p>
        </w:tc>
        <w:tc>
          <w:tcPr>
            <w:tcW w:w="1160" w:type="dxa"/>
            <w:tcBorders>
              <w:top w:val="nil"/>
              <w:left w:val="nil"/>
              <w:bottom w:val="single" w:color="000000" w:sz="4" w:space="0"/>
              <w:right w:val="single" w:color="000000" w:sz="4" w:space="0"/>
            </w:tcBorders>
            <w:noWrap/>
            <w:vAlign w:val="center"/>
          </w:tcPr>
          <w:p w14:paraId="1C4B468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14:paraId="2A2C56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172.25</w:t>
            </w:r>
          </w:p>
        </w:tc>
        <w:tc>
          <w:tcPr>
            <w:tcW w:w="1037" w:type="dxa"/>
            <w:tcBorders>
              <w:top w:val="nil"/>
              <w:left w:val="nil"/>
              <w:bottom w:val="single" w:color="000000" w:sz="4" w:space="0"/>
              <w:right w:val="single" w:color="000000" w:sz="4" w:space="0"/>
            </w:tcBorders>
            <w:noWrap/>
            <w:vAlign w:val="center"/>
          </w:tcPr>
          <w:p w14:paraId="0AAEDC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172.25</w:t>
            </w:r>
          </w:p>
        </w:tc>
        <w:tc>
          <w:tcPr>
            <w:tcW w:w="1037" w:type="dxa"/>
            <w:tcBorders>
              <w:top w:val="nil"/>
              <w:left w:val="nil"/>
              <w:bottom w:val="single" w:color="000000" w:sz="4" w:space="0"/>
              <w:right w:val="single" w:color="000000" w:sz="4" w:space="0"/>
            </w:tcBorders>
            <w:noWrap/>
            <w:vAlign w:val="center"/>
          </w:tcPr>
          <w:p w14:paraId="788BEC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0FFBD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1889E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1024C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6F5E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部门（单位）：正定新区发展改革和审计局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764.30</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2.94</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761.36</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321.46</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2.94</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318.52</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6BA486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8EB72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0618AE7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43A9D7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29.33</w:t>
            </w:r>
          </w:p>
        </w:tc>
        <w:tc>
          <w:tcPr>
            <w:tcW w:w="602" w:type="pct"/>
            <w:gridSpan w:val="2"/>
            <w:tcBorders>
              <w:top w:val="nil"/>
              <w:left w:val="nil"/>
              <w:bottom w:val="single" w:color="000000" w:sz="4" w:space="0"/>
              <w:right w:val="single" w:color="000000" w:sz="4" w:space="0"/>
            </w:tcBorders>
            <w:noWrap/>
            <w:vAlign w:val="center"/>
          </w:tcPr>
          <w:p w14:paraId="3CF9822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0C2F4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29.33</w:t>
            </w:r>
          </w:p>
        </w:tc>
        <w:tc>
          <w:tcPr>
            <w:tcW w:w="602" w:type="pct"/>
            <w:gridSpan w:val="2"/>
            <w:tcBorders>
              <w:top w:val="nil"/>
              <w:left w:val="nil"/>
              <w:bottom w:val="single" w:color="000000" w:sz="4" w:space="0"/>
              <w:right w:val="single" w:color="000000" w:sz="4" w:space="0"/>
            </w:tcBorders>
            <w:noWrap/>
            <w:vAlign w:val="center"/>
          </w:tcPr>
          <w:p w14:paraId="1FDC91C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459145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F10A4EE">
            <w:pPr>
              <w:jc w:val="right"/>
              <w:rPr>
                <w:rFonts w:hint="default" w:ascii="Times New Roman" w:hAnsi="Times New Roman" w:eastAsia="宋体" w:cs="Times New Roman"/>
                <w:i w:val="0"/>
                <w:iCs w:val="0"/>
                <w:color w:val="000000"/>
                <w:sz w:val="20"/>
                <w:szCs w:val="20"/>
                <w:highlight w:val="none"/>
                <w:u w:val="none"/>
              </w:rPr>
            </w:pPr>
          </w:p>
        </w:tc>
      </w:tr>
      <w:tr w14:paraId="0A2878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ECF5C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14:paraId="07A2DE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0B2CD5A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29.33</w:t>
            </w:r>
          </w:p>
        </w:tc>
        <w:tc>
          <w:tcPr>
            <w:tcW w:w="602" w:type="pct"/>
            <w:gridSpan w:val="2"/>
            <w:tcBorders>
              <w:top w:val="nil"/>
              <w:left w:val="nil"/>
              <w:bottom w:val="single" w:color="000000" w:sz="4" w:space="0"/>
              <w:right w:val="single" w:color="000000" w:sz="4" w:space="0"/>
            </w:tcBorders>
            <w:noWrap/>
            <w:vAlign w:val="center"/>
          </w:tcPr>
          <w:p w14:paraId="7DACE21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A411E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29.33</w:t>
            </w:r>
          </w:p>
        </w:tc>
        <w:tc>
          <w:tcPr>
            <w:tcW w:w="602" w:type="pct"/>
            <w:gridSpan w:val="2"/>
            <w:tcBorders>
              <w:top w:val="nil"/>
              <w:left w:val="nil"/>
              <w:bottom w:val="single" w:color="000000" w:sz="4" w:space="0"/>
              <w:right w:val="single" w:color="000000" w:sz="4" w:space="0"/>
            </w:tcBorders>
            <w:noWrap/>
            <w:vAlign w:val="center"/>
          </w:tcPr>
          <w:p w14:paraId="20C3159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A29C0E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8B42DF1">
            <w:pPr>
              <w:jc w:val="right"/>
              <w:rPr>
                <w:rFonts w:hint="default" w:ascii="Times New Roman" w:hAnsi="Times New Roman" w:eastAsia="宋体" w:cs="Times New Roman"/>
                <w:i w:val="0"/>
                <w:iCs w:val="0"/>
                <w:color w:val="000000"/>
                <w:sz w:val="20"/>
                <w:szCs w:val="20"/>
                <w:highlight w:val="none"/>
                <w:u w:val="none"/>
              </w:rPr>
            </w:pPr>
          </w:p>
        </w:tc>
      </w:tr>
      <w:tr w14:paraId="4FE929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BD1DA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20104</w:t>
            </w:r>
          </w:p>
        </w:tc>
        <w:tc>
          <w:tcPr>
            <w:tcW w:w="635" w:type="pct"/>
            <w:tcBorders>
              <w:top w:val="nil"/>
              <w:left w:val="nil"/>
              <w:bottom w:val="single" w:color="000000" w:sz="4" w:space="0"/>
              <w:right w:val="single" w:color="000000" w:sz="4" w:space="0"/>
            </w:tcBorders>
            <w:noWrap/>
            <w:vAlign w:val="center"/>
          </w:tcPr>
          <w:p w14:paraId="7A49B9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发展与改革事务</w:t>
            </w:r>
          </w:p>
        </w:tc>
        <w:tc>
          <w:tcPr>
            <w:tcW w:w="603" w:type="pct"/>
            <w:tcBorders>
              <w:top w:val="nil"/>
              <w:left w:val="nil"/>
              <w:bottom w:val="single" w:color="000000" w:sz="4" w:space="0"/>
              <w:right w:val="single" w:color="000000" w:sz="4" w:space="0"/>
            </w:tcBorders>
            <w:noWrap/>
            <w:vAlign w:val="center"/>
          </w:tcPr>
          <w:p w14:paraId="7FE864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185.14</w:t>
            </w:r>
          </w:p>
        </w:tc>
        <w:tc>
          <w:tcPr>
            <w:tcW w:w="602" w:type="pct"/>
            <w:gridSpan w:val="2"/>
            <w:tcBorders>
              <w:top w:val="nil"/>
              <w:left w:val="nil"/>
              <w:bottom w:val="single" w:color="000000" w:sz="4" w:space="0"/>
              <w:right w:val="single" w:color="000000" w:sz="4" w:space="0"/>
            </w:tcBorders>
            <w:noWrap/>
            <w:vAlign w:val="center"/>
          </w:tcPr>
          <w:p w14:paraId="3B6D42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2.94</w:t>
            </w:r>
          </w:p>
        </w:tc>
        <w:tc>
          <w:tcPr>
            <w:tcW w:w="602" w:type="pct"/>
            <w:tcBorders>
              <w:top w:val="nil"/>
              <w:left w:val="nil"/>
              <w:bottom w:val="single" w:color="000000" w:sz="4" w:space="0"/>
              <w:right w:val="single" w:color="000000" w:sz="4" w:space="0"/>
            </w:tcBorders>
            <w:noWrap/>
            <w:vAlign w:val="center"/>
          </w:tcPr>
          <w:p w14:paraId="687224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182.21</w:t>
            </w:r>
          </w:p>
        </w:tc>
        <w:tc>
          <w:tcPr>
            <w:tcW w:w="602" w:type="pct"/>
            <w:gridSpan w:val="2"/>
            <w:tcBorders>
              <w:top w:val="nil"/>
              <w:left w:val="nil"/>
              <w:bottom w:val="single" w:color="000000" w:sz="4" w:space="0"/>
              <w:right w:val="single" w:color="000000" w:sz="4" w:space="0"/>
            </w:tcBorders>
            <w:noWrap/>
            <w:vAlign w:val="center"/>
          </w:tcPr>
          <w:p w14:paraId="2C809BB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A84DE3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E1A6459">
            <w:pPr>
              <w:jc w:val="right"/>
              <w:rPr>
                <w:rFonts w:hint="default" w:ascii="Times New Roman" w:hAnsi="Times New Roman" w:eastAsia="宋体" w:cs="Times New Roman"/>
                <w:i w:val="0"/>
                <w:iCs w:val="0"/>
                <w:color w:val="000000"/>
                <w:sz w:val="20"/>
                <w:szCs w:val="20"/>
                <w:highlight w:val="none"/>
                <w:u w:val="none"/>
              </w:rPr>
            </w:pPr>
          </w:p>
        </w:tc>
      </w:tr>
      <w:tr w14:paraId="022096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3285C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2010401</w:t>
            </w:r>
          </w:p>
        </w:tc>
        <w:tc>
          <w:tcPr>
            <w:tcW w:w="635" w:type="pct"/>
            <w:tcBorders>
              <w:top w:val="nil"/>
              <w:left w:val="nil"/>
              <w:bottom w:val="single" w:color="000000" w:sz="4" w:space="0"/>
              <w:right w:val="single" w:color="000000" w:sz="4" w:space="0"/>
            </w:tcBorders>
            <w:noWrap/>
            <w:vAlign w:val="center"/>
          </w:tcPr>
          <w:p w14:paraId="0A6386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0CEDF7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3.53</w:t>
            </w:r>
          </w:p>
        </w:tc>
        <w:tc>
          <w:tcPr>
            <w:tcW w:w="602" w:type="pct"/>
            <w:gridSpan w:val="2"/>
            <w:tcBorders>
              <w:top w:val="nil"/>
              <w:left w:val="nil"/>
              <w:bottom w:val="single" w:color="000000" w:sz="4" w:space="0"/>
              <w:right w:val="single" w:color="000000" w:sz="4" w:space="0"/>
            </w:tcBorders>
            <w:noWrap/>
            <w:vAlign w:val="center"/>
          </w:tcPr>
          <w:p w14:paraId="1386EB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2.94</w:t>
            </w:r>
          </w:p>
        </w:tc>
        <w:tc>
          <w:tcPr>
            <w:tcW w:w="602" w:type="pct"/>
            <w:tcBorders>
              <w:top w:val="nil"/>
              <w:left w:val="nil"/>
              <w:bottom w:val="single" w:color="000000" w:sz="4" w:space="0"/>
              <w:right w:val="single" w:color="000000" w:sz="4" w:space="0"/>
            </w:tcBorders>
            <w:noWrap/>
            <w:vAlign w:val="center"/>
          </w:tcPr>
          <w:p w14:paraId="0DBF2C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0.59</w:t>
            </w:r>
          </w:p>
        </w:tc>
        <w:tc>
          <w:tcPr>
            <w:tcW w:w="602" w:type="pct"/>
            <w:gridSpan w:val="2"/>
            <w:tcBorders>
              <w:top w:val="nil"/>
              <w:left w:val="nil"/>
              <w:bottom w:val="single" w:color="000000" w:sz="4" w:space="0"/>
              <w:right w:val="single" w:color="000000" w:sz="4" w:space="0"/>
            </w:tcBorders>
            <w:noWrap/>
            <w:vAlign w:val="center"/>
          </w:tcPr>
          <w:p w14:paraId="6FF2EF3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026A29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4A5613D">
            <w:pPr>
              <w:jc w:val="right"/>
              <w:rPr>
                <w:rFonts w:hint="default" w:ascii="Times New Roman" w:hAnsi="Times New Roman" w:eastAsia="宋体" w:cs="Times New Roman"/>
                <w:i w:val="0"/>
                <w:iCs w:val="0"/>
                <w:color w:val="000000"/>
                <w:sz w:val="20"/>
                <w:szCs w:val="20"/>
                <w:highlight w:val="none"/>
                <w:u w:val="none"/>
              </w:rPr>
            </w:pPr>
          </w:p>
        </w:tc>
      </w:tr>
      <w:tr w14:paraId="5FBE40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ADEBB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2010499</w:t>
            </w:r>
          </w:p>
        </w:tc>
        <w:tc>
          <w:tcPr>
            <w:tcW w:w="635" w:type="pct"/>
            <w:tcBorders>
              <w:top w:val="nil"/>
              <w:left w:val="nil"/>
              <w:bottom w:val="single" w:color="000000" w:sz="4" w:space="0"/>
              <w:right w:val="single" w:color="000000" w:sz="4" w:space="0"/>
            </w:tcBorders>
            <w:noWrap/>
            <w:vAlign w:val="center"/>
          </w:tcPr>
          <w:p w14:paraId="0BE4CBE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其他发展与改革事务支出</w:t>
            </w:r>
          </w:p>
        </w:tc>
        <w:tc>
          <w:tcPr>
            <w:tcW w:w="603" w:type="pct"/>
            <w:tcBorders>
              <w:top w:val="nil"/>
              <w:left w:val="nil"/>
              <w:bottom w:val="single" w:color="000000" w:sz="4" w:space="0"/>
              <w:right w:val="single" w:color="000000" w:sz="4" w:space="0"/>
            </w:tcBorders>
            <w:noWrap/>
            <w:vAlign w:val="center"/>
          </w:tcPr>
          <w:p w14:paraId="379FFF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181.62</w:t>
            </w:r>
          </w:p>
        </w:tc>
        <w:tc>
          <w:tcPr>
            <w:tcW w:w="602" w:type="pct"/>
            <w:gridSpan w:val="2"/>
            <w:tcBorders>
              <w:top w:val="nil"/>
              <w:left w:val="nil"/>
              <w:bottom w:val="single" w:color="000000" w:sz="4" w:space="0"/>
              <w:right w:val="single" w:color="000000" w:sz="4" w:space="0"/>
            </w:tcBorders>
            <w:noWrap/>
            <w:vAlign w:val="center"/>
          </w:tcPr>
          <w:p w14:paraId="06C9954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522FF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181.62</w:t>
            </w:r>
          </w:p>
        </w:tc>
        <w:tc>
          <w:tcPr>
            <w:tcW w:w="602" w:type="pct"/>
            <w:gridSpan w:val="2"/>
            <w:tcBorders>
              <w:top w:val="nil"/>
              <w:left w:val="nil"/>
              <w:bottom w:val="single" w:color="000000" w:sz="4" w:space="0"/>
              <w:right w:val="single" w:color="000000" w:sz="4" w:space="0"/>
            </w:tcBorders>
            <w:noWrap/>
            <w:vAlign w:val="center"/>
          </w:tcPr>
          <w:p w14:paraId="7CE054C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9C3174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617221A">
            <w:pPr>
              <w:jc w:val="right"/>
              <w:rPr>
                <w:rFonts w:hint="default" w:ascii="Times New Roman" w:hAnsi="Times New Roman" w:eastAsia="宋体" w:cs="Times New Roman"/>
                <w:i w:val="0"/>
                <w:iCs w:val="0"/>
                <w:color w:val="000000"/>
                <w:sz w:val="20"/>
                <w:szCs w:val="20"/>
                <w:highlight w:val="none"/>
                <w:u w:val="none"/>
              </w:rPr>
            </w:pPr>
          </w:p>
        </w:tc>
      </w:tr>
      <w:tr w14:paraId="57C5CA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508A77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w:t>
            </w:r>
          </w:p>
        </w:tc>
        <w:tc>
          <w:tcPr>
            <w:tcW w:w="635" w:type="pct"/>
            <w:tcBorders>
              <w:top w:val="nil"/>
              <w:left w:val="nil"/>
              <w:bottom w:val="single" w:color="000000" w:sz="4" w:space="0"/>
              <w:right w:val="single" w:color="000000" w:sz="4" w:space="0"/>
            </w:tcBorders>
            <w:noWrap/>
            <w:vAlign w:val="center"/>
          </w:tcPr>
          <w:p w14:paraId="589602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603" w:type="pct"/>
            <w:tcBorders>
              <w:top w:val="nil"/>
              <w:left w:val="nil"/>
              <w:bottom w:val="single" w:color="000000" w:sz="4" w:space="0"/>
              <w:right w:val="single" w:color="000000" w:sz="4" w:space="0"/>
            </w:tcBorders>
            <w:noWrap/>
            <w:vAlign w:val="center"/>
          </w:tcPr>
          <w:p w14:paraId="3A7F61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106.99</w:t>
            </w:r>
          </w:p>
        </w:tc>
        <w:tc>
          <w:tcPr>
            <w:tcW w:w="602" w:type="pct"/>
            <w:gridSpan w:val="2"/>
            <w:tcBorders>
              <w:top w:val="nil"/>
              <w:left w:val="nil"/>
              <w:bottom w:val="single" w:color="000000" w:sz="4" w:space="0"/>
              <w:right w:val="single" w:color="000000" w:sz="4" w:space="0"/>
            </w:tcBorders>
            <w:noWrap/>
            <w:vAlign w:val="center"/>
          </w:tcPr>
          <w:p w14:paraId="37A7A8F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9EA08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106.99</w:t>
            </w:r>
          </w:p>
        </w:tc>
        <w:tc>
          <w:tcPr>
            <w:tcW w:w="602" w:type="pct"/>
            <w:gridSpan w:val="2"/>
            <w:tcBorders>
              <w:top w:val="nil"/>
              <w:left w:val="nil"/>
              <w:bottom w:val="single" w:color="000000" w:sz="4" w:space="0"/>
              <w:right w:val="single" w:color="000000" w:sz="4" w:space="0"/>
            </w:tcBorders>
            <w:noWrap/>
            <w:vAlign w:val="center"/>
          </w:tcPr>
          <w:p w14:paraId="51CF3C9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BF848D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8E1652D">
            <w:pPr>
              <w:jc w:val="right"/>
              <w:rPr>
                <w:rFonts w:hint="default" w:ascii="Times New Roman" w:hAnsi="Times New Roman" w:eastAsia="宋体" w:cs="Times New Roman"/>
                <w:i w:val="0"/>
                <w:iCs w:val="0"/>
                <w:color w:val="000000"/>
                <w:sz w:val="20"/>
                <w:szCs w:val="20"/>
                <w:highlight w:val="none"/>
                <w:u w:val="none"/>
              </w:rPr>
            </w:pPr>
          </w:p>
        </w:tc>
      </w:tr>
      <w:tr w14:paraId="03D717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BCF6EB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2019999</w:t>
            </w:r>
          </w:p>
        </w:tc>
        <w:tc>
          <w:tcPr>
            <w:tcW w:w="635" w:type="pct"/>
            <w:tcBorders>
              <w:top w:val="nil"/>
              <w:left w:val="nil"/>
              <w:bottom w:val="single" w:color="000000" w:sz="4" w:space="0"/>
              <w:right w:val="single" w:color="000000" w:sz="4" w:space="0"/>
            </w:tcBorders>
            <w:noWrap/>
            <w:vAlign w:val="center"/>
          </w:tcPr>
          <w:p w14:paraId="016B82C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603" w:type="pct"/>
            <w:tcBorders>
              <w:top w:val="nil"/>
              <w:left w:val="nil"/>
              <w:bottom w:val="single" w:color="000000" w:sz="4" w:space="0"/>
              <w:right w:val="single" w:color="000000" w:sz="4" w:space="0"/>
            </w:tcBorders>
            <w:noWrap/>
            <w:vAlign w:val="center"/>
          </w:tcPr>
          <w:p w14:paraId="14791B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106.99</w:t>
            </w:r>
          </w:p>
        </w:tc>
        <w:tc>
          <w:tcPr>
            <w:tcW w:w="602" w:type="pct"/>
            <w:gridSpan w:val="2"/>
            <w:tcBorders>
              <w:top w:val="nil"/>
              <w:left w:val="nil"/>
              <w:bottom w:val="single" w:color="000000" w:sz="4" w:space="0"/>
              <w:right w:val="single" w:color="000000" w:sz="4" w:space="0"/>
            </w:tcBorders>
            <w:noWrap/>
            <w:vAlign w:val="center"/>
          </w:tcPr>
          <w:p w14:paraId="3B62F3F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CDA10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106.99</w:t>
            </w:r>
          </w:p>
        </w:tc>
        <w:tc>
          <w:tcPr>
            <w:tcW w:w="602" w:type="pct"/>
            <w:gridSpan w:val="2"/>
            <w:tcBorders>
              <w:top w:val="nil"/>
              <w:left w:val="nil"/>
              <w:bottom w:val="single" w:color="000000" w:sz="4" w:space="0"/>
              <w:right w:val="single" w:color="000000" w:sz="4" w:space="0"/>
            </w:tcBorders>
            <w:noWrap/>
            <w:vAlign w:val="center"/>
          </w:tcPr>
          <w:p w14:paraId="1E05DCA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238E22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9A77170">
            <w:pPr>
              <w:jc w:val="right"/>
              <w:rPr>
                <w:rFonts w:hint="default" w:ascii="Times New Roman" w:hAnsi="Times New Roman" w:eastAsia="宋体" w:cs="Times New Roman"/>
                <w:i w:val="0"/>
                <w:iCs w:val="0"/>
                <w:color w:val="000000"/>
                <w:sz w:val="20"/>
                <w:szCs w:val="20"/>
                <w:highlight w:val="none"/>
                <w:u w:val="none"/>
              </w:rPr>
            </w:pPr>
          </w:p>
        </w:tc>
      </w:tr>
      <w:tr w14:paraId="26E7A9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2A53C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14:paraId="53EE42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14:paraId="0BECE4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270.59</w:t>
            </w:r>
          </w:p>
        </w:tc>
        <w:tc>
          <w:tcPr>
            <w:tcW w:w="602" w:type="pct"/>
            <w:gridSpan w:val="2"/>
            <w:tcBorders>
              <w:top w:val="nil"/>
              <w:left w:val="nil"/>
              <w:bottom w:val="single" w:color="000000" w:sz="4" w:space="0"/>
              <w:right w:val="single" w:color="000000" w:sz="4" w:space="0"/>
            </w:tcBorders>
            <w:noWrap/>
            <w:vAlign w:val="center"/>
          </w:tcPr>
          <w:p w14:paraId="37ECE91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D8C2A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270.59</w:t>
            </w:r>
          </w:p>
        </w:tc>
        <w:tc>
          <w:tcPr>
            <w:tcW w:w="602" w:type="pct"/>
            <w:gridSpan w:val="2"/>
            <w:tcBorders>
              <w:top w:val="nil"/>
              <w:left w:val="nil"/>
              <w:bottom w:val="single" w:color="000000" w:sz="4" w:space="0"/>
              <w:right w:val="single" w:color="000000" w:sz="4" w:space="0"/>
            </w:tcBorders>
            <w:noWrap/>
            <w:vAlign w:val="center"/>
          </w:tcPr>
          <w:p w14:paraId="1B20C58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2A2138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18E7C7C">
            <w:pPr>
              <w:jc w:val="right"/>
              <w:rPr>
                <w:rFonts w:hint="default" w:ascii="Times New Roman" w:hAnsi="Times New Roman" w:eastAsia="宋体" w:cs="Times New Roman"/>
                <w:i w:val="0"/>
                <w:iCs w:val="0"/>
                <w:color w:val="000000"/>
                <w:sz w:val="20"/>
                <w:szCs w:val="20"/>
                <w:highlight w:val="none"/>
                <w:u w:val="none"/>
              </w:rPr>
            </w:pPr>
          </w:p>
        </w:tc>
      </w:tr>
      <w:tr w14:paraId="39EF02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38D6D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635" w:type="pct"/>
            <w:tcBorders>
              <w:top w:val="nil"/>
              <w:left w:val="nil"/>
              <w:bottom w:val="single" w:color="000000" w:sz="4" w:space="0"/>
              <w:right w:val="single" w:color="000000" w:sz="4" w:space="0"/>
            </w:tcBorders>
            <w:noWrap/>
            <w:vAlign w:val="center"/>
          </w:tcPr>
          <w:p w14:paraId="2B8494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603" w:type="pct"/>
            <w:tcBorders>
              <w:top w:val="nil"/>
              <w:left w:val="nil"/>
              <w:bottom w:val="single" w:color="000000" w:sz="4" w:space="0"/>
              <w:right w:val="single" w:color="000000" w:sz="4" w:space="0"/>
            </w:tcBorders>
            <w:noWrap/>
            <w:vAlign w:val="center"/>
          </w:tcPr>
          <w:p w14:paraId="0C8030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270.59</w:t>
            </w:r>
          </w:p>
        </w:tc>
        <w:tc>
          <w:tcPr>
            <w:tcW w:w="602" w:type="pct"/>
            <w:gridSpan w:val="2"/>
            <w:tcBorders>
              <w:top w:val="nil"/>
              <w:left w:val="nil"/>
              <w:bottom w:val="single" w:color="000000" w:sz="4" w:space="0"/>
              <w:right w:val="single" w:color="000000" w:sz="4" w:space="0"/>
            </w:tcBorders>
            <w:noWrap/>
            <w:vAlign w:val="center"/>
          </w:tcPr>
          <w:p w14:paraId="6D31994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842B9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270.59</w:t>
            </w:r>
          </w:p>
        </w:tc>
        <w:tc>
          <w:tcPr>
            <w:tcW w:w="602" w:type="pct"/>
            <w:gridSpan w:val="2"/>
            <w:tcBorders>
              <w:top w:val="nil"/>
              <w:left w:val="nil"/>
              <w:bottom w:val="single" w:color="000000" w:sz="4" w:space="0"/>
              <w:right w:val="single" w:color="000000" w:sz="4" w:space="0"/>
            </w:tcBorders>
            <w:noWrap/>
            <w:vAlign w:val="center"/>
          </w:tcPr>
          <w:p w14:paraId="5D999AA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B1BF90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6876E24">
            <w:pPr>
              <w:jc w:val="right"/>
              <w:rPr>
                <w:rFonts w:hint="default" w:ascii="Times New Roman" w:hAnsi="Times New Roman" w:eastAsia="宋体" w:cs="Times New Roman"/>
                <w:i w:val="0"/>
                <w:iCs w:val="0"/>
                <w:color w:val="000000"/>
                <w:sz w:val="20"/>
                <w:szCs w:val="20"/>
                <w:highlight w:val="none"/>
                <w:u w:val="none"/>
              </w:rPr>
            </w:pPr>
          </w:p>
        </w:tc>
      </w:tr>
      <w:tr w14:paraId="13041C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253CB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2120899</w:t>
            </w:r>
          </w:p>
        </w:tc>
        <w:tc>
          <w:tcPr>
            <w:tcW w:w="635" w:type="pct"/>
            <w:tcBorders>
              <w:top w:val="nil"/>
              <w:left w:val="nil"/>
              <w:bottom w:val="single" w:color="000000" w:sz="4" w:space="0"/>
              <w:right w:val="single" w:color="000000" w:sz="4" w:space="0"/>
            </w:tcBorders>
            <w:noWrap/>
            <w:vAlign w:val="center"/>
          </w:tcPr>
          <w:p w14:paraId="7C4A83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其他国有土地使用权出让收入安排的支出</w:t>
            </w:r>
          </w:p>
        </w:tc>
        <w:tc>
          <w:tcPr>
            <w:tcW w:w="603" w:type="pct"/>
            <w:tcBorders>
              <w:top w:val="nil"/>
              <w:left w:val="nil"/>
              <w:bottom w:val="single" w:color="000000" w:sz="4" w:space="0"/>
              <w:right w:val="single" w:color="000000" w:sz="4" w:space="0"/>
            </w:tcBorders>
            <w:noWrap/>
            <w:vAlign w:val="center"/>
          </w:tcPr>
          <w:p w14:paraId="1813A3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270.59</w:t>
            </w:r>
          </w:p>
        </w:tc>
        <w:tc>
          <w:tcPr>
            <w:tcW w:w="602" w:type="pct"/>
            <w:gridSpan w:val="2"/>
            <w:tcBorders>
              <w:top w:val="nil"/>
              <w:left w:val="nil"/>
              <w:bottom w:val="single" w:color="000000" w:sz="4" w:space="0"/>
              <w:right w:val="single" w:color="000000" w:sz="4" w:space="0"/>
            </w:tcBorders>
            <w:noWrap/>
            <w:vAlign w:val="center"/>
          </w:tcPr>
          <w:p w14:paraId="6983F90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2D498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270.59</w:t>
            </w:r>
          </w:p>
        </w:tc>
        <w:tc>
          <w:tcPr>
            <w:tcW w:w="602" w:type="pct"/>
            <w:gridSpan w:val="2"/>
            <w:tcBorders>
              <w:top w:val="nil"/>
              <w:left w:val="nil"/>
              <w:bottom w:val="single" w:color="000000" w:sz="4" w:space="0"/>
              <w:right w:val="single" w:color="000000" w:sz="4" w:space="0"/>
            </w:tcBorders>
            <w:noWrap/>
            <w:vAlign w:val="center"/>
          </w:tcPr>
          <w:p w14:paraId="445A2A2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E39D3F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738FC70">
            <w:pPr>
              <w:jc w:val="right"/>
              <w:rPr>
                <w:rFonts w:hint="default" w:ascii="Times New Roman" w:hAnsi="Times New Roman" w:eastAsia="宋体" w:cs="Times New Roman"/>
                <w:i w:val="0"/>
                <w:iCs w:val="0"/>
                <w:color w:val="000000"/>
                <w:sz w:val="20"/>
                <w:szCs w:val="20"/>
                <w:highlight w:val="none"/>
                <w:u w:val="none"/>
              </w:rPr>
            </w:pPr>
          </w:p>
        </w:tc>
      </w:tr>
      <w:tr w14:paraId="31FF6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FDB592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635" w:type="pct"/>
            <w:tcBorders>
              <w:top w:val="nil"/>
              <w:left w:val="nil"/>
              <w:bottom w:val="single" w:color="000000" w:sz="4" w:space="0"/>
              <w:right w:val="single" w:color="000000" w:sz="4" w:space="0"/>
            </w:tcBorders>
            <w:noWrap/>
            <w:vAlign w:val="center"/>
          </w:tcPr>
          <w:p w14:paraId="574554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603" w:type="pct"/>
            <w:tcBorders>
              <w:top w:val="nil"/>
              <w:left w:val="nil"/>
              <w:bottom w:val="single" w:color="000000" w:sz="4" w:space="0"/>
              <w:right w:val="single" w:color="000000" w:sz="4" w:space="0"/>
            </w:tcBorders>
            <w:noWrap/>
            <w:vAlign w:val="center"/>
          </w:tcPr>
          <w:p w14:paraId="06E461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172.25</w:t>
            </w:r>
          </w:p>
        </w:tc>
        <w:tc>
          <w:tcPr>
            <w:tcW w:w="602" w:type="pct"/>
            <w:gridSpan w:val="2"/>
            <w:tcBorders>
              <w:top w:val="nil"/>
              <w:left w:val="nil"/>
              <w:bottom w:val="single" w:color="000000" w:sz="4" w:space="0"/>
              <w:right w:val="single" w:color="000000" w:sz="4" w:space="0"/>
            </w:tcBorders>
            <w:noWrap/>
            <w:vAlign w:val="center"/>
          </w:tcPr>
          <w:p w14:paraId="4C89E56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1EAAB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172.25</w:t>
            </w:r>
          </w:p>
        </w:tc>
        <w:tc>
          <w:tcPr>
            <w:tcW w:w="602" w:type="pct"/>
            <w:gridSpan w:val="2"/>
            <w:tcBorders>
              <w:top w:val="nil"/>
              <w:left w:val="nil"/>
              <w:bottom w:val="single" w:color="000000" w:sz="4" w:space="0"/>
              <w:right w:val="single" w:color="000000" w:sz="4" w:space="0"/>
            </w:tcBorders>
            <w:noWrap/>
            <w:vAlign w:val="center"/>
          </w:tcPr>
          <w:p w14:paraId="18B2B71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9EE7F8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EA0A434">
            <w:pPr>
              <w:jc w:val="right"/>
              <w:rPr>
                <w:rFonts w:hint="default" w:ascii="Times New Roman" w:hAnsi="Times New Roman" w:eastAsia="宋体" w:cs="Times New Roman"/>
                <w:i w:val="0"/>
                <w:iCs w:val="0"/>
                <w:color w:val="000000"/>
                <w:sz w:val="20"/>
                <w:szCs w:val="20"/>
                <w:highlight w:val="none"/>
                <w:u w:val="none"/>
              </w:rPr>
            </w:pPr>
          </w:p>
        </w:tc>
      </w:tr>
      <w:tr w14:paraId="214570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5B38B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22999</w:t>
            </w:r>
          </w:p>
        </w:tc>
        <w:tc>
          <w:tcPr>
            <w:tcW w:w="635" w:type="pct"/>
            <w:tcBorders>
              <w:top w:val="nil"/>
              <w:left w:val="nil"/>
              <w:bottom w:val="single" w:color="000000" w:sz="4" w:space="0"/>
              <w:right w:val="single" w:color="000000" w:sz="4" w:space="0"/>
            </w:tcBorders>
            <w:noWrap/>
            <w:vAlign w:val="center"/>
          </w:tcPr>
          <w:p w14:paraId="1534EC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603" w:type="pct"/>
            <w:tcBorders>
              <w:top w:val="nil"/>
              <w:left w:val="nil"/>
              <w:bottom w:val="single" w:color="000000" w:sz="4" w:space="0"/>
              <w:right w:val="single" w:color="000000" w:sz="4" w:space="0"/>
            </w:tcBorders>
            <w:noWrap/>
            <w:vAlign w:val="center"/>
          </w:tcPr>
          <w:p w14:paraId="015469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172.25</w:t>
            </w:r>
          </w:p>
        </w:tc>
        <w:tc>
          <w:tcPr>
            <w:tcW w:w="602" w:type="pct"/>
            <w:gridSpan w:val="2"/>
            <w:tcBorders>
              <w:top w:val="nil"/>
              <w:left w:val="nil"/>
              <w:bottom w:val="single" w:color="000000" w:sz="4" w:space="0"/>
              <w:right w:val="single" w:color="000000" w:sz="4" w:space="0"/>
            </w:tcBorders>
            <w:noWrap/>
            <w:vAlign w:val="center"/>
          </w:tcPr>
          <w:p w14:paraId="0FBEF0E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45817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172.25</w:t>
            </w:r>
          </w:p>
        </w:tc>
        <w:tc>
          <w:tcPr>
            <w:tcW w:w="602" w:type="pct"/>
            <w:gridSpan w:val="2"/>
            <w:tcBorders>
              <w:top w:val="nil"/>
              <w:left w:val="nil"/>
              <w:bottom w:val="single" w:color="000000" w:sz="4" w:space="0"/>
              <w:right w:val="single" w:color="000000" w:sz="4" w:space="0"/>
            </w:tcBorders>
            <w:noWrap/>
            <w:vAlign w:val="center"/>
          </w:tcPr>
          <w:p w14:paraId="7E5E017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9934F2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9B18538">
            <w:pPr>
              <w:jc w:val="right"/>
              <w:rPr>
                <w:rFonts w:hint="default" w:ascii="Times New Roman" w:hAnsi="Times New Roman" w:eastAsia="宋体" w:cs="Times New Roman"/>
                <w:i w:val="0"/>
                <w:iCs w:val="0"/>
                <w:color w:val="000000"/>
                <w:sz w:val="20"/>
                <w:szCs w:val="20"/>
                <w:highlight w:val="none"/>
                <w:u w:val="none"/>
              </w:rPr>
            </w:pPr>
          </w:p>
        </w:tc>
      </w:tr>
      <w:tr w14:paraId="5B6ED1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F8AEF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2299999</w:t>
            </w:r>
          </w:p>
        </w:tc>
        <w:tc>
          <w:tcPr>
            <w:tcW w:w="635" w:type="pct"/>
            <w:tcBorders>
              <w:top w:val="nil"/>
              <w:left w:val="nil"/>
              <w:bottom w:val="single" w:color="000000" w:sz="4" w:space="0"/>
              <w:right w:val="single" w:color="000000" w:sz="4" w:space="0"/>
            </w:tcBorders>
            <w:noWrap/>
            <w:vAlign w:val="center"/>
          </w:tcPr>
          <w:p w14:paraId="7E6FA33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603" w:type="pct"/>
            <w:tcBorders>
              <w:top w:val="nil"/>
              <w:left w:val="nil"/>
              <w:bottom w:val="single" w:color="000000" w:sz="4" w:space="0"/>
              <w:right w:val="single" w:color="000000" w:sz="4" w:space="0"/>
            </w:tcBorders>
            <w:noWrap/>
            <w:vAlign w:val="center"/>
          </w:tcPr>
          <w:p w14:paraId="6881FC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172.25</w:t>
            </w:r>
          </w:p>
        </w:tc>
        <w:tc>
          <w:tcPr>
            <w:tcW w:w="602" w:type="pct"/>
            <w:gridSpan w:val="2"/>
            <w:tcBorders>
              <w:top w:val="nil"/>
              <w:left w:val="nil"/>
              <w:bottom w:val="single" w:color="000000" w:sz="4" w:space="0"/>
              <w:right w:val="single" w:color="000000" w:sz="4" w:space="0"/>
            </w:tcBorders>
            <w:noWrap/>
            <w:vAlign w:val="center"/>
          </w:tcPr>
          <w:p w14:paraId="311C5F2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222D6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172.25</w:t>
            </w:r>
          </w:p>
        </w:tc>
        <w:tc>
          <w:tcPr>
            <w:tcW w:w="602" w:type="pct"/>
            <w:gridSpan w:val="2"/>
            <w:tcBorders>
              <w:top w:val="nil"/>
              <w:left w:val="nil"/>
              <w:bottom w:val="single" w:color="000000" w:sz="4" w:space="0"/>
              <w:right w:val="single" w:color="000000" w:sz="4" w:space="0"/>
            </w:tcBorders>
            <w:noWrap/>
            <w:vAlign w:val="center"/>
          </w:tcPr>
          <w:p w14:paraId="2618EF5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C5716C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DEE13B9">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部门（单位）：正定新区发展改革和审计局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493.71</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321.46</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321.46</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270.59</w:t>
            </w: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270.59</w:t>
            </w: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270.59</w:t>
            </w: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172.25</w:t>
            </w: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172.25</w:t>
            </w: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764.30</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764.30</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493.71</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270.59</w:t>
            </w: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764.30</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764.30</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493.71</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270.59</w:t>
            </w: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06"/>
        <w:gridCol w:w="3216"/>
        <w:gridCol w:w="408"/>
        <w:gridCol w:w="935"/>
        <w:gridCol w:w="1036"/>
        <w:gridCol w:w="378"/>
        <w:gridCol w:w="1721"/>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编制部门（单位）：正定新区发展改革和审计局</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493.71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2.94</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490.77</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321.46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2.94</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318.52</w:t>
            </w:r>
          </w:p>
        </w:tc>
      </w:tr>
      <w:tr w14:paraId="456EC9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A8380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060151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2298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29.33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1A433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0FFE3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29.33</w:t>
            </w:r>
          </w:p>
        </w:tc>
      </w:tr>
      <w:tr w14:paraId="01C310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A0418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6E4B01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C2F04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29.33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FD78D0F">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CE1A7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29.33</w:t>
            </w:r>
          </w:p>
        </w:tc>
      </w:tr>
      <w:tr w14:paraId="40B01C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54FB6A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20104</w:t>
            </w:r>
          </w:p>
        </w:tc>
        <w:tc>
          <w:tcPr>
            <w:tcW w:w="756" w:type="pct"/>
            <w:tcBorders>
              <w:top w:val="single" w:color="auto" w:sz="4" w:space="0"/>
              <w:left w:val="single" w:color="auto" w:sz="4" w:space="0"/>
              <w:bottom w:val="single" w:color="auto" w:sz="4" w:space="0"/>
              <w:right w:val="single" w:color="auto" w:sz="4" w:space="0"/>
            </w:tcBorders>
            <w:noWrap/>
            <w:vAlign w:val="center"/>
          </w:tcPr>
          <w:p w14:paraId="4118631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发展与改革事务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688C0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185.14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3B7C3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2.94</w:t>
            </w:r>
          </w:p>
        </w:tc>
        <w:tc>
          <w:tcPr>
            <w:tcW w:w="1218" w:type="pct"/>
            <w:tcBorders>
              <w:top w:val="single" w:color="auto" w:sz="4" w:space="0"/>
              <w:left w:val="single" w:color="auto" w:sz="4" w:space="0"/>
              <w:bottom w:val="single" w:color="auto" w:sz="4" w:space="0"/>
              <w:right w:val="single" w:color="auto" w:sz="4" w:space="0"/>
            </w:tcBorders>
            <w:noWrap/>
            <w:vAlign w:val="center"/>
          </w:tcPr>
          <w:p w14:paraId="12A5D4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182.21</w:t>
            </w:r>
          </w:p>
        </w:tc>
      </w:tr>
      <w:tr w14:paraId="13F023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BB07A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2010401</w:t>
            </w:r>
          </w:p>
        </w:tc>
        <w:tc>
          <w:tcPr>
            <w:tcW w:w="756" w:type="pct"/>
            <w:tcBorders>
              <w:top w:val="single" w:color="auto" w:sz="4" w:space="0"/>
              <w:left w:val="single" w:color="auto" w:sz="4" w:space="0"/>
              <w:bottom w:val="single" w:color="auto" w:sz="4" w:space="0"/>
              <w:right w:val="single" w:color="auto" w:sz="4" w:space="0"/>
            </w:tcBorders>
            <w:noWrap/>
            <w:vAlign w:val="center"/>
          </w:tcPr>
          <w:p w14:paraId="18FE014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16D0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4CAB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2.94</w:t>
            </w:r>
          </w:p>
        </w:tc>
        <w:tc>
          <w:tcPr>
            <w:tcW w:w="1218" w:type="pct"/>
            <w:tcBorders>
              <w:top w:val="single" w:color="auto" w:sz="4" w:space="0"/>
              <w:left w:val="single" w:color="auto" w:sz="4" w:space="0"/>
              <w:bottom w:val="single" w:color="auto" w:sz="4" w:space="0"/>
              <w:right w:val="single" w:color="auto" w:sz="4" w:space="0"/>
            </w:tcBorders>
            <w:noWrap/>
            <w:vAlign w:val="center"/>
          </w:tcPr>
          <w:p w14:paraId="74A1E5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0.59</w:t>
            </w:r>
          </w:p>
        </w:tc>
      </w:tr>
      <w:tr w14:paraId="2F462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6B4EB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2010499</w:t>
            </w:r>
          </w:p>
        </w:tc>
        <w:tc>
          <w:tcPr>
            <w:tcW w:w="756" w:type="pct"/>
            <w:tcBorders>
              <w:top w:val="single" w:color="auto" w:sz="4" w:space="0"/>
              <w:left w:val="single" w:color="auto" w:sz="4" w:space="0"/>
              <w:bottom w:val="single" w:color="auto" w:sz="4" w:space="0"/>
              <w:right w:val="single" w:color="auto" w:sz="4" w:space="0"/>
            </w:tcBorders>
            <w:noWrap/>
            <w:vAlign w:val="center"/>
          </w:tcPr>
          <w:p w14:paraId="32CFE4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其他发展与改革事务支出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0D25C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181.62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AA0E4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C3FD3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181.62</w:t>
            </w:r>
          </w:p>
        </w:tc>
      </w:tr>
      <w:tr w14:paraId="29A813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07841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w:t>
            </w:r>
          </w:p>
        </w:tc>
        <w:tc>
          <w:tcPr>
            <w:tcW w:w="756" w:type="pct"/>
            <w:tcBorders>
              <w:top w:val="single" w:color="auto" w:sz="4" w:space="0"/>
              <w:left w:val="single" w:color="auto" w:sz="4" w:space="0"/>
              <w:bottom w:val="single" w:color="auto" w:sz="4" w:space="0"/>
              <w:right w:val="single" w:color="auto" w:sz="4" w:space="0"/>
            </w:tcBorders>
            <w:noWrap/>
            <w:vAlign w:val="center"/>
          </w:tcPr>
          <w:p w14:paraId="1A12E8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C5B6C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106.99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C762B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65B3D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106.99</w:t>
            </w:r>
          </w:p>
        </w:tc>
      </w:tr>
      <w:tr w14:paraId="2379FC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D0E31F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28D6F28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6169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106.99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EE57E9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CD1E4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106.99</w:t>
            </w:r>
          </w:p>
        </w:tc>
      </w:tr>
      <w:tr w14:paraId="0F4210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B8458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756" w:type="pct"/>
            <w:tcBorders>
              <w:top w:val="single" w:color="auto" w:sz="4" w:space="0"/>
              <w:left w:val="single" w:color="auto" w:sz="4" w:space="0"/>
              <w:bottom w:val="single" w:color="auto" w:sz="4" w:space="0"/>
              <w:right w:val="single" w:color="auto" w:sz="4" w:space="0"/>
            </w:tcBorders>
            <w:noWrap/>
            <w:vAlign w:val="center"/>
          </w:tcPr>
          <w:p w14:paraId="39AEA25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A6F09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172.25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C21E36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F0ED4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172.25</w:t>
            </w:r>
          </w:p>
        </w:tc>
      </w:tr>
      <w:tr w14:paraId="64F67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40B0F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22999</w:t>
            </w:r>
          </w:p>
        </w:tc>
        <w:tc>
          <w:tcPr>
            <w:tcW w:w="756" w:type="pct"/>
            <w:tcBorders>
              <w:top w:val="single" w:color="auto" w:sz="4" w:space="0"/>
              <w:left w:val="single" w:color="auto" w:sz="4" w:space="0"/>
              <w:bottom w:val="single" w:color="auto" w:sz="4" w:space="0"/>
              <w:right w:val="single" w:color="auto" w:sz="4" w:space="0"/>
            </w:tcBorders>
            <w:noWrap/>
            <w:vAlign w:val="center"/>
          </w:tcPr>
          <w:p w14:paraId="2292E4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49D5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172.25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16B08E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8A0F7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172.25</w:t>
            </w:r>
          </w:p>
        </w:tc>
      </w:tr>
      <w:tr w14:paraId="5F5B3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9CC6F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5769C4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F05DD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172.25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4016F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4FE7D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172.25</w:t>
            </w: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部门（单位）：正定新区发展改革和审计局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2.94</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0.83</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1.91</w:t>
            </w: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0.19</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2.94</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部门（单位）：正定新区发展改革和审计局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270.59</w:t>
            </w: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270.59</w:t>
            </w: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270.59</w:t>
            </w: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5749E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37306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03" w:type="pct"/>
            <w:tcBorders>
              <w:top w:val="nil"/>
              <w:left w:val="nil"/>
              <w:bottom w:val="single" w:color="000000" w:sz="4" w:space="0"/>
              <w:right w:val="single" w:color="000000" w:sz="4" w:space="0"/>
            </w:tcBorders>
            <w:noWrap/>
            <w:vAlign w:val="center"/>
          </w:tcPr>
          <w:p w14:paraId="3D00B4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23" w:type="pct"/>
            <w:tcBorders>
              <w:top w:val="nil"/>
              <w:left w:val="nil"/>
              <w:bottom w:val="single" w:color="000000" w:sz="4" w:space="0"/>
              <w:right w:val="single" w:color="000000" w:sz="4" w:space="0"/>
            </w:tcBorders>
            <w:noWrap/>
            <w:vAlign w:val="center"/>
          </w:tcPr>
          <w:p w14:paraId="4603048B">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6F210B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270.59</w:t>
            </w:r>
          </w:p>
        </w:tc>
        <w:tc>
          <w:tcPr>
            <w:tcW w:w="528" w:type="pct"/>
            <w:tcBorders>
              <w:top w:val="nil"/>
              <w:left w:val="nil"/>
              <w:bottom w:val="single" w:color="000000" w:sz="4" w:space="0"/>
              <w:right w:val="single" w:color="000000" w:sz="4" w:space="0"/>
            </w:tcBorders>
            <w:noWrap/>
            <w:vAlign w:val="center"/>
          </w:tcPr>
          <w:p w14:paraId="3A1978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270.59</w:t>
            </w:r>
          </w:p>
        </w:tc>
        <w:tc>
          <w:tcPr>
            <w:tcW w:w="534" w:type="pct"/>
            <w:gridSpan w:val="2"/>
            <w:tcBorders>
              <w:top w:val="nil"/>
              <w:left w:val="nil"/>
              <w:bottom w:val="single" w:color="000000" w:sz="4" w:space="0"/>
              <w:right w:val="single" w:color="000000" w:sz="4" w:space="0"/>
            </w:tcBorders>
            <w:noWrap/>
            <w:vAlign w:val="center"/>
          </w:tcPr>
          <w:p w14:paraId="2DD33BC0">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069675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270.59</w:t>
            </w:r>
          </w:p>
        </w:tc>
        <w:tc>
          <w:tcPr>
            <w:tcW w:w="973" w:type="pct"/>
            <w:tcBorders>
              <w:top w:val="nil"/>
              <w:left w:val="nil"/>
              <w:bottom w:val="single" w:color="000000" w:sz="4" w:space="0"/>
              <w:right w:val="single" w:color="000000" w:sz="4" w:space="0"/>
            </w:tcBorders>
            <w:noWrap/>
            <w:vAlign w:val="center"/>
          </w:tcPr>
          <w:p w14:paraId="7EAF0B2F">
            <w:pPr>
              <w:jc w:val="right"/>
              <w:rPr>
                <w:rFonts w:hint="default" w:ascii="Times New Roman" w:hAnsi="Times New Roman" w:eastAsia="宋体" w:cs="Times New Roman"/>
                <w:i w:val="0"/>
                <w:iCs w:val="0"/>
                <w:color w:val="000000"/>
                <w:sz w:val="20"/>
                <w:szCs w:val="20"/>
                <w:highlight w:val="none"/>
                <w:u w:val="none"/>
              </w:rPr>
            </w:pPr>
          </w:p>
        </w:tc>
      </w:tr>
      <w:tr w14:paraId="19DAF9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78E4AC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703" w:type="pct"/>
            <w:tcBorders>
              <w:top w:val="nil"/>
              <w:left w:val="nil"/>
              <w:bottom w:val="single" w:color="000000" w:sz="4" w:space="0"/>
              <w:right w:val="single" w:color="000000" w:sz="4" w:space="0"/>
            </w:tcBorders>
            <w:noWrap/>
            <w:vAlign w:val="center"/>
          </w:tcPr>
          <w:p w14:paraId="6E114EA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623" w:type="pct"/>
            <w:tcBorders>
              <w:top w:val="nil"/>
              <w:left w:val="nil"/>
              <w:bottom w:val="single" w:color="000000" w:sz="4" w:space="0"/>
              <w:right w:val="single" w:color="000000" w:sz="4" w:space="0"/>
            </w:tcBorders>
            <w:noWrap/>
            <w:vAlign w:val="center"/>
          </w:tcPr>
          <w:p w14:paraId="6D85FC7A">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5D1B80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270.59</w:t>
            </w:r>
          </w:p>
        </w:tc>
        <w:tc>
          <w:tcPr>
            <w:tcW w:w="528" w:type="pct"/>
            <w:tcBorders>
              <w:top w:val="nil"/>
              <w:left w:val="nil"/>
              <w:bottom w:val="single" w:color="000000" w:sz="4" w:space="0"/>
              <w:right w:val="single" w:color="000000" w:sz="4" w:space="0"/>
            </w:tcBorders>
            <w:noWrap/>
            <w:vAlign w:val="center"/>
          </w:tcPr>
          <w:p w14:paraId="108C18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270.59</w:t>
            </w:r>
          </w:p>
        </w:tc>
        <w:tc>
          <w:tcPr>
            <w:tcW w:w="534" w:type="pct"/>
            <w:gridSpan w:val="2"/>
            <w:tcBorders>
              <w:top w:val="nil"/>
              <w:left w:val="nil"/>
              <w:bottom w:val="single" w:color="000000" w:sz="4" w:space="0"/>
              <w:right w:val="single" w:color="000000" w:sz="4" w:space="0"/>
            </w:tcBorders>
            <w:noWrap/>
            <w:vAlign w:val="center"/>
          </w:tcPr>
          <w:p w14:paraId="502B2ED3">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390994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270.59</w:t>
            </w:r>
          </w:p>
        </w:tc>
        <w:tc>
          <w:tcPr>
            <w:tcW w:w="973" w:type="pct"/>
            <w:tcBorders>
              <w:top w:val="nil"/>
              <w:left w:val="nil"/>
              <w:bottom w:val="single" w:color="000000" w:sz="4" w:space="0"/>
              <w:right w:val="single" w:color="000000" w:sz="4" w:space="0"/>
            </w:tcBorders>
            <w:noWrap/>
            <w:vAlign w:val="center"/>
          </w:tcPr>
          <w:p w14:paraId="3E7E5405">
            <w:pPr>
              <w:jc w:val="right"/>
              <w:rPr>
                <w:rFonts w:hint="default" w:ascii="Times New Roman" w:hAnsi="Times New Roman" w:eastAsia="宋体" w:cs="Times New Roman"/>
                <w:i w:val="0"/>
                <w:iCs w:val="0"/>
                <w:color w:val="000000"/>
                <w:sz w:val="20"/>
                <w:szCs w:val="20"/>
                <w:highlight w:val="none"/>
                <w:u w:val="none"/>
              </w:rPr>
            </w:pPr>
          </w:p>
        </w:tc>
      </w:tr>
      <w:tr w14:paraId="0C3D56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348F23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2120899</w:t>
            </w:r>
          </w:p>
        </w:tc>
        <w:tc>
          <w:tcPr>
            <w:tcW w:w="703" w:type="pct"/>
            <w:tcBorders>
              <w:top w:val="nil"/>
              <w:left w:val="nil"/>
              <w:bottom w:val="single" w:color="000000" w:sz="4" w:space="0"/>
              <w:right w:val="single" w:color="000000" w:sz="4" w:space="0"/>
            </w:tcBorders>
            <w:noWrap/>
            <w:vAlign w:val="center"/>
          </w:tcPr>
          <w:p w14:paraId="550E18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其他国有土地使用权出让收入安排的支出</w:t>
            </w:r>
          </w:p>
        </w:tc>
        <w:tc>
          <w:tcPr>
            <w:tcW w:w="623" w:type="pct"/>
            <w:tcBorders>
              <w:top w:val="nil"/>
              <w:left w:val="nil"/>
              <w:bottom w:val="single" w:color="000000" w:sz="4" w:space="0"/>
              <w:right w:val="single" w:color="000000" w:sz="4" w:space="0"/>
            </w:tcBorders>
            <w:noWrap/>
            <w:vAlign w:val="center"/>
          </w:tcPr>
          <w:p w14:paraId="32451234">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5A0A13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270.59</w:t>
            </w:r>
          </w:p>
        </w:tc>
        <w:tc>
          <w:tcPr>
            <w:tcW w:w="528" w:type="pct"/>
            <w:tcBorders>
              <w:top w:val="nil"/>
              <w:left w:val="nil"/>
              <w:bottom w:val="single" w:color="000000" w:sz="4" w:space="0"/>
              <w:right w:val="single" w:color="000000" w:sz="4" w:space="0"/>
            </w:tcBorders>
            <w:noWrap/>
            <w:vAlign w:val="center"/>
          </w:tcPr>
          <w:p w14:paraId="7587B6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270.59</w:t>
            </w:r>
          </w:p>
        </w:tc>
        <w:tc>
          <w:tcPr>
            <w:tcW w:w="534" w:type="pct"/>
            <w:gridSpan w:val="2"/>
            <w:tcBorders>
              <w:top w:val="nil"/>
              <w:left w:val="nil"/>
              <w:bottom w:val="single" w:color="000000" w:sz="4" w:space="0"/>
              <w:right w:val="single" w:color="000000" w:sz="4" w:space="0"/>
            </w:tcBorders>
            <w:noWrap/>
            <w:vAlign w:val="center"/>
          </w:tcPr>
          <w:p w14:paraId="315AA43E">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6F2ED2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270.59</w:t>
            </w:r>
          </w:p>
        </w:tc>
        <w:tc>
          <w:tcPr>
            <w:tcW w:w="973" w:type="pct"/>
            <w:tcBorders>
              <w:top w:val="nil"/>
              <w:left w:val="nil"/>
              <w:bottom w:val="single" w:color="000000" w:sz="4" w:space="0"/>
              <w:right w:val="single" w:color="000000" w:sz="4" w:space="0"/>
            </w:tcBorders>
            <w:noWrap/>
            <w:vAlign w:val="center"/>
          </w:tcPr>
          <w:p w14:paraId="377498FA">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部门（单位）：正定新区发展改革和审计局</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部门（单位）：正定新区发展改革和审计局</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4.00</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3.90</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3.90</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0.10</w:t>
            </w: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0.19</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0.19</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0.19</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1728F81F">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39E8FA9D">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2721DF2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本部门2024年度收、支总计（含结转和结余）均为764.30万元。与2023年度决算相比，收支各减少29,601.28万元，下降97.5%，主要原因是</w:t>
      </w:r>
      <w:r>
        <w:rPr>
          <w:rFonts w:hint="eastAsia" w:ascii="Times New Roman" w:eastAsia="仿宋_GB2312"/>
          <w:b w:val="0"/>
          <w:sz w:val="32"/>
          <w:szCs w:val="32"/>
          <w:lang w:val="en-US" w:eastAsia="zh-CN"/>
        </w:rPr>
        <w:t>项目减少</w:t>
      </w:r>
      <w:r>
        <w:rPr>
          <w:rFonts w:ascii="Times New Roman" w:eastAsia="仿宋_GB2312"/>
          <w:b w:val="0"/>
          <w:sz w:val="32"/>
          <w:szCs w:val="32"/>
        </w:rPr>
        <w:t>。</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23F52C90">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0C98A6F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764.30万元，其中：财政拨款收入764.30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14:paraId="760A0239">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12920D7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本部门2024年度本年支出合计764.30万元，其中：基本支出2.94万元，占0.4%；项目支出761.36万元，占99.6%；上缴上级支出0.00万元，占0.0%；经营支出0.00万元，占0.0%；对附属单位补助支出0.00万元，占0.0%。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8D54F7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6A8B75DD">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3FD21B5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本部门2024年度财政拨款收、支总计（含结转和结余）均为764.30万元。与2023年度相比，财政拨款收支各减少29,601.28万元，降低97.5%，主要原因是</w:t>
      </w:r>
      <w:r>
        <w:rPr>
          <w:rFonts w:hint="eastAsia" w:ascii="Times New Roman" w:eastAsia="仿宋_GB2312"/>
          <w:b w:val="0"/>
          <w:sz w:val="32"/>
          <w:szCs w:val="32"/>
          <w:lang w:val="en-US" w:eastAsia="zh-CN"/>
        </w:rPr>
        <w:t>项目减少</w:t>
      </w:r>
      <w:r>
        <w:rPr>
          <w:rFonts w:ascii="Times New Roman" w:eastAsia="仿宋_GB2312"/>
          <w:b w:val="0"/>
          <w:sz w:val="32"/>
          <w:szCs w:val="32"/>
        </w:rPr>
        <w:t>。</w:t>
      </w:r>
    </w:p>
    <w:p w14:paraId="08030ED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本部门2024年度财政拨款本年收入764.30万元,比上年减少29,601.28万元，降低97.5%，主要原因是</w:t>
      </w:r>
      <w:r>
        <w:rPr>
          <w:rFonts w:hint="eastAsia" w:ascii="Times New Roman" w:eastAsia="仿宋_GB2312"/>
          <w:b w:val="0"/>
          <w:sz w:val="32"/>
          <w:szCs w:val="32"/>
          <w:lang w:val="en-US" w:eastAsia="zh-CN"/>
        </w:rPr>
        <w:t>项目减少</w:t>
      </w:r>
      <w:r>
        <w:rPr>
          <w:rFonts w:ascii="Times New Roman" w:eastAsia="仿宋_GB2312"/>
          <w:b w:val="0"/>
          <w:sz w:val="32"/>
          <w:szCs w:val="32"/>
        </w:rPr>
        <w:t>；本年支出764.30万元，比上年减少29,601.06万元，降低97.5%，主要原因是</w:t>
      </w:r>
      <w:r>
        <w:rPr>
          <w:rFonts w:hint="eastAsia" w:ascii="Times New Roman" w:eastAsia="仿宋_GB2312"/>
          <w:b w:val="0"/>
          <w:sz w:val="32"/>
          <w:szCs w:val="32"/>
          <w:lang w:val="en-US" w:eastAsia="zh-CN"/>
        </w:rPr>
        <w:t>项目减少</w:t>
      </w:r>
      <w:r>
        <w:rPr>
          <w:rFonts w:ascii="Times New Roman" w:eastAsia="仿宋_GB2312"/>
          <w:b w:val="0"/>
          <w:sz w:val="32"/>
          <w:szCs w:val="32"/>
        </w:rPr>
        <w:t>。具体情况如下：</w:t>
      </w:r>
    </w:p>
    <w:p w14:paraId="0EE03384">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1.一般公共预算财政拨款本年收入493.71万元,比上年减少18,198.51万元，降低97.4%，主要原因是</w:t>
      </w:r>
      <w:r>
        <w:rPr>
          <w:rFonts w:hint="eastAsia" w:ascii="Times New Roman" w:eastAsia="仿宋_GB2312"/>
          <w:b w:val="0"/>
          <w:sz w:val="32"/>
          <w:szCs w:val="32"/>
          <w:lang w:val="en-US" w:eastAsia="zh-CN"/>
        </w:rPr>
        <w:t>项目减少</w:t>
      </w:r>
      <w:r>
        <w:rPr>
          <w:rFonts w:ascii="Times New Roman" w:eastAsia="仿宋_GB2312"/>
          <w:b w:val="0"/>
          <w:sz w:val="32"/>
          <w:szCs w:val="32"/>
        </w:rPr>
        <w:t>；本年支出493.71万元，比上年减少18,198.30万元，降低97.4%，主要原因是</w:t>
      </w:r>
      <w:r>
        <w:rPr>
          <w:rFonts w:hint="eastAsia" w:ascii="Times New Roman" w:eastAsia="仿宋_GB2312"/>
          <w:b w:val="0"/>
          <w:sz w:val="32"/>
          <w:szCs w:val="32"/>
          <w:lang w:val="en-US" w:eastAsia="zh-CN"/>
        </w:rPr>
        <w:t>项目减少</w:t>
      </w:r>
      <w:r>
        <w:rPr>
          <w:rFonts w:ascii="Times New Roman" w:eastAsia="仿宋_GB2312"/>
          <w:b w:val="0"/>
          <w:sz w:val="32"/>
          <w:szCs w:val="32"/>
        </w:rPr>
        <w:t>。</w:t>
      </w:r>
    </w:p>
    <w:p w14:paraId="459E3DE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2.政府性基金预算财政拨款本年收入270.59万元，比上年减少11,402.76万元，降低97.7%，主要原因是</w:t>
      </w:r>
      <w:r>
        <w:rPr>
          <w:rFonts w:hint="eastAsia" w:ascii="Times New Roman" w:eastAsia="仿宋_GB2312"/>
          <w:b w:val="0"/>
          <w:sz w:val="32"/>
          <w:szCs w:val="32"/>
          <w:lang w:val="en-US" w:eastAsia="zh-CN"/>
        </w:rPr>
        <w:t>项目减少</w:t>
      </w:r>
      <w:r>
        <w:rPr>
          <w:rFonts w:ascii="Times New Roman" w:eastAsia="仿宋_GB2312"/>
          <w:b w:val="0"/>
          <w:sz w:val="32"/>
          <w:szCs w:val="32"/>
        </w:rPr>
        <w:t>；本年支出270.59万元，比上年减少11,402.76万元，降低97.7%，主要原因是</w:t>
      </w:r>
      <w:r>
        <w:rPr>
          <w:rFonts w:hint="eastAsia" w:ascii="Times New Roman" w:eastAsia="仿宋_GB2312"/>
          <w:b w:val="0"/>
          <w:sz w:val="32"/>
          <w:szCs w:val="32"/>
          <w:lang w:val="en-US" w:eastAsia="zh-CN"/>
        </w:rPr>
        <w:t>项目减少</w:t>
      </w:r>
      <w:r>
        <w:rPr>
          <w:rFonts w:ascii="Times New Roman" w:eastAsia="仿宋_GB2312"/>
          <w:b w:val="0"/>
          <w:sz w:val="32"/>
          <w:szCs w:val="32"/>
        </w:rPr>
        <w:t>。</w:t>
      </w:r>
    </w:p>
    <w:p w14:paraId="4F9EF4E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3.国有资本经营预算财政拨款本年收入0.00万元，比上年增加0.00万元；本年支出0.00万元，比上年增加0.00万元。</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5912525">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1EA52FA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本部门2024年度财政拨款本年收入764.30万元，完成年初预算的3.4%，比年初预算减少21,577.03万元，决算数小于预算数主要原因是</w:t>
      </w:r>
      <w:r>
        <w:rPr>
          <w:rFonts w:hint="eastAsia" w:ascii="Times New Roman" w:eastAsia="仿宋_GB2312"/>
          <w:b w:val="0"/>
          <w:sz w:val="32"/>
          <w:szCs w:val="32"/>
          <w:lang w:val="en-US" w:eastAsia="zh-CN"/>
        </w:rPr>
        <w:t>项目减少</w:t>
      </w:r>
      <w:r>
        <w:rPr>
          <w:rFonts w:ascii="Times New Roman" w:eastAsia="仿宋_GB2312"/>
          <w:b w:val="0"/>
          <w:sz w:val="32"/>
          <w:szCs w:val="32"/>
        </w:rPr>
        <w:t>；本年支出764.30万元，完成年初预算的3.4%，比年初预算减少21,577.03万元，决算数小于预算数主要原因是</w:t>
      </w:r>
      <w:r>
        <w:rPr>
          <w:rFonts w:hint="eastAsia" w:ascii="Times New Roman" w:eastAsia="仿宋_GB2312"/>
          <w:b w:val="0"/>
          <w:sz w:val="32"/>
          <w:szCs w:val="32"/>
          <w:lang w:val="en-US" w:eastAsia="zh-CN"/>
        </w:rPr>
        <w:t>项目减少</w:t>
      </w:r>
      <w:r>
        <w:rPr>
          <w:rFonts w:ascii="Times New Roman" w:eastAsia="仿宋_GB2312"/>
          <w:b w:val="0"/>
          <w:sz w:val="32"/>
          <w:szCs w:val="32"/>
        </w:rPr>
        <w:t>。具体情况如下：</w:t>
      </w:r>
    </w:p>
    <w:p w14:paraId="1239ABC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1.一般公共预算财政拨款本年收入完成年初预算的4.4%，比年初预算减少10,805.04万元，主要原因是</w:t>
      </w:r>
      <w:r>
        <w:rPr>
          <w:rFonts w:hint="eastAsia" w:ascii="Times New Roman" w:eastAsia="仿宋_GB2312"/>
          <w:b w:val="0"/>
          <w:sz w:val="32"/>
          <w:szCs w:val="32"/>
          <w:lang w:val="en-US" w:eastAsia="zh-CN"/>
        </w:rPr>
        <w:t>项目减少</w:t>
      </w:r>
      <w:r>
        <w:rPr>
          <w:rFonts w:ascii="Times New Roman" w:eastAsia="仿宋_GB2312"/>
          <w:b w:val="0"/>
          <w:sz w:val="32"/>
          <w:szCs w:val="32"/>
        </w:rPr>
        <w:t>；支出完成年初预算的4.4%，比年初预算减少10,805.04万元，主要原因是</w:t>
      </w:r>
      <w:r>
        <w:rPr>
          <w:rFonts w:hint="eastAsia" w:ascii="Times New Roman" w:eastAsia="仿宋_GB2312"/>
          <w:b w:val="0"/>
          <w:sz w:val="32"/>
          <w:szCs w:val="32"/>
          <w:lang w:val="en-US" w:eastAsia="zh-CN"/>
        </w:rPr>
        <w:t>补贴资金未全部支出</w:t>
      </w:r>
      <w:r>
        <w:rPr>
          <w:rFonts w:ascii="Times New Roman" w:eastAsia="仿宋_GB2312"/>
          <w:b w:val="0"/>
          <w:sz w:val="32"/>
          <w:szCs w:val="32"/>
        </w:rPr>
        <w:t>。</w:t>
      </w:r>
    </w:p>
    <w:p w14:paraId="08EC48C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2.政府性基金预算财政拨款本年收入完成年初预算的2.5%，比年初预算减少10,771.99万元，主要原因是</w:t>
      </w:r>
      <w:r>
        <w:rPr>
          <w:rFonts w:hint="eastAsia" w:ascii="Times New Roman" w:eastAsia="仿宋_GB2312"/>
          <w:b w:val="0"/>
          <w:sz w:val="32"/>
          <w:szCs w:val="32"/>
          <w:lang w:val="en-US" w:eastAsia="zh-CN"/>
        </w:rPr>
        <w:t>补贴资金未全部支出</w:t>
      </w:r>
      <w:r>
        <w:rPr>
          <w:rFonts w:ascii="Times New Roman" w:eastAsia="仿宋_GB2312"/>
          <w:b w:val="0"/>
          <w:sz w:val="32"/>
          <w:szCs w:val="32"/>
        </w:rPr>
        <w:t>；支出完成年初预算的2.5%，比年初预算减少10,771.99万元，主要原因是</w:t>
      </w:r>
      <w:r>
        <w:rPr>
          <w:rFonts w:hint="eastAsia" w:ascii="Times New Roman" w:eastAsia="仿宋_GB2312"/>
          <w:b w:val="0"/>
          <w:sz w:val="32"/>
          <w:szCs w:val="32"/>
          <w:lang w:val="en-US" w:eastAsia="zh-CN"/>
        </w:rPr>
        <w:t>补贴资金未全部支出</w:t>
      </w:r>
      <w:r>
        <w:rPr>
          <w:rFonts w:ascii="Times New Roman" w:eastAsia="仿宋_GB2312"/>
          <w:b w:val="0"/>
          <w:sz w:val="32"/>
          <w:szCs w:val="32"/>
        </w:rPr>
        <w:t>。</w:t>
      </w:r>
    </w:p>
    <w:p w14:paraId="01CC245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3.国有资本经营预算财政拨款本年收入完成年初预算的0.0%；支出完成年初预算的0.0%，比年初预算增加0.00万元。</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9893550">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6E767EE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2024年度财政拨款支出764.30万元，主要用于以下方面：</w:t>
      </w:r>
    </w:p>
    <w:p w14:paraId="1911BA9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5C8C80B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一般公共服务（类）支出321.46万元，占42.1%</w:t>
      </w:r>
      <w:r>
        <w:rPr>
          <w:rFonts w:hint="eastAsia" w:ascii="Times New Roman" w:eastAsia="仿宋_GB2312"/>
          <w:b w:val="0"/>
          <w:sz w:val="32"/>
          <w:szCs w:val="32"/>
          <w:lang w:eastAsia="zh-CN"/>
        </w:rPr>
        <w:t>；</w:t>
      </w:r>
      <w:r>
        <w:rPr>
          <w:rFonts w:ascii="Times New Roman" w:eastAsia="仿宋_GB2312"/>
          <w:b w:val="0"/>
          <w:sz w:val="32"/>
          <w:szCs w:val="32"/>
        </w:rPr>
        <w:t>其他（类）支出172.25万元，占22.5%。</w:t>
      </w:r>
    </w:p>
    <w:p w14:paraId="6188C6C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47306DF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城乡社区（类）支出270.59万元，占35.4%。</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C9B805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25A526E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2024年度财政拨款基本支出2.94万元，其中：</w:t>
      </w:r>
    </w:p>
    <w:p w14:paraId="44554C7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2.94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74A2306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14:paraId="238EBCF5">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2178C4D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本部门2024年度“三公”经费财政拨款支出预算为4.00万元，支出决算为0.19万元，完成预算的4.8%，较预算减少3.81万元，降低95.3%，主要原因是</w:t>
      </w:r>
      <w:r>
        <w:rPr>
          <w:rFonts w:hint="eastAsia" w:ascii="Times New Roman" w:eastAsia="仿宋_GB2312"/>
          <w:b w:val="0"/>
          <w:sz w:val="32"/>
          <w:szCs w:val="32"/>
        </w:rPr>
        <w:t>贯彻落实中央八项规定精神和厉行节约要求</w:t>
      </w:r>
      <w:r>
        <w:rPr>
          <w:rFonts w:ascii="Times New Roman" w:eastAsia="仿宋_GB2312"/>
          <w:b w:val="0"/>
          <w:sz w:val="32"/>
          <w:szCs w:val="32"/>
        </w:rPr>
        <w:t>；较2023年度决算减少0.61万元，降低76.3%，主要原因是</w:t>
      </w:r>
      <w:r>
        <w:rPr>
          <w:rFonts w:hint="eastAsia" w:ascii="Times New Roman" w:eastAsia="仿宋_GB2312"/>
          <w:b w:val="0"/>
          <w:sz w:val="32"/>
          <w:szCs w:val="32"/>
        </w:rPr>
        <w:t>贯彻落实中央八项规定精神和厉行节约要求</w:t>
      </w:r>
      <w:r>
        <w:rPr>
          <w:rFonts w:ascii="Times New Roman" w:eastAsia="仿宋_GB2312"/>
          <w:b w:val="0"/>
          <w:sz w:val="32"/>
          <w:szCs w:val="32"/>
        </w:rPr>
        <w:t>。</w:t>
      </w:r>
    </w:p>
    <w:p w14:paraId="21678FE5">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2881632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部门2024年度因公出国（境）费支出预算为0.00万元,支出决算0.00万元。完成预算的0.0%。因公出国（境）费支出较预算增加0.00万元，增长0.0%,主要原因是；较上年增加0.00万元，增长0.00%,主要原因是。因公出国（境）团组0个、共0人、参加其他单位组织的因公出国（境）团组个、共人/无本部门组织的出国（境）团组。</w:t>
      </w:r>
    </w:p>
    <w:p w14:paraId="6890659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本部门2024年度公务用车购置及运行维护费预算为3.90万元，支出决算0.19万元，完成预算的4.9%,较预算减少3.71万元，降低95.1%,主要原因是</w:t>
      </w:r>
      <w:r>
        <w:rPr>
          <w:rFonts w:hint="eastAsia" w:ascii="Times New Roman" w:eastAsia="仿宋_GB2312"/>
          <w:b w:val="0"/>
          <w:sz w:val="32"/>
          <w:szCs w:val="32"/>
        </w:rPr>
        <w:t>贯彻落实中央八项规定精神和厉行节约要求</w:t>
      </w:r>
      <w:r>
        <w:rPr>
          <w:rFonts w:ascii="Times New Roman" w:eastAsia="仿宋_GB2312"/>
          <w:b w:val="0"/>
          <w:sz w:val="32"/>
          <w:szCs w:val="32"/>
        </w:rPr>
        <w:t>；较上年减少0.61万元，降低76.3%,主要原因是</w:t>
      </w:r>
      <w:r>
        <w:rPr>
          <w:rFonts w:hint="eastAsia" w:ascii="Times New Roman" w:eastAsia="仿宋_GB2312"/>
          <w:b w:val="0"/>
          <w:sz w:val="32"/>
          <w:szCs w:val="32"/>
        </w:rPr>
        <w:t>贯彻落实中央八项规定精神和厉行节约要求</w:t>
      </w:r>
      <w:r>
        <w:rPr>
          <w:rFonts w:ascii="Times New Roman" w:eastAsia="仿宋_GB2312"/>
          <w:b w:val="0"/>
          <w:sz w:val="32"/>
          <w:szCs w:val="32"/>
        </w:rPr>
        <w:t>。其中：</w:t>
      </w:r>
    </w:p>
    <w:p w14:paraId="6EE49C1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本部门2024年度公务用车购置量0辆，发生“公务用车购置”经费支出0.00万元。公务用车购置费支出较预算增加0.00万元，增长0.0%,主要原因是；较上年增加0.00万元，增长0.00%,主要原因是。</w:t>
      </w:r>
    </w:p>
    <w:p w14:paraId="20DA753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公务用车运行维护费支出0.19万元：</w:t>
      </w:r>
      <w:r>
        <w:rPr>
          <w:rFonts w:ascii="Times New Roman" w:eastAsia="仿宋_GB2312"/>
          <w:b w:val="0"/>
          <w:sz w:val="32"/>
          <w:szCs w:val="32"/>
        </w:rPr>
        <w:t>本部门2024年度单位公务用车保有量1辆，发生运行维护费支出0.19万元。公车运行维护费支出较预算减少3.71万元，降低95.1%,主要原因是</w:t>
      </w:r>
      <w:r>
        <w:rPr>
          <w:rFonts w:hint="eastAsia" w:ascii="Times New Roman" w:eastAsia="仿宋_GB2312"/>
          <w:b w:val="0"/>
          <w:sz w:val="32"/>
          <w:szCs w:val="32"/>
        </w:rPr>
        <w:t>贯彻落实中央八项规定精神和厉行节约要求</w:t>
      </w:r>
      <w:r>
        <w:rPr>
          <w:rFonts w:ascii="Times New Roman" w:eastAsia="仿宋_GB2312"/>
          <w:b w:val="0"/>
          <w:sz w:val="32"/>
          <w:szCs w:val="32"/>
        </w:rPr>
        <w:t>；较上年减少0.61万元，降低76.3%，主要原因是</w:t>
      </w:r>
      <w:r>
        <w:rPr>
          <w:rFonts w:hint="eastAsia" w:ascii="Times New Roman" w:eastAsia="仿宋_GB2312"/>
          <w:b w:val="0"/>
          <w:sz w:val="32"/>
          <w:szCs w:val="32"/>
        </w:rPr>
        <w:t>贯彻落实中央八项规定精神和厉行节约要求</w:t>
      </w:r>
      <w:r>
        <w:rPr>
          <w:rFonts w:ascii="Times New Roman" w:eastAsia="仿宋_GB2312"/>
          <w:b w:val="0"/>
          <w:sz w:val="32"/>
          <w:szCs w:val="32"/>
        </w:rPr>
        <w:t>。</w:t>
      </w:r>
    </w:p>
    <w:p w14:paraId="00E4978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本部门2024年度公务接待费支出预算为0.10万元，支出决算0.00万元，完成预算的0.0%。公务接待费支出较预算减少0.10万元，降低100.0%,主要原因是</w:t>
      </w:r>
      <w:r>
        <w:rPr>
          <w:rFonts w:hint="eastAsia" w:ascii="Times New Roman" w:eastAsia="仿宋_GB2312"/>
          <w:b w:val="0"/>
          <w:sz w:val="32"/>
          <w:szCs w:val="32"/>
        </w:rPr>
        <w:t>贯彻落实中央八项规定精神和厉行节约要求</w:t>
      </w:r>
      <w:r>
        <w:rPr>
          <w:rFonts w:ascii="Times New Roman" w:eastAsia="仿宋_GB2312"/>
          <w:b w:val="0"/>
          <w:sz w:val="32"/>
          <w:szCs w:val="32"/>
        </w:rPr>
        <w:t>；较上年度增加0.00万元，增长0.00%,主要原因是。本年度共发生公务接待0批次、0人次。</w:t>
      </w:r>
    </w:p>
    <w:p w14:paraId="72996EDB">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0C55AD4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本部门2024年度机关运行经费支出2.94万元，较2023年度增加1.21万元，增长70.9%。主要原因是</w:t>
      </w:r>
      <w:r>
        <w:rPr>
          <w:rFonts w:hint="eastAsia" w:ascii="Times New Roman" w:eastAsia="仿宋_GB2312"/>
          <w:b w:val="0"/>
          <w:sz w:val="32"/>
          <w:szCs w:val="32"/>
          <w:lang w:val="en-US" w:eastAsia="zh-CN"/>
        </w:rPr>
        <w:t>人员增加</w:t>
      </w:r>
      <w:r>
        <w:rPr>
          <w:rFonts w:ascii="Times New Roman" w:eastAsia="仿宋_GB2312"/>
          <w:b w:val="0"/>
          <w:sz w:val="32"/>
          <w:szCs w:val="32"/>
        </w:rPr>
        <w:t>。</w:t>
      </w:r>
    </w:p>
    <w:p w14:paraId="3917B52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091EB0D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400.00万元，从采购类型来看，政府采购货物支出0.00万元、政府采购工程支出0.00万元、政府采购服务支出400.00万元。授予中小企业合同金额400.00万元，占政府采购支出总额的100.0%，其中授予小微企业合同金额400.00万元，占政府采购支出总额的100.0%。</w:t>
      </w:r>
    </w:p>
    <w:p w14:paraId="162AF80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4E33AC9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0辆，比上年增加0辆，主要是。其中，副部（省）级及以上领导用车0辆，主要负责人用车0辆，机要通信用车0辆，应急保障用车0辆，执法执勤用车0辆，特种专业技术用车0辆，离退休干部用车0辆，其他用车0辆。单位价值100万元（含）以上设备（不含车辆）0台（套）。</w:t>
      </w:r>
    </w:p>
    <w:p w14:paraId="10D16147">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1C85F57D">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（一）绩效评价工作开展情况</w:t>
      </w:r>
    </w:p>
    <w:p w14:paraId="38D1E9EC">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rPr>
        <w:t>根据预算绩效管理要求，本部门组织对202</w:t>
      </w:r>
      <w:r>
        <w:rPr>
          <w:rFonts w:hint="eastAsia" w:ascii="Times New Roman" w:eastAsia="仿宋_GB2312"/>
          <w:b w:val="0"/>
          <w:sz w:val="32"/>
          <w:szCs w:val="32"/>
          <w:lang w:val="en-US" w:eastAsia="zh-CN"/>
        </w:rPr>
        <w:t>4</w:t>
      </w:r>
      <w:r>
        <w:rPr>
          <w:rFonts w:hint="eastAsia" w:ascii="Times New Roman" w:eastAsia="仿宋_GB2312"/>
          <w:b w:val="0"/>
          <w:sz w:val="32"/>
          <w:szCs w:val="32"/>
        </w:rPr>
        <w:t xml:space="preserve">年度一般公共预算项目支出全面开展绩效自评，其中，一级项目0个，二级项目 </w:t>
      </w:r>
      <w:r>
        <w:rPr>
          <w:rFonts w:hint="eastAsia" w:ascii="Times New Roman" w:eastAsia="仿宋_GB2312"/>
          <w:b w:val="0"/>
          <w:sz w:val="32"/>
          <w:szCs w:val="32"/>
          <w:lang w:val="en-US" w:eastAsia="zh-CN"/>
        </w:rPr>
        <w:t>7</w:t>
      </w:r>
      <w:r>
        <w:rPr>
          <w:rFonts w:hint="eastAsia" w:ascii="Times New Roman" w:eastAsia="仿宋_GB2312"/>
          <w:b w:val="0"/>
          <w:sz w:val="32"/>
          <w:szCs w:val="32"/>
        </w:rPr>
        <w:t xml:space="preserve"> 个，共涉及资金 1</w:t>
      </w:r>
      <w:r>
        <w:rPr>
          <w:rFonts w:hint="eastAsia" w:ascii="Times New Roman" w:eastAsia="仿宋_GB2312"/>
          <w:b w:val="0"/>
          <w:sz w:val="32"/>
          <w:szCs w:val="32"/>
          <w:lang w:val="en-US" w:eastAsia="zh-CN"/>
        </w:rPr>
        <w:t>6</w:t>
      </w:r>
      <w:r>
        <w:rPr>
          <w:rFonts w:hint="eastAsia" w:ascii="Times New Roman" w:eastAsia="仿宋_GB2312"/>
          <w:b w:val="0"/>
          <w:sz w:val="32"/>
          <w:szCs w:val="32"/>
        </w:rPr>
        <w:t>553.92 万元，占一般公共预算项目支出总额的 99.</w:t>
      </w:r>
      <w:r>
        <w:rPr>
          <w:rFonts w:hint="eastAsia" w:ascii="Times New Roman" w:eastAsia="仿宋_GB2312"/>
          <w:b w:val="0"/>
          <w:sz w:val="32"/>
          <w:szCs w:val="32"/>
          <w:lang w:val="en-US" w:eastAsia="zh-CN"/>
        </w:rPr>
        <w:t>1</w:t>
      </w:r>
      <w:r>
        <w:rPr>
          <w:rFonts w:hint="eastAsia" w:ascii="Times New Roman" w:eastAsia="仿宋_GB2312"/>
          <w:b w:val="0"/>
          <w:sz w:val="32"/>
          <w:szCs w:val="32"/>
        </w:rPr>
        <w:t>7%。组织对202</w:t>
      </w:r>
      <w:r>
        <w:rPr>
          <w:rFonts w:hint="eastAsia" w:ascii="Times New Roman" w:eastAsia="仿宋_GB2312"/>
          <w:b w:val="0"/>
          <w:sz w:val="32"/>
          <w:szCs w:val="32"/>
          <w:lang w:val="en-US" w:eastAsia="zh-CN"/>
        </w:rPr>
        <w:t>4</w:t>
      </w:r>
      <w:r>
        <w:rPr>
          <w:rFonts w:hint="eastAsia" w:ascii="Times New Roman" w:eastAsia="仿宋_GB2312"/>
          <w:b w:val="0"/>
          <w:sz w:val="32"/>
          <w:szCs w:val="32"/>
        </w:rPr>
        <w:t>年度自贸区支持政策补贴 1 个政府性基金预算项目支出开展绩效自评，共涉及资金 11</w:t>
      </w:r>
      <w:r>
        <w:rPr>
          <w:rFonts w:hint="eastAsia" w:ascii="Times New Roman" w:eastAsia="仿宋_GB2312"/>
          <w:b w:val="0"/>
          <w:sz w:val="32"/>
          <w:szCs w:val="32"/>
          <w:lang w:val="en-US" w:eastAsia="zh-CN"/>
        </w:rPr>
        <w:t>34</w:t>
      </w:r>
      <w:r>
        <w:rPr>
          <w:rFonts w:hint="eastAsia" w:ascii="Times New Roman" w:eastAsia="仿宋_GB2312"/>
          <w:b w:val="0"/>
          <w:sz w:val="32"/>
          <w:szCs w:val="32"/>
        </w:rPr>
        <w:t>3.</w:t>
      </w:r>
      <w:r>
        <w:rPr>
          <w:rFonts w:hint="eastAsia" w:ascii="Times New Roman" w:eastAsia="仿宋_GB2312"/>
          <w:b w:val="0"/>
          <w:sz w:val="32"/>
          <w:szCs w:val="32"/>
          <w:lang w:val="en-US" w:eastAsia="zh-CN"/>
        </w:rPr>
        <w:t>4</w:t>
      </w:r>
      <w:r>
        <w:rPr>
          <w:rFonts w:hint="eastAsia" w:ascii="Times New Roman" w:eastAsia="仿宋_GB2312"/>
          <w:b w:val="0"/>
          <w:sz w:val="32"/>
          <w:szCs w:val="32"/>
        </w:rPr>
        <w:t>6 万元，占政府性基金预算项目支出总额的100%。组织对 20</w:t>
      </w:r>
      <w:r>
        <w:rPr>
          <w:rFonts w:hint="eastAsia" w:ascii="Times New Roman" w:eastAsia="仿宋_GB2312"/>
          <w:b w:val="0"/>
          <w:sz w:val="32"/>
          <w:szCs w:val="32"/>
          <w:lang w:val="en-US" w:eastAsia="zh-CN"/>
        </w:rPr>
        <w:t>24</w:t>
      </w:r>
      <w:r>
        <w:rPr>
          <w:rFonts w:hint="eastAsia" w:ascii="Times New Roman" w:eastAsia="仿宋_GB2312"/>
          <w:b w:val="0"/>
          <w:sz w:val="32"/>
          <w:szCs w:val="32"/>
        </w:rPr>
        <w:t>年度 0 个国有资本经营预算项目支出开展绩效自评，共涉及资金 0 万元，占国有资本经营预算项目支出总额的 0%。组织对“项目审批专项资金”“自贸区孵化产业园”等2个项目开展了部门评价，涉及一般公共预算支出</w:t>
      </w:r>
      <w:r>
        <w:rPr>
          <w:rFonts w:hint="eastAsia" w:ascii="Times New Roman" w:eastAsia="仿宋_GB2312"/>
          <w:b w:val="0"/>
          <w:sz w:val="32"/>
          <w:szCs w:val="32"/>
          <w:lang w:val="en-US" w:eastAsia="zh-CN"/>
        </w:rPr>
        <w:t>507</w:t>
      </w:r>
      <w:r>
        <w:rPr>
          <w:rFonts w:hint="eastAsia" w:ascii="Times New Roman" w:eastAsia="仿宋_GB2312"/>
          <w:b w:val="0"/>
          <w:sz w:val="32"/>
          <w:szCs w:val="32"/>
        </w:rPr>
        <w:t>.22万元，政府性基金预算支出 0 万元，国有资本经营预算支出0万元。从评价情况来看，指标体系设定满分为100 分，总得分100分，评价等级为优秀。</w:t>
      </w:r>
    </w:p>
    <w:p w14:paraId="3FF04818">
      <w:pPr>
        <w:widowControl/>
        <w:numPr>
          <w:ilvl w:val="0"/>
          <w:numId w:val="2"/>
        </w:numPr>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部门决算中项目绩效自评结果</w:t>
      </w:r>
    </w:p>
    <w:p w14:paraId="7F8BDFBC">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rPr>
        <w:t>本部门在今年部门决算公开中反映“项目审批专项资金”“自贸区孵化产业园”项目等2 个项目绩效自评结果。项目审批专项资金项目绩效自评情况：根据年初设定的绩效目标，项目审批专项资金项目绩效自评得分为100分（绩效自评表附后）。全年预算数为1</w:t>
      </w:r>
      <w:r>
        <w:rPr>
          <w:rFonts w:hint="eastAsia" w:ascii="Times New Roman" w:eastAsia="仿宋_GB2312"/>
          <w:b w:val="0"/>
          <w:sz w:val="32"/>
          <w:szCs w:val="32"/>
          <w:lang w:val="en-US" w:eastAsia="zh-CN"/>
        </w:rPr>
        <w:t>32</w:t>
      </w:r>
      <w:r>
        <w:rPr>
          <w:rFonts w:hint="eastAsia" w:ascii="Times New Roman" w:eastAsia="仿宋_GB2312"/>
          <w:b w:val="0"/>
          <w:sz w:val="32"/>
          <w:szCs w:val="32"/>
        </w:rPr>
        <w:t>.75 万元，执行数为1</w:t>
      </w:r>
      <w:r>
        <w:rPr>
          <w:rFonts w:hint="eastAsia" w:ascii="Times New Roman" w:eastAsia="仿宋_GB2312"/>
          <w:b w:val="0"/>
          <w:sz w:val="32"/>
          <w:szCs w:val="32"/>
          <w:lang w:val="en-US" w:eastAsia="zh-CN"/>
        </w:rPr>
        <w:t>32</w:t>
      </w:r>
      <w:r>
        <w:rPr>
          <w:rFonts w:hint="eastAsia" w:ascii="Times New Roman" w:eastAsia="仿宋_GB2312"/>
          <w:b w:val="0"/>
          <w:sz w:val="32"/>
          <w:szCs w:val="32"/>
        </w:rPr>
        <w:t>.75万元，完成预算的 100%。项目绩效目标完成情况：确保固定资产项目的审批核准备案。通过项目实施，完成了年初设定的各项绩效目标，完成确保固定资产项目的审批核准备案。未发现问题</w:t>
      </w:r>
      <w:r>
        <w:rPr>
          <w:rFonts w:hint="eastAsia" w:ascii="Times New Roman" w:eastAsia="仿宋_GB2312"/>
          <w:b w:val="0"/>
          <w:sz w:val="32"/>
          <w:szCs w:val="32"/>
          <w:lang w:eastAsia="zh-CN"/>
        </w:rPr>
        <w:t>。</w:t>
      </w:r>
    </w:p>
    <w:p w14:paraId="5D606A8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lang w:val="en-US" w:eastAsia="zh-CN"/>
        </w:rPr>
        <w:t>自贸区孵化产业园项目绩效自评情况。根据年初设定的绩效目标，自贸区孵化产业园项目绩效自评得分为100分（绩效自评表附后）。全年预算数为458.0 万元，执行数为456.47万元，完成预算的 99.67%。通过项目实施，完成了年初设定的各项绩效目标。未发现问题。</w:t>
      </w:r>
    </w:p>
    <w:p w14:paraId="46C3B690">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00909D5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1.本部门2024年度国有资本经营预算财政拨款支出决算表（公开08表）无相应收支，故空表列示。</w:t>
      </w:r>
    </w:p>
    <w:p w14:paraId="64BB53D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2E3CB738">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14:paraId="3E81F01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1B720F4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2802634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7343009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56F4D65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6116FEA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4531D96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0BF88EE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039D839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1AC5BBE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39E3354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14:paraId="4FD9380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0E94169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1847C93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03A6CCD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788E6AD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7780985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4CBCE8B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5DF2AB89-66D8-48FE-960C-46C282A7648F}"/>
  </w:font>
  <w:font w:name="黑体">
    <w:panose1 w:val="02010609060101010101"/>
    <w:charset w:val="86"/>
    <w:family w:val="auto"/>
    <w:pitch w:val="default"/>
    <w:sig w:usb0="800002BF" w:usb1="38CF7CFA" w:usb2="00000016" w:usb3="00000000" w:csb0="00040001" w:csb1="00000000"/>
    <w:embedRegular r:id="rId2" w:fontKey="{6829C6AA-2B88-4A19-9A56-8462F950E5D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38964998-8647-49D1-A1CE-F7B0F46C3D3E}"/>
  </w:font>
  <w:font w:name="仿宋">
    <w:panose1 w:val="02010609060101010101"/>
    <w:charset w:val="86"/>
    <w:family w:val="modern"/>
    <w:pitch w:val="default"/>
    <w:sig w:usb0="800002BF" w:usb1="38CF7CFA" w:usb2="00000016" w:usb3="00000000" w:csb0="00040001" w:csb1="00000000"/>
    <w:embedRegular r:id="rId4" w:fontKey="{7FD545EB-F1F5-437C-9DA5-D063F804CAC2}"/>
  </w:font>
  <w:font w:name="Calibri Light">
    <w:panose1 w:val="020F0302020204030204"/>
    <w:charset w:val="00"/>
    <w:family w:val="auto"/>
    <w:pitch w:val="default"/>
    <w:sig w:usb0="E4002EFF" w:usb1="C2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38CA3FAF-5B1E-4B42-9A30-1D503F55BD07}"/>
  </w:font>
  <w:font w:name="方正小标宋_GBK">
    <w:panose1 w:val="02000000000000000000"/>
    <w:charset w:val="86"/>
    <w:family w:val="script"/>
    <w:pitch w:val="default"/>
    <w:sig w:usb0="A00002BF" w:usb1="38CF7CFA" w:usb2="00082016" w:usb3="00000000" w:csb0="00040001" w:csb1="00000000"/>
    <w:embedRegular r:id="rId6" w:fontKey="{9B3CD8ED-433E-466D-9779-E4F4FD1DE90B}"/>
  </w:font>
  <w:font w:name="仿宋_GB2312">
    <w:panose1 w:val="02010609030101010101"/>
    <w:charset w:val="86"/>
    <w:family w:val="auto"/>
    <w:pitch w:val="default"/>
    <w:sig w:usb0="00000001" w:usb1="080E0000" w:usb2="00000000" w:usb3="00000000" w:csb0="00040000" w:csb1="00000000"/>
    <w:embedRegular r:id="rId7" w:fontKey="{2F42D99D-5215-4DF1-9DE2-015C4DC220A5}"/>
  </w:font>
  <w:font w:name="ArialUnicodeMS">
    <w:altName w:val="Malgun Gothic"/>
    <w:panose1 w:val="00000000000000000000"/>
    <w:charset w:val="81"/>
    <w:family w:val="auto"/>
    <w:pitch w:val="default"/>
    <w:sig w:usb0="00000000" w:usb1="00000000" w:usb2="00000010" w:usb3="00000000" w:csb0="00080001" w:csb1="00000000"/>
    <w:embedRegular r:id="rId8" w:fontKey="{24E32E72-D939-42E1-8D40-4984D6829260}"/>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BCD538B6-9B39-4FFD-86C5-4EA6E1C85D33}"/>
  </w:font>
  <w:font w:name="WPSEMBED21">
    <w:panose1 w:val="02010609030101010101"/>
    <w:charset w:val="86"/>
    <w:family w:val="auto"/>
    <w:pitch w:val="default"/>
    <w:sig w:usb0="00000001" w:usb1="080E0000" w:usb2="00000000" w:usb3="00000000" w:csb0="00040000" w:csb1="00000000"/>
  </w:font>
  <w:font w:name="WPSEMBED22">
    <w:panose1 w:val="02000000000000000000"/>
    <w:charset w:val="86"/>
    <w:family w:val="auto"/>
    <w:pitch w:val="default"/>
    <w:sig w:usb0="A00002BF" w:usb1="38CF7CFA" w:usb2="00082016" w:usb3="00000000" w:csb0="00040001" w:csb1="00000000"/>
  </w:font>
  <w:font w:name="WPSEMBED23">
    <w:panose1 w:val="02010609030101010101"/>
    <w:charset w:val="86"/>
    <w:family w:val="auto"/>
    <w:pitch w:val="default"/>
    <w:sig w:usb0="00000001" w:usb1="080E0000" w:usb2="00000000" w:usb3="00000000" w:csb0="00040000" w:csb1="00000000"/>
  </w:font>
  <w:font w:name="WPSEMBED24">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8978A">
    <w:pPr>
      <w:pStyle w:val="8"/>
      <w:jc w:val="center"/>
    </w:pPr>
  </w:p>
  <w:p w14:paraId="7AD7F6BA">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AB46A3">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5D61CEF"/>
    <w:multiLevelType w:val="singleLevel"/>
    <w:tmpl w:val="D5D61CEF"/>
    <w:lvl w:ilvl="0" w:tentative="0">
      <w:start w:val="2"/>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75158"/>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B842F0"/>
    <w:rsid w:val="1DD70E85"/>
    <w:rsid w:val="1DE74AD7"/>
    <w:rsid w:val="1DF60A19"/>
    <w:rsid w:val="1DFA6713"/>
    <w:rsid w:val="1E050843"/>
    <w:rsid w:val="1E2D3FB0"/>
    <w:rsid w:val="1E2E50F1"/>
    <w:rsid w:val="1E3B4E26"/>
    <w:rsid w:val="1EBF05BD"/>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7E4598"/>
    <w:rsid w:val="2EBD223E"/>
    <w:rsid w:val="2EC10AD1"/>
    <w:rsid w:val="2ECB6A5A"/>
    <w:rsid w:val="2EE65418"/>
    <w:rsid w:val="2EFC0112"/>
    <w:rsid w:val="2F0F6197"/>
    <w:rsid w:val="2F2B730D"/>
    <w:rsid w:val="2F9F3DC1"/>
    <w:rsid w:val="2FFC7AC2"/>
    <w:rsid w:val="301430AF"/>
    <w:rsid w:val="30630612"/>
    <w:rsid w:val="308E59B0"/>
    <w:rsid w:val="30913CF1"/>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89570D"/>
    <w:rsid w:val="7B936F45"/>
    <w:rsid w:val="7BA47419"/>
    <w:rsid w:val="7BB10D45"/>
    <w:rsid w:val="7BB44151"/>
    <w:rsid w:val="7C656A39"/>
    <w:rsid w:val="7CB93996"/>
    <w:rsid w:val="7CBE0F99"/>
    <w:rsid w:val="7D4E45F1"/>
    <w:rsid w:val="7D7035DC"/>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6.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30365.58</c:v>
                </c:pt>
                <c:pt idx="1">
                  <c:v>764.3</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7643021.38</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29372.58</c:v>
                </c:pt>
                <c:pt idx="1">
                  <c:v>7613648.8</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30365.58</c:v>
                </c:pt>
                <c:pt idx="1">
                  <c:v>30365.37</c:v>
                </c:pt>
                <c:pt idx="2">
                  <c:v>18692.22</c:v>
                </c:pt>
                <c:pt idx="3">
                  <c:v>18692.01</c:v>
                </c:pt>
                <c:pt idx="4">
                  <c:v>11673.36</c:v>
                </c:pt>
                <c:pt idx="5">
                  <c:v>11673.36</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764.3</c:v>
                </c:pt>
                <c:pt idx="1">
                  <c:v>764.3</c:v>
                </c:pt>
                <c:pt idx="2">
                  <c:v>493.71</c:v>
                </c:pt>
                <c:pt idx="3">
                  <c:v>493.71</c:v>
                </c:pt>
                <c:pt idx="4">
                  <c:v>270.59</c:v>
                </c:pt>
                <c:pt idx="5">
                  <c:v>270.59</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22341.33</c:v>
                </c:pt>
                <c:pt idx="1">
                  <c:v>22341.33</c:v>
                </c:pt>
                <c:pt idx="2">
                  <c:v>11298.75</c:v>
                </c:pt>
                <c:pt idx="3">
                  <c:v>11298.75</c:v>
                </c:pt>
                <c:pt idx="4">
                  <c:v>11042.58</c:v>
                </c:pt>
                <c:pt idx="5">
                  <c:v>11042.58</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764.3</c:v>
                </c:pt>
                <c:pt idx="1">
                  <c:v>764.3</c:v>
                </c:pt>
                <c:pt idx="2">
                  <c:v>493.71</c:v>
                </c:pt>
                <c:pt idx="3">
                  <c:v>493.71</c:v>
                </c:pt>
                <c:pt idx="4">
                  <c:v>270.59</c:v>
                </c:pt>
                <c:pt idx="5">
                  <c:v>270.59</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321.46</c:v>
                </c:pt>
                <c:pt idx="1">
                  <c:v>0</c:v>
                </c:pt>
                <c:pt idx="2">
                  <c:v>0</c:v>
                </c:pt>
                <c:pt idx="3">
                  <c:v>0</c:v>
                </c:pt>
                <c:pt idx="4">
                  <c:v>0</c:v>
                </c:pt>
                <c:pt idx="5">
                  <c:v>0</c:v>
                </c:pt>
                <c:pt idx="6">
                  <c:v>0</c:v>
                </c:pt>
                <c:pt idx="7">
                  <c:v>0</c:v>
                </c:pt>
                <c:pt idx="8">
                  <c:v>0</c:v>
                </c:pt>
                <c:pt idx="9">
                  <c:v>0</c:v>
                </c:pt>
                <c:pt idx="10">
                  <c:v>270.59</c:v>
                </c:pt>
                <c:pt idx="11">
                  <c:v>0</c:v>
                </c:pt>
                <c:pt idx="12">
                  <c:v>0</c:v>
                </c:pt>
                <c:pt idx="13">
                  <c:v>0</c:v>
                </c:pt>
                <c:pt idx="14">
                  <c:v>0</c:v>
                </c:pt>
                <c:pt idx="15">
                  <c:v>0</c:v>
                </c:pt>
                <c:pt idx="16">
                  <c:v>0</c:v>
                </c:pt>
                <c:pt idx="17">
                  <c:v>0</c:v>
                </c:pt>
                <c:pt idx="18">
                  <c:v>0</c:v>
                </c:pt>
                <c:pt idx="19">
                  <c:v>0</c:v>
                </c:pt>
                <c:pt idx="20">
                  <c:v>0</c:v>
                </c:pt>
                <c:pt idx="21">
                  <c:v>0</c:v>
                </c:pt>
                <c:pt idx="22">
                  <c:v>172.25</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35</Pages>
  <Words>2039</Words>
  <Characters>2602</Characters>
  <Lines>86</Lines>
  <Paragraphs>24</Paragraphs>
  <TotalTime>31</TotalTime>
  <ScaleCrop>false</ScaleCrop>
  <LinksUpToDate>false</LinksUpToDate>
  <CharactersWithSpaces>2820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2025-11-12T09:17:50Z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58E02C16601A4C8FB188625EA942CBFD_13</vt:lpwstr>
  </property>
  <property fmtid="{D5CDD505-2E9C-101B-9397-08002B2CF9AE}" pid="4" name="KSOTemplateUUID">
    <vt:lpwstr>v1.0_mb_S7ajbG3IpAnL1wSthNCxfw==</vt:lpwstr>
  </property>
  <property fmtid="{D5CDD505-2E9C-101B-9397-08002B2CF9AE}" pid="5" name="KSOTemplateDocerSaveRecord">
    <vt:lpwstr>eyJoZGlkIjoiMTNhZDE1MDRjMjI0MjQ2OGU2M2QyMGNmNGQ4NDdiYjciLCJ1c2VySWQiOiIyNzYyNDcwODQifQ==</vt:lpwstr>
  </property>
</Properties>
</file>