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303</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：正定新区发展改革和审计局</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1C0D69A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正定新区发展改革和审计局</w:t>
      </w:r>
    </w:p>
    <w:p w14:paraId="789CD1D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3039F6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正定新区发展改革和审计局(单位名称，加盖公章）</w:t>
      </w:r>
    </w:p>
    <w:p w14:paraId="1DD9AFA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bookmarkStart w:id="0" w:name="_GoBack"/>
      <w:bookmarkEnd w:id="0"/>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8536AC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133B38E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30CE8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BB311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424B205">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13664F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0820C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1BD93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18BB2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116BC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74082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1A99E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A0747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CC0B9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D3F879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178764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9BC54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98442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DA20E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5E386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1EA1B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23490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C6B50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41188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90227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3DF8AC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E3731F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5674806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E732E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1. 省、市重点建设项目管理，按照县发改局要求，组织填报《重点项目包联帮扶情况台账》，并按时保质完成省、市重点建设项目月报工作。积极谋划申请省、市重点建设项目 。为分包项目提供保姆式服务，定期与项目单位沟通并进行现场督导。2.完成新区固定资产投资项目入统及后续数据上报工作；对符合申请资金要求的项目积极申请中央资金、债券等资金。3.政府投资项目及国家规定由县区审批的投资项目审批，包括项目建议书审批、可行性研究报告审批、初步设计及概算审批等；企业投资的固定资产投资项目核准；企业投资建设的投资项目备案；固定资产投资项目立项过程中的节能评估和审查、社会稳定风险评估和审查、项目招标方案和不招标申请核准、环境影响评价审查。4.招商引资等相关职能。</w:t>
      </w:r>
    </w:p>
    <w:p w14:paraId="3AC6C5C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456CB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正定新区发展改革和审计局（本级）</w:t>
            </w:r>
          </w:p>
        </w:tc>
        <w:tc>
          <w:tcPr>
            <w:tcW w:w="244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ind w:firstLine="640" w:firstLineChars="200"/>
        <w:rPr>
          <w:rFonts w:hint="eastAsia" w:ascii="Times New Roman" w:hAnsi="Times New Roman" w:eastAsia="黑体" w:cs="Times New Roman"/>
          <w:sz w:val="32"/>
          <w:szCs w:val="32"/>
          <w:highlight w:val="yellow"/>
        </w:rPr>
      </w:pPr>
      <w:r>
        <w:rPr>
          <w:rFonts w:hint="eastAsia" w:ascii="Times New Roman" w:eastAsia="仿宋_GB2312"/>
          <w:sz w:val="32"/>
          <w:szCs w:val="32"/>
        </w:rPr>
        <w:t>我部门无二级预算单位，因此，正定新区发展改革和审计局 202</w:t>
      </w:r>
      <w:r>
        <w:rPr>
          <w:rFonts w:hint="eastAsia" w:ascii="Times New Roman" w:eastAsia="仿宋_GB2312"/>
          <w:sz w:val="32"/>
          <w:szCs w:val="32"/>
          <w:lang w:val="en-US" w:eastAsia="zh-CN"/>
        </w:rPr>
        <w:t>4</w:t>
      </w:r>
      <w:r>
        <w:rPr>
          <w:rFonts w:hint="eastAsia" w:ascii="Times New Roman" w:eastAsia="仿宋_GB2312"/>
          <w:sz w:val="32"/>
          <w:szCs w:val="32"/>
        </w:rPr>
        <w:t>年度部门决算即正定新区发展改革和审计局本级 202</w:t>
      </w:r>
      <w:r>
        <w:rPr>
          <w:rFonts w:hint="eastAsia" w:ascii="Times New Roman" w:eastAsia="仿宋_GB2312"/>
          <w:sz w:val="32"/>
          <w:szCs w:val="32"/>
          <w:lang w:val="en-US" w:eastAsia="zh-CN"/>
        </w:rPr>
        <w:t>4</w:t>
      </w:r>
      <w:r>
        <w:rPr>
          <w:rFonts w:hint="eastAsia" w:ascii="Times New Roman" w:eastAsia="仿宋_GB2312"/>
          <w:sz w:val="32"/>
          <w:szCs w:val="32"/>
        </w:rPr>
        <w:t xml:space="preserve"> 年度决算。</w:t>
      </w:r>
      <w:r>
        <w:rPr>
          <w:rFonts w:hint="eastAsia" w:ascii="Times New Roman" w:hAnsi="Times New Roman" w:eastAsia="黑体" w:cs="Times New Roman"/>
          <w:sz w:val="32"/>
          <w:szCs w:val="32"/>
          <w:highlight w:val="yellow"/>
        </w:rPr>
        <w:br w:type="page"/>
      </w:r>
    </w:p>
    <w:p w14:paraId="59E0454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部门（单位）：正定新区发展改革和审计局</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764.30</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764.30</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321.46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321.46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071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0B60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33F90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53F03A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5E3397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058FB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97A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384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3C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CBD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B43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9A71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22407B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29EED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38EB6C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1711F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A07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2553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0D88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310F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9F3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3DB8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w:t>
            </w:r>
          </w:p>
        </w:tc>
        <w:tc>
          <w:tcPr>
            <w:tcW w:w="1160" w:type="dxa"/>
            <w:tcBorders>
              <w:top w:val="nil"/>
              <w:left w:val="nil"/>
              <w:bottom w:val="single" w:color="000000" w:sz="4" w:space="0"/>
              <w:right w:val="single" w:color="000000" w:sz="4" w:space="0"/>
            </w:tcBorders>
            <w:noWrap/>
            <w:vAlign w:val="center"/>
          </w:tcPr>
          <w:p w14:paraId="39104D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发展与改革事务</w:t>
            </w:r>
          </w:p>
        </w:tc>
        <w:tc>
          <w:tcPr>
            <w:tcW w:w="1037" w:type="dxa"/>
            <w:tcBorders>
              <w:top w:val="nil"/>
              <w:left w:val="nil"/>
              <w:bottom w:val="single" w:color="000000" w:sz="4" w:space="0"/>
              <w:right w:val="single" w:color="000000" w:sz="4" w:space="0"/>
            </w:tcBorders>
            <w:noWrap/>
            <w:vAlign w:val="center"/>
          </w:tcPr>
          <w:p w14:paraId="533214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185.14</w:t>
            </w:r>
          </w:p>
        </w:tc>
        <w:tc>
          <w:tcPr>
            <w:tcW w:w="1037" w:type="dxa"/>
            <w:tcBorders>
              <w:top w:val="nil"/>
              <w:left w:val="nil"/>
              <w:bottom w:val="single" w:color="000000" w:sz="4" w:space="0"/>
              <w:right w:val="single" w:color="000000" w:sz="4" w:space="0"/>
            </w:tcBorders>
            <w:noWrap/>
            <w:vAlign w:val="center"/>
          </w:tcPr>
          <w:p w14:paraId="51D0C8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185.14</w:t>
            </w:r>
          </w:p>
        </w:tc>
        <w:tc>
          <w:tcPr>
            <w:tcW w:w="1037" w:type="dxa"/>
            <w:tcBorders>
              <w:top w:val="nil"/>
              <w:left w:val="nil"/>
              <w:bottom w:val="single" w:color="000000" w:sz="4" w:space="0"/>
              <w:right w:val="single" w:color="000000" w:sz="4" w:space="0"/>
            </w:tcBorders>
            <w:noWrap/>
            <w:vAlign w:val="center"/>
          </w:tcPr>
          <w:p w14:paraId="7D87DC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09F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DC63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D87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E796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F2C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D3E9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2010401</w:t>
            </w:r>
          </w:p>
        </w:tc>
        <w:tc>
          <w:tcPr>
            <w:tcW w:w="1160" w:type="dxa"/>
            <w:tcBorders>
              <w:top w:val="nil"/>
              <w:left w:val="nil"/>
              <w:bottom w:val="single" w:color="000000" w:sz="4" w:space="0"/>
              <w:right w:val="single" w:color="000000" w:sz="4" w:space="0"/>
            </w:tcBorders>
            <w:noWrap/>
            <w:vAlign w:val="center"/>
          </w:tcPr>
          <w:p w14:paraId="21E7A2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87B1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w:t>
            </w:r>
          </w:p>
        </w:tc>
        <w:tc>
          <w:tcPr>
            <w:tcW w:w="1037" w:type="dxa"/>
            <w:tcBorders>
              <w:top w:val="nil"/>
              <w:left w:val="nil"/>
              <w:bottom w:val="single" w:color="000000" w:sz="4" w:space="0"/>
              <w:right w:val="single" w:color="000000" w:sz="4" w:space="0"/>
            </w:tcBorders>
            <w:noWrap/>
            <w:vAlign w:val="center"/>
          </w:tcPr>
          <w:p w14:paraId="148F8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w:t>
            </w:r>
          </w:p>
        </w:tc>
        <w:tc>
          <w:tcPr>
            <w:tcW w:w="1037" w:type="dxa"/>
            <w:tcBorders>
              <w:top w:val="nil"/>
              <w:left w:val="nil"/>
              <w:bottom w:val="single" w:color="000000" w:sz="4" w:space="0"/>
              <w:right w:val="single" w:color="000000" w:sz="4" w:space="0"/>
            </w:tcBorders>
            <w:noWrap/>
            <w:vAlign w:val="center"/>
          </w:tcPr>
          <w:p w14:paraId="33DA06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C67D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AE86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0E69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B02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C06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4C03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2010499</w:t>
            </w:r>
          </w:p>
        </w:tc>
        <w:tc>
          <w:tcPr>
            <w:tcW w:w="1160" w:type="dxa"/>
            <w:tcBorders>
              <w:top w:val="nil"/>
              <w:left w:val="nil"/>
              <w:bottom w:val="single" w:color="000000" w:sz="4" w:space="0"/>
              <w:right w:val="single" w:color="000000" w:sz="4" w:space="0"/>
            </w:tcBorders>
            <w:noWrap/>
            <w:vAlign w:val="center"/>
          </w:tcPr>
          <w:p w14:paraId="3EE4B2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其他发展与改革事务支出</w:t>
            </w:r>
          </w:p>
        </w:tc>
        <w:tc>
          <w:tcPr>
            <w:tcW w:w="1037" w:type="dxa"/>
            <w:tcBorders>
              <w:top w:val="nil"/>
              <w:left w:val="nil"/>
              <w:bottom w:val="single" w:color="000000" w:sz="4" w:space="0"/>
              <w:right w:val="single" w:color="000000" w:sz="4" w:space="0"/>
            </w:tcBorders>
            <w:noWrap/>
            <w:vAlign w:val="center"/>
          </w:tcPr>
          <w:p w14:paraId="3AB7C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181.62</w:t>
            </w:r>
          </w:p>
        </w:tc>
        <w:tc>
          <w:tcPr>
            <w:tcW w:w="1037" w:type="dxa"/>
            <w:tcBorders>
              <w:top w:val="nil"/>
              <w:left w:val="nil"/>
              <w:bottom w:val="single" w:color="000000" w:sz="4" w:space="0"/>
              <w:right w:val="single" w:color="000000" w:sz="4" w:space="0"/>
            </w:tcBorders>
            <w:noWrap/>
            <w:vAlign w:val="center"/>
          </w:tcPr>
          <w:p w14:paraId="338C2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181.62</w:t>
            </w:r>
          </w:p>
        </w:tc>
        <w:tc>
          <w:tcPr>
            <w:tcW w:w="1037" w:type="dxa"/>
            <w:tcBorders>
              <w:top w:val="nil"/>
              <w:left w:val="nil"/>
              <w:bottom w:val="single" w:color="000000" w:sz="4" w:space="0"/>
              <w:right w:val="single" w:color="000000" w:sz="4" w:space="0"/>
            </w:tcBorders>
            <w:noWrap/>
            <w:vAlign w:val="center"/>
          </w:tcPr>
          <w:p w14:paraId="1E2F9C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33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AA5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1042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DA22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D08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5B26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42C570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1CC44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012A7A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67287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EDB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00E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3C46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840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FC8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A5BE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02F673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395AA1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2CDBEB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71B63D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9CCC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F80D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766A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517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365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F34E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08A5B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49EC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69D1E1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29CAE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44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D40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184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BB0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57C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9DFD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5A2341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4F9C1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15FFA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07D64B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15E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FB20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017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D1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363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EE45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45BAB1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14:paraId="0D48C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3D505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6978D4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1E17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D3E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2670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87C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AB7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EF3A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4AE56B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6BBD4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13C1A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0171C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131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AF72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8667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851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010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2BA6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14:paraId="4FA3EC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529F0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7C68EC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6B8E5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0DC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7501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142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437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794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17FE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14:paraId="1C4B46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2A2C5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0AAEDC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788BE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FFB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889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024C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6F5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2.94</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761.36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321.46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318.52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BA48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EB72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618A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3A9D7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3CF982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C2F4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1FDC91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5914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10A4EE">
            <w:pPr>
              <w:jc w:val="right"/>
              <w:rPr>
                <w:rFonts w:hint="default" w:ascii="Times New Roman" w:hAnsi="Times New Roman" w:eastAsia="宋体" w:cs="Times New Roman"/>
                <w:i w:val="0"/>
                <w:iCs w:val="0"/>
                <w:color w:val="000000"/>
                <w:sz w:val="20"/>
                <w:szCs w:val="20"/>
                <w:highlight w:val="none"/>
                <w:u w:val="none"/>
              </w:rPr>
            </w:pPr>
          </w:p>
        </w:tc>
      </w:tr>
      <w:tr w14:paraId="0A287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CF5C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7A2D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B2CD5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7DACE2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411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20C315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29C0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B42DF1">
            <w:pPr>
              <w:jc w:val="right"/>
              <w:rPr>
                <w:rFonts w:hint="default" w:ascii="Times New Roman" w:hAnsi="Times New Roman" w:eastAsia="宋体" w:cs="Times New Roman"/>
                <w:i w:val="0"/>
                <w:iCs w:val="0"/>
                <w:color w:val="000000"/>
                <w:sz w:val="20"/>
                <w:szCs w:val="20"/>
                <w:highlight w:val="none"/>
                <w:u w:val="none"/>
              </w:rPr>
            </w:pPr>
          </w:p>
        </w:tc>
      </w:tr>
      <w:tr w14:paraId="4FE92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D1DA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w:t>
            </w:r>
          </w:p>
        </w:tc>
        <w:tc>
          <w:tcPr>
            <w:tcW w:w="635" w:type="pct"/>
            <w:tcBorders>
              <w:top w:val="nil"/>
              <w:left w:val="nil"/>
              <w:bottom w:val="single" w:color="000000" w:sz="4" w:space="0"/>
              <w:right w:val="single" w:color="000000" w:sz="4" w:space="0"/>
            </w:tcBorders>
            <w:noWrap/>
            <w:vAlign w:val="center"/>
          </w:tcPr>
          <w:p w14:paraId="7A49B9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发展与改革事务</w:t>
            </w:r>
          </w:p>
        </w:tc>
        <w:tc>
          <w:tcPr>
            <w:tcW w:w="603" w:type="pct"/>
            <w:tcBorders>
              <w:top w:val="nil"/>
              <w:left w:val="nil"/>
              <w:bottom w:val="single" w:color="000000" w:sz="4" w:space="0"/>
              <w:right w:val="single" w:color="000000" w:sz="4" w:space="0"/>
            </w:tcBorders>
            <w:noWrap/>
            <w:vAlign w:val="center"/>
          </w:tcPr>
          <w:p w14:paraId="7FE86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185.14</w:t>
            </w:r>
          </w:p>
        </w:tc>
        <w:tc>
          <w:tcPr>
            <w:tcW w:w="602" w:type="pct"/>
            <w:gridSpan w:val="2"/>
            <w:tcBorders>
              <w:top w:val="nil"/>
              <w:left w:val="nil"/>
              <w:bottom w:val="single" w:color="000000" w:sz="4" w:space="0"/>
              <w:right w:val="single" w:color="000000" w:sz="4" w:space="0"/>
            </w:tcBorders>
            <w:noWrap/>
            <w:vAlign w:val="center"/>
          </w:tcPr>
          <w:p w14:paraId="3B6D4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687224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182.21</w:t>
            </w:r>
          </w:p>
        </w:tc>
        <w:tc>
          <w:tcPr>
            <w:tcW w:w="602" w:type="pct"/>
            <w:gridSpan w:val="2"/>
            <w:tcBorders>
              <w:top w:val="nil"/>
              <w:left w:val="nil"/>
              <w:bottom w:val="single" w:color="000000" w:sz="4" w:space="0"/>
              <w:right w:val="single" w:color="000000" w:sz="4" w:space="0"/>
            </w:tcBorders>
            <w:noWrap/>
            <w:vAlign w:val="center"/>
          </w:tcPr>
          <w:p w14:paraId="2C809B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84DE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1A6459">
            <w:pPr>
              <w:jc w:val="right"/>
              <w:rPr>
                <w:rFonts w:hint="default" w:ascii="Times New Roman" w:hAnsi="Times New Roman" w:eastAsia="宋体" w:cs="Times New Roman"/>
                <w:i w:val="0"/>
                <w:iCs w:val="0"/>
                <w:color w:val="000000"/>
                <w:sz w:val="20"/>
                <w:szCs w:val="20"/>
                <w:highlight w:val="none"/>
                <w:u w:val="none"/>
              </w:rPr>
            </w:pPr>
          </w:p>
        </w:tc>
      </w:tr>
      <w:tr w14:paraId="02209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285C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2010401</w:t>
            </w:r>
          </w:p>
        </w:tc>
        <w:tc>
          <w:tcPr>
            <w:tcW w:w="635" w:type="pct"/>
            <w:tcBorders>
              <w:top w:val="nil"/>
              <w:left w:val="nil"/>
              <w:bottom w:val="single" w:color="000000" w:sz="4" w:space="0"/>
              <w:right w:val="single" w:color="000000" w:sz="4" w:space="0"/>
            </w:tcBorders>
            <w:noWrap/>
            <w:vAlign w:val="center"/>
          </w:tcPr>
          <w:p w14:paraId="0A6386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CEDF7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w:t>
            </w:r>
          </w:p>
        </w:tc>
        <w:tc>
          <w:tcPr>
            <w:tcW w:w="602" w:type="pct"/>
            <w:gridSpan w:val="2"/>
            <w:tcBorders>
              <w:top w:val="nil"/>
              <w:left w:val="nil"/>
              <w:bottom w:val="single" w:color="000000" w:sz="4" w:space="0"/>
              <w:right w:val="single" w:color="000000" w:sz="4" w:space="0"/>
            </w:tcBorders>
            <w:noWrap/>
            <w:vAlign w:val="center"/>
          </w:tcPr>
          <w:p w14:paraId="1386EB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0DBF2C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14:paraId="6FF2EF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26A2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A5613D">
            <w:pPr>
              <w:jc w:val="right"/>
              <w:rPr>
                <w:rFonts w:hint="default" w:ascii="Times New Roman" w:hAnsi="Times New Roman" w:eastAsia="宋体" w:cs="Times New Roman"/>
                <w:i w:val="0"/>
                <w:iCs w:val="0"/>
                <w:color w:val="000000"/>
                <w:sz w:val="20"/>
                <w:szCs w:val="20"/>
                <w:highlight w:val="none"/>
                <w:u w:val="none"/>
              </w:rPr>
            </w:pPr>
          </w:p>
        </w:tc>
      </w:tr>
      <w:tr w14:paraId="5FBE4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DEBB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2010499</w:t>
            </w:r>
          </w:p>
        </w:tc>
        <w:tc>
          <w:tcPr>
            <w:tcW w:w="635" w:type="pct"/>
            <w:tcBorders>
              <w:top w:val="nil"/>
              <w:left w:val="nil"/>
              <w:bottom w:val="single" w:color="000000" w:sz="4" w:space="0"/>
              <w:right w:val="single" w:color="000000" w:sz="4" w:space="0"/>
            </w:tcBorders>
            <w:noWrap/>
            <w:vAlign w:val="center"/>
          </w:tcPr>
          <w:p w14:paraId="0BE4CB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其他发展与改革事务支出</w:t>
            </w:r>
          </w:p>
        </w:tc>
        <w:tc>
          <w:tcPr>
            <w:tcW w:w="603" w:type="pct"/>
            <w:tcBorders>
              <w:top w:val="nil"/>
              <w:left w:val="nil"/>
              <w:bottom w:val="single" w:color="000000" w:sz="4" w:space="0"/>
              <w:right w:val="single" w:color="000000" w:sz="4" w:space="0"/>
            </w:tcBorders>
            <w:noWrap/>
            <w:vAlign w:val="center"/>
          </w:tcPr>
          <w:p w14:paraId="379FF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602" w:type="pct"/>
            <w:gridSpan w:val="2"/>
            <w:tcBorders>
              <w:top w:val="nil"/>
              <w:left w:val="nil"/>
              <w:bottom w:val="single" w:color="000000" w:sz="4" w:space="0"/>
              <w:right w:val="single" w:color="000000" w:sz="4" w:space="0"/>
            </w:tcBorders>
            <w:noWrap/>
            <w:vAlign w:val="center"/>
          </w:tcPr>
          <w:p w14:paraId="06C995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22F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602" w:type="pct"/>
            <w:gridSpan w:val="2"/>
            <w:tcBorders>
              <w:top w:val="nil"/>
              <w:left w:val="nil"/>
              <w:bottom w:val="single" w:color="000000" w:sz="4" w:space="0"/>
              <w:right w:val="single" w:color="000000" w:sz="4" w:space="0"/>
            </w:tcBorders>
            <w:noWrap/>
            <w:vAlign w:val="center"/>
          </w:tcPr>
          <w:p w14:paraId="7CE054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C317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17221A">
            <w:pPr>
              <w:jc w:val="right"/>
              <w:rPr>
                <w:rFonts w:hint="default" w:ascii="Times New Roman" w:hAnsi="Times New Roman" w:eastAsia="宋体" w:cs="Times New Roman"/>
                <w:i w:val="0"/>
                <w:iCs w:val="0"/>
                <w:color w:val="000000"/>
                <w:sz w:val="20"/>
                <w:szCs w:val="20"/>
                <w:highlight w:val="none"/>
                <w:u w:val="none"/>
              </w:rPr>
            </w:pPr>
          </w:p>
        </w:tc>
      </w:tr>
      <w:tr w14:paraId="57C5C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8A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58960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3A7F61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37A7A8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EA0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51CF3C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F848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E1652D">
            <w:pPr>
              <w:jc w:val="right"/>
              <w:rPr>
                <w:rFonts w:hint="default" w:ascii="Times New Roman" w:hAnsi="Times New Roman" w:eastAsia="宋体" w:cs="Times New Roman"/>
                <w:i w:val="0"/>
                <w:iCs w:val="0"/>
                <w:color w:val="000000"/>
                <w:sz w:val="20"/>
                <w:szCs w:val="20"/>
                <w:highlight w:val="none"/>
                <w:u w:val="none"/>
              </w:rPr>
            </w:pPr>
          </w:p>
        </w:tc>
      </w:tr>
      <w:tr w14:paraId="03D71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CF6E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635" w:type="pct"/>
            <w:tcBorders>
              <w:top w:val="nil"/>
              <w:left w:val="nil"/>
              <w:bottom w:val="single" w:color="000000" w:sz="4" w:space="0"/>
              <w:right w:val="single" w:color="000000" w:sz="4" w:space="0"/>
            </w:tcBorders>
            <w:noWrap/>
            <w:vAlign w:val="center"/>
          </w:tcPr>
          <w:p w14:paraId="016B82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14791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3B62F3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DA10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1E05DC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38E2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A77170">
            <w:pPr>
              <w:jc w:val="right"/>
              <w:rPr>
                <w:rFonts w:hint="default" w:ascii="Times New Roman" w:hAnsi="Times New Roman" w:eastAsia="宋体" w:cs="Times New Roman"/>
                <w:i w:val="0"/>
                <w:iCs w:val="0"/>
                <w:color w:val="000000"/>
                <w:sz w:val="20"/>
                <w:szCs w:val="20"/>
                <w:highlight w:val="none"/>
                <w:u w:val="none"/>
              </w:rPr>
            </w:pPr>
          </w:p>
        </w:tc>
      </w:tr>
      <w:tr w14:paraId="26E7A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A53C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53EE42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0BECE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37ECE9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8C2A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1B20C5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A213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8E7C7C">
            <w:pPr>
              <w:jc w:val="right"/>
              <w:rPr>
                <w:rFonts w:hint="default" w:ascii="Times New Roman" w:hAnsi="Times New Roman" w:eastAsia="宋体" w:cs="Times New Roman"/>
                <w:i w:val="0"/>
                <w:iCs w:val="0"/>
                <w:color w:val="000000"/>
                <w:sz w:val="20"/>
                <w:szCs w:val="20"/>
                <w:highlight w:val="none"/>
                <w:u w:val="none"/>
              </w:rPr>
            </w:pPr>
          </w:p>
        </w:tc>
      </w:tr>
      <w:tr w14:paraId="39EF0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8D6D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2B8494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0C803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6D319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42B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5D999A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1BF9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876E24">
            <w:pPr>
              <w:jc w:val="right"/>
              <w:rPr>
                <w:rFonts w:hint="default" w:ascii="Times New Roman" w:hAnsi="Times New Roman" w:eastAsia="宋体" w:cs="Times New Roman"/>
                <w:i w:val="0"/>
                <w:iCs w:val="0"/>
                <w:color w:val="000000"/>
                <w:sz w:val="20"/>
                <w:szCs w:val="20"/>
                <w:highlight w:val="none"/>
                <w:u w:val="none"/>
              </w:rPr>
            </w:pPr>
          </w:p>
        </w:tc>
      </w:tr>
      <w:tr w14:paraId="1304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53C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635" w:type="pct"/>
            <w:tcBorders>
              <w:top w:val="nil"/>
              <w:left w:val="nil"/>
              <w:bottom w:val="single" w:color="000000" w:sz="4" w:space="0"/>
              <w:right w:val="single" w:color="000000" w:sz="4" w:space="0"/>
            </w:tcBorders>
            <w:noWrap/>
            <w:vAlign w:val="center"/>
          </w:tcPr>
          <w:p w14:paraId="7C4A8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03" w:type="pct"/>
            <w:tcBorders>
              <w:top w:val="nil"/>
              <w:left w:val="nil"/>
              <w:bottom w:val="single" w:color="000000" w:sz="4" w:space="0"/>
              <w:right w:val="single" w:color="000000" w:sz="4" w:space="0"/>
            </w:tcBorders>
            <w:noWrap/>
            <w:vAlign w:val="center"/>
          </w:tcPr>
          <w:p w14:paraId="1813A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6983F9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D498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445A2A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39D3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38FC70">
            <w:pPr>
              <w:jc w:val="right"/>
              <w:rPr>
                <w:rFonts w:hint="default" w:ascii="Times New Roman" w:hAnsi="Times New Roman" w:eastAsia="宋体" w:cs="Times New Roman"/>
                <w:i w:val="0"/>
                <w:iCs w:val="0"/>
                <w:color w:val="000000"/>
                <w:sz w:val="20"/>
                <w:szCs w:val="20"/>
                <w:highlight w:val="none"/>
                <w:u w:val="none"/>
              </w:rPr>
            </w:pPr>
          </w:p>
        </w:tc>
      </w:tr>
      <w:tr w14:paraId="31FF6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DB59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574554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6E46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4C89E5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EAAB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18B2B7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EE7F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A0A434">
            <w:pPr>
              <w:jc w:val="right"/>
              <w:rPr>
                <w:rFonts w:hint="default" w:ascii="Times New Roman" w:hAnsi="Times New Roman" w:eastAsia="宋体" w:cs="Times New Roman"/>
                <w:i w:val="0"/>
                <w:iCs w:val="0"/>
                <w:color w:val="000000"/>
                <w:sz w:val="20"/>
                <w:szCs w:val="20"/>
                <w:highlight w:val="none"/>
                <w:u w:val="none"/>
              </w:rPr>
            </w:pPr>
          </w:p>
        </w:tc>
      </w:tr>
      <w:tr w14:paraId="21457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B38B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635" w:type="pct"/>
            <w:tcBorders>
              <w:top w:val="nil"/>
              <w:left w:val="nil"/>
              <w:bottom w:val="single" w:color="000000" w:sz="4" w:space="0"/>
              <w:right w:val="single" w:color="000000" w:sz="4" w:space="0"/>
            </w:tcBorders>
            <w:noWrap/>
            <w:vAlign w:val="center"/>
          </w:tcPr>
          <w:p w14:paraId="1534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15469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0FBEF0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5817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7E5E01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934F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B18538">
            <w:pPr>
              <w:jc w:val="right"/>
              <w:rPr>
                <w:rFonts w:hint="default" w:ascii="Times New Roman" w:hAnsi="Times New Roman" w:eastAsia="宋体" w:cs="Times New Roman"/>
                <w:i w:val="0"/>
                <w:iCs w:val="0"/>
                <w:color w:val="000000"/>
                <w:sz w:val="20"/>
                <w:szCs w:val="20"/>
                <w:highlight w:val="none"/>
                <w:u w:val="none"/>
              </w:rPr>
            </w:pPr>
          </w:p>
        </w:tc>
      </w:tr>
      <w:tr w14:paraId="5B6ED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AEF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635" w:type="pct"/>
            <w:tcBorders>
              <w:top w:val="nil"/>
              <w:left w:val="nil"/>
              <w:bottom w:val="single" w:color="000000" w:sz="4" w:space="0"/>
              <w:right w:val="single" w:color="000000" w:sz="4" w:space="0"/>
            </w:tcBorders>
            <w:noWrap/>
            <w:vAlign w:val="center"/>
          </w:tcPr>
          <w:p w14:paraId="7E6FA3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6881FC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311C5F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22D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2618EF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5716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E13B9">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493.71</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
        <w:gridCol w:w="3216"/>
        <w:gridCol w:w="408"/>
        <w:gridCol w:w="935"/>
        <w:gridCol w:w="1036"/>
        <w:gridCol w:w="378"/>
        <w:gridCol w:w="172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编制部门（单位）：正定新区发展改革和审计局</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318.52</w:t>
            </w:r>
          </w:p>
        </w:tc>
      </w:tr>
      <w:tr w14:paraId="456EC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8380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060151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2298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1A433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0FFE3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r>
      <w:tr w14:paraId="01C31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041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4B01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2F04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D78D0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E1A7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r>
      <w:tr w14:paraId="40B01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4FB6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411863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发展与改革事务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688C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7C3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12A5D4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182.21</w:t>
            </w:r>
          </w:p>
        </w:tc>
      </w:tr>
      <w:tr w14:paraId="13F02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B07A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FE01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6D0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4CAB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74A1E5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r>
      <w:tr w14:paraId="2F46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4E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32CFE4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其他发展与改革事务支出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D25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AA0E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C3FD3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r>
      <w:tr w14:paraId="29A81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784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A12E8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5B6C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C762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5B3D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r>
      <w:tr w14:paraId="2379F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0E31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8D6F2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169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E57E9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CD1E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r>
      <w:tr w14:paraId="0F421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8458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56" w:type="pct"/>
            <w:tcBorders>
              <w:top w:val="single" w:color="auto" w:sz="4" w:space="0"/>
              <w:left w:val="single" w:color="auto" w:sz="4" w:space="0"/>
              <w:bottom w:val="single" w:color="auto" w:sz="4" w:space="0"/>
              <w:right w:val="single" w:color="auto" w:sz="4" w:space="0"/>
            </w:tcBorders>
            <w:noWrap/>
            <w:vAlign w:val="center"/>
          </w:tcPr>
          <w:p w14:paraId="39AEA2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6F09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21E36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0ED4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64F67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0B0F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292E4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49D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6B08E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A0F7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5F5B3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CC6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5769C4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05D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4016F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FE7D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部门（单位）：正定新区发展改革和审计局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1.91</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19DAF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8E4A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6E114E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6D85FC7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D1B8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108C18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502B2ED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90994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3E7E5405">
            <w:pPr>
              <w:jc w:val="right"/>
              <w:rPr>
                <w:rFonts w:hint="default" w:ascii="Times New Roman" w:hAnsi="Times New Roman" w:eastAsia="宋体" w:cs="Times New Roman"/>
                <w:i w:val="0"/>
                <w:iCs w:val="0"/>
                <w:color w:val="000000"/>
                <w:sz w:val="20"/>
                <w:szCs w:val="20"/>
                <w:highlight w:val="none"/>
                <w:u w:val="none"/>
              </w:rPr>
            </w:pPr>
          </w:p>
        </w:tc>
      </w:tr>
      <w:tr w14:paraId="0C3D5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48F23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703" w:type="pct"/>
            <w:tcBorders>
              <w:top w:val="nil"/>
              <w:left w:val="nil"/>
              <w:bottom w:val="single" w:color="000000" w:sz="4" w:space="0"/>
              <w:right w:val="single" w:color="000000" w:sz="4" w:space="0"/>
            </w:tcBorders>
            <w:noWrap/>
            <w:vAlign w:val="center"/>
          </w:tcPr>
          <w:p w14:paraId="550E18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23" w:type="pct"/>
            <w:tcBorders>
              <w:top w:val="nil"/>
              <w:left w:val="nil"/>
              <w:bottom w:val="single" w:color="000000" w:sz="4" w:space="0"/>
              <w:right w:val="single" w:color="000000" w:sz="4" w:space="0"/>
            </w:tcBorders>
            <w:noWrap/>
            <w:vAlign w:val="center"/>
          </w:tcPr>
          <w:p w14:paraId="3245123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A0A13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7587B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315AA43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2ED2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377498FA">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部门（单位）：正定新区发展改革和审计局</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部门（单位）：正定新区发展改革和审计局</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0.10</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728F81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9E8FA9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721DF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本部门2024年度收、支总计（含结转和结余）均为764.30万元。与2023年度决算相比，收支各减少29,601.28万元，下降97.5%，主要原因是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3F52C9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C98A6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764.30万元，其中：财政拨款收入764.30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60A02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2920D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本部门2024年度本年支出合计764.30万元，其中：基本支出2.94万元，占0.4%；项目支出761.36万元，占99.6%；上缴上级支出0.00万元，占0.0%；经营支出0.00万元，占0.0%；对附属单位补助支出0.00万元，占0.0%。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D54F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A8B75D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FD21B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本部门2024年度财政拨款收、支总计（含结转和结余）均为764.30万元。与2023年度相比，财政拨款收支各减少29,601.28万元，降低97.5%，主要原因是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08030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本部门2024年度财政拨款本年收入764.30万元,比上年减少29,601.28万元，降低97.5%，主要原因是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；本年支出764.30万元，比上年减少29,601.06万元，降低97.5%，主要原因是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。具体情况如下：</w:t>
      </w:r>
    </w:p>
    <w:p w14:paraId="0EE0338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1.一般公共预算财政拨款本年收入493.71万元,比上年减少18,198.51万元，降低97.4%，主要原因是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；本年支出493.71万元，比上年减少18,198.30万元，降低97.4%，主要原因是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59E3D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2.政府性基金预算财政拨款本年收入270.59万元，比上年减少11,402.76万元，降低97.7%，主要原因是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；本年支出270.59万元，比上年减少11,402.76万元，降低97.7%，主要原因是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F9EF4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3.国有资本经营预算财政拨款本年收入0.00万元，比上年增加0.00万元；本年支出0.00万元，比上年增加0.00万元。</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91252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EA52F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本部门2024年度财政拨款本年收入764.30万元，完成年初预算的3.4%，比年初预算减少21,577.03万元，决算数小于预算数主要原因是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；本年支出764.30万元，完成年初预算的3.4%，比年初预算减少21,577.03万元，决算数小于预算数主要原因是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。具体情况如下：</w:t>
      </w:r>
    </w:p>
    <w:p w14:paraId="1239AB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1.一般公共预算财政拨款本年收入完成年初预算的4.4%，比年初预算减少10,805.04万元，主要原因是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；支出完成年初预算的4.4%，比年初预算减少10,805.04万元，主要原因是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w:t>
      </w:r>
    </w:p>
    <w:p w14:paraId="08EC48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2.政府性基金预算财政拨款本年收入完成年初预算的2.5%，比年初预算减少10,771.99万元，主要原因是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；支出完成年初预算的2.5%，比年初预算减少10,771.99万元，主要原因是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w:t>
      </w:r>
    </w:p>
    <w:p w14:paraId="01CC24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3.国有资本经营预算财政拨款本年收入完成年初预算的0.0%；支出完成年初预算的0.0%，比年初预算增加0.00万元。</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98935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E767E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2024年度财政拨款支出764.30万元，主要用于以下方面：</w:t>
      </w:r>
    </w:p>
    <w:p w14:paraId="1911BA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C8C80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一般公共服务（类）支出321.46万元，占42.1%</w:t>
      </w:r>
      <w:r>
        <w:rPr>
          <w:rFonts w:hint="eastAsia" w:ascii="Times New Roman" w:eastAsia="仿宋_GB2312"/>
          <w:b w:val="0"/>
          <w:sz w:val="32"/>
          <w:szCs w:val="32"/>
          <w:lang w:eastAsia="zh-CN"/>
        </w:rPr>
        <w:t>；</w:t>
      </w:r>
      <w:r>
        <w:rPr>
          <w:rFonts w:ascii="Times New Roman" w:eastAsia="仿宋_GB2312"/>
          <w:b w:val="0"/>
          <w:sz w:val="32"/>
          <w:szCs w:val="32"/>
        </w:rPr>
        <w:t>其他（类）支出172.25万元，占22.5%。</w:t>
      </w:r>
    </w:p>
    <w:p w14:paraId="6188C6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7306D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城乡社区（类）支出270.59万元，占35.4%。</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9B805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5A526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2024年度财政拨款基本支出2.94万元，其中：</w:t>
      </w:r>
    </w:p>
    <w:p w14:paraId="44554C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2.94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4A2306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238EBCF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178C4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本部门2024年度“三公”经费财政拨款支出预算为4.00万元，支出决算为0.19万元，完成预算的4.8%，较预算减少3.81万元，降低95.3%，主要原因是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；较2023年度决算减少0.61万元，降低76.3%，主要原因是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14:paraId="21678FE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88163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689065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本部门2024年度公务用车购置及运行维护费预算为3.90万元，支出决算0.19万元，完成预算的4.9%,较预算减少3.71万元，降低95.1%,主要原因是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。其中：</w:t>
      </w:r>
    </w:p>
    <w:p w14:paraId="6EE49C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本部门2024年度公务用车购置量0辆，发生“公务用车购置”经费支出0.00万元。公务用车购置费支出较预算增加0.00万元，增长0.0%,主要原因是；较上年增加0.00万元，增长0.00%,主要原因是。</w:t>
      </w:r>
    </w:p>
    <w:p w14:paraId="20DA75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公务用车运行维护费支出0.19万元：</w:t>
      </w:r>
      <w:r>
        <w:rPr>
          <w:rFonts w:ascii="Times New Roman" w:eastAsia="仿宋_GB2312"/>
          <w:b w:val="0"/>
          <w:sz w:val="32"/>
          <w:szCs w:val="32"/>
        </w:rPr>
        <w:t>本部门2024年度单位公务用车保有量1辆，发生运行维护费支出0.19万元。公车运行维护费支出较预算减少3.71万元，降低95.1%,主要原因是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14:paraId="00E497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本部门2024年度公务接待费支出预算为0.10万元，支出决算0.00万元，完成预算的0.0%。公务接待费支出较预算减少0.10万元，降低100.0%,主要原因是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；较上年度增加0.00万元，增长0.00%,主要原因是。本年度共发生公务接待0批次、0人次。</w:t>
      </w:r>
    </w:p>
    <w:p w14:paraId="72996ED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C55AD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本部门2024年度机关运行经费支出2.94万元，较2023年度增加1.21万元，增长70.9%。主要原因是</w:t>
      </w:r>
      <w:r>
        <w:rPr>
          <w:rFonts w:hint="eastAsia" w:ascii="Times New Roman" w:eastAsia="仿宋_GB2312"/>
          <w:b w:val="0"/>
          <w:sz w:val="32"/>
          <w:szCs w:val="32"/>
          <w:lang w:val="en-US" w:eastAsia="zh-CN"/>
        </w:rPr>
        <w:t>人员增加</w:t>
      </w:r>
      <w:r>
        <w:rPr>
          <w:rFonts w:ascii="Times New Roman" w:eastAsia="仿宋_GB2312"/>
          <w:b w:val="0"/>
          <w:sz w:val="32"/>
          <w:szCs w:val="32"/>
        </w:rPr>
        <w:t>。</w:t>
      </w:r>
    </w:p>
    <w:p w14:paraId="3917B5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91EB0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400.00万元，从采购类型来看，政府采购货物支出0.00万元、政府采购工程支出0.00万元、政府采购服务支出400.00万元。授予中小企业合同金额400.00万元，占政府采购支出总额的100.0%，其中授予小微企业合同金额400.00万元，占政府采购支出总额的100.0%。</w:t>
      </w:r>
    </w:p>
    <w:p w14:paraId="162AF80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E33AC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单位价值100万元（含）以上设备（不含车辆）0台（套）。</w:t>
      </w:r>
    </w:p>
    <w:p w14:paraId="10D1614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C85F57D">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（一）绩效评价工作开展情况</w:t>
      </w:r>
    </w:p>
    <w:p w14:paraId="38D1E9E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根据预算绩效管理要求，本部门组织对202</w:t>
      </w:r>
      <w:r>
        <w:rPr>
          <w:rFonts w:hint="eastAsia" w:ascii="Times New Roman" w:eastAsia="仿宋_GB2312"/>
          <w:b w:val="0"/>
          <w:sz w:val="32"/>
          <w:szCs w:val="32"/>
          <w:lang w:val="en-US" w:eastAsia="zh-CN"/>
        </w:rPr>
        <w:t>4</w:t>
      </w:r>
      <w:r>
        <w:rPr>
          <w:rFonts w:hint="eastAsia" w:ascii="Times New Roman" w:eastAsia="仿宋_GB2312"/>
          <w:b w:val="0"/>
          <w:sz w:val="32"/>
          <w:szCs w:val="32"/>
        </w:rPr>
        <w:t xml:space="preserve">年度一般公共预算项目支出全面开展绩效自评，其中，一级项目0个，二级项目 </w:t>
      </w:r>
      <w:r>
        <w:rPr>
          <w:rFonts w:hint="eastAsia" w:ascii="Times New Roman" w:eastAsia="仿宋_GB2312"/>
          <w:b w:val="0"/>
          <w:sz w:val="32"/>
          <w:szCs w:val="32"/>
          <w:lang w:val="en-US" w:eastAsia="zh-CN"/>
        </w:rPr>
        <w:t>7</w:t>
      </w:r>
      <w:r>
        <w:rPr>
          <w:rFonts w:hint="eastAsia" w:ascii="Times New Roman" w:eastAsia="仿宋_GB2312"/>
          <w:b w:val="0"/>
          <w:sz w:val="32"/>
          <w:szCs w:val="32"/>
        </w:rPr>
        <w:t xml:space="preserve"> 个，共涉及资金 1</w:t>
      </w:r>
      <w:r>
        <w:rPr>
          <w:rFonts w:hint="eastAsia" w:ascii="Times New Roman" w:eastAsia="仿宋_GB2312"/>
          <w:b w:val="0"/>
          <w:sz w:val="32"/>
          <w:szCs w:val="32"/>
          <w:lang w:val="en-US" w:eastAsia="zh-CN"/>
        </w:rPr>
        <w:t>6</w:t>
      </w:r>
      <w:r>
        <w:rPr>
          <w:rFonts w:hint="eastAsia" w:ascii="Times New Roman" w:eastAsia="仿宋_GB2312"/>
          <w:b w:val="0"/>
          <w:sz w:val="32"/>
          <w:szCs w:val="32"/>
        </w:rPr>
        <w:t>553.92 万元，占一般公共预算项目支出总额的 99.</w:t>
      </w:r>
      <w:r>
        <w:rPr>
          <w:rFonts w:hint="eastAsia" w:ascii="Times New Roman" w:eastAsia="仿宋_GB2312"/>
          <w:b w:val="0"/>
          <w:sz w:val="32"/>
          <w:szCs w:val="32"/>
          <w:lang w:val="en-US" w:eastAsia="zh-CN"/>
        </w:rPr>
        <w:t>1</w:t>
      </w:r>
      <w:r>
        <w:rPr>
          <w:rFonts w:hint="eastAsia" w:ascii="Times New Roman" w:eastAsia="仿宋_GB2312"/>
          <w:b w:val="0"/>
          <w:sz w:val="32"/>
          <w:szCs w:val="32"/>
        </w:rPr>
        <w:t>7%。组织对202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年度自贸区支持政策补贴 1 个政府性基金预算项目支出开展绩效自评，共涉及资金 11</w:t>
      </w:r>
      <w:r>
        <w:rPr>
          <w:rFonts w:hint="eastAsia" w:ascii="Times New Roman" w:eastAsia="仿宋_GB2312"/>
          <w:b w:val="0"/>
          <w:sz w:val="32"/>
          <w:szCs w:val="32"/>
          <w:lang w:val="en-US" w:eastAsia="zh-CN"/>
        </w:rPr>
        <w:t>34</w:t>
      </w:r>
      <w:r>
        <w:rPr>
          <w:rFonts w:hint="eastAsia" w:ascii="Times New Roman" w:eastAsia="仿宋_GB2312"/>
          <w:b w:val="0"/>
          <w:sz w:val="32"/>
          <w:szCs w:val="32"/>
        </w:rPr>
        <w:t>3.</w:t>
      </w:r>
      <w:r>
        <w:rPr>
          <w:rFonts w:hint="eastAsia" w:ascii="Times New Roman" w:eastAsia="仿宋_GB2312"/>
          <w:b w:val="0"/>
          <w:sz w:val="32"/>
          <w:szCs w:val="32"/>
          <w:lang w:val="en-US" w:eastAsia="zh-CN"/>
        </w:rPr>
        <w:t>4</w:t>
      </w:r>
      <w:r>
        <w:rPr>
          <w:rFonts w:hint="eastAsia" w:ascii="Times New Roman" w:eastAsia="仿宋_GB2312"/>
          <w:b w:val="0"/>
          <w:sz w:val="32"/>
          <w:szCs w:val="32"/>
        </w:rPr>
        <w:t>6 万元，占政府性基金预算项目支出总额的100%。组织对 20</w:t>
      </w:r>
      <w:r>
        <w:rPr>
          <w:rFonts w:hint="eastAsia" w:ascii="Times New Roman" w:eastAsia="仿宋_GB2312"/>
          <w:b w:val="0"/>
          <w:sz w:val="32"/>
          <w:szCs w:val="32"/>
          <w:lang w:val="en-US" w:eastAsia="zh-CN"/>
        </w:rPr>
        <w:t>24</w:t>
      </w:r>
      <w:r>
        <w:rPr>
          <w:rFonts w:hint="eastAsia" w:ascii="Times New Roman" w:eastAsia="仿宋_GB2312"/>
          <w:b w:val="0"/>
          <w:sz w:val="32"/>
          <w:szCs w:val="32"/>
        </w:rPr>
        <w:t>年度 0 个国有资本经营预算项目支出开展绩效自评，共涉及资金 0 万元，占国有资本经营预算项目支出总额的 0%。组织对“项目审批专项资金”“自贸区孵化产业园”等2个项目开展了部门评价，涉及一般公共预算支出</w:t>
      </w:r>
      <w:r>
        <w:rPr>
          <w:rFonts w:hint="eastAsia" w:ascii="Times New Roman" w:eastAsia="仿宋_GB2312"/>
          <w:b w:val="0"/>
          <w:sz w:val="32"/>
          <w:szCs w:val="32"/>
          <w:lang w:val="en-US" w:eastAsia="zh-CN"/>
        </w:rPr>
        <w:t>507</w:t>
      </w:r>
      <w:r>
        <w:rPr>
          <w:rFonts w:hint="eastAsia" w:ascii="Times New Roman" w:eastAsia="仿宋_GB2312"/>
          <w:b w:val="0"/>
          <w:sz w:val="32"/>
          <w:szCs w:val="32"/>
        </w:rPr>
        <w:t>.22万元，政府性基金预算支出 0 万元，国有资本经营预算支出0万元。从评价情况来看，指标体系设定满分为100 分，总得分100分，评价等级为优秀。</w:t>
      </w:r>
    </w:p>
    <w:p w14:paraId="3FF04818">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部门决算中项目绩效自评结果</w:t>
      </w:r>
    </w:p>
    <w:p w14:paraId="7F8BDFB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rPr>
        <w:t>本部门在今年部门决算公开中反映“项目审批专项资金”“自贸区孵化产业园”项目等2 个项目绩效自评结果。项目审批专项资金项目绩效自评情况：根据年初设定的绩效目标，项目审批专项资金项目绩效自评得分为100分（绩效自评表附后）。全年预算数为1</w:t>
      </w:r>
      <w:r>
        <w:rPr>
          <w:rFonts w:hint="eastAsia" w:ascii="Times New Roman" w:eastAsia="仿宋_GB2312"/>
          <w:b w:val="0"/>
          <w:sz w:val="32"/>
          <w:szCs w:val="32"/>
          <w:lang w:val="en-US" w:eastAsia="zh-CN"/>
        </w:rPr>
        <w:t>32</w:t>
      </w:r>
      <w:r>
        <w:rPr>
          <w:rFonts w:hint="eastAsia" w:ascii="Times New Roman" w:eastAsia="仿宋_GB2312"/>
          <w:b w:val="0"/>
          <w:sz w:val="32"/>
          <w:szCs w:val="32"/>
        </w:rPr>
        <w:t>.75 万元，执行数为1</w:t>
      </w:r>
      <w:r>
        <w:rPr>
          <w:rFonts w:hint="eastAsia" w:ascii="Times New Roman" w:eastAsia="仿宋_GB2312"/>
          <w:b w:val="0"/>
          <w:sz w:val="32"/>
          <w:szCs w:val="32"/>
          <w:lang w:val="en-US" w:eastAsia="zh-CN"/>
        </w:rPr>
        <w:t>32</w:t>
      </w:r>
      <w:r>
        <w:rPr>
          <w:rFonts w:hint="eastAsia" w:ascii="Times New Roman" w:eastAsia="仿宋_GB2312"/>
          <w:b w:val="0"/>
          <w:sz w:val="32"/>
          <w:szCs w:val="32"/>
        </w:rPr>
        <w:t>.75万元，完成预算的 100%。项目绩效目标完成情况：确保固定资产项目的审批核准备案。通过项目实施，完成了年初设定的各项绩效目标，完成确保固定资产项目的审批核准备案。未发现问题</w:t>
      </w:r>
      <w:r>
        <w:rPr>
          <w:rFonts w:hint="eastAsia" w:ascii="Times New Roman" w:eastAsia="仿宋_GB2312"/>
          <w:b w:val="0"/>
          <w:sz w:val="32"/>
          <w:szCs w:val="32"/>
          <w:lang w:eastAsia="zh-CN"/>
        </w:rPr>
        <w:t>。</w:t>
      </w:r>
    </w:p>
    <w:p w14:paraId="5D606A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自贸区孵化产业园项目绩效自评情况。根据年初设定的绩效目标，自贸区孵化产业园项目绩效自评得分为100分（绩效自评表附后）。全年预算数为458.0 万元，执行数为456.47万元，完成预算的 99.67%。通过项目实施，完成了年初设定的各项绩效目标。未发现问题。</w:t>
      </w:r>
    </w:p>
    <w:p w14:paraId="46C3B69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0909D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64BB53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E3CB73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3E81F0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B720F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80263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34300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6F4D6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116FE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531D9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BF88E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39D83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AC5BB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9E3354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FD938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E9416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847C9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3A6CC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88E6A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78098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CBCE8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024E39E-1859-462E-B444-788B89E6E1C0}"/>
  </w:font>
  <w:font w:name="黑体">
    <w:panose1 w:val="02010609060101010101"/>
    <w:charset w:val="86"/>
    <w:family w:val="auto"/>
    <w:pitch w:val="default"/>
    <w:sig w:usb0="800002BF" w:usb1="38CF7CFA" w:usb2="00000016" w:usb3="00000000" w:csb0="00040001" w:csb1="00000000"/>
    <w:embedRegular r:id="rId2" w:fontKey="{6A08C53B-6748-45F4-9B32-7A8235C2189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092F8908-A4C0-4784-97B9-C456DF6EA906}"/>
  </w:font>
  <w:font w:name="仿宋">
    <w:panose1 w:val="02010609060101010101"/>
    <w:charset w:val="86"/>
    <w:family w:val="modern"/>
    <w:pitch w:val="default"/>
    <w:sig w:usb0="800002BF" w:usb1="38CF7CFA" w:usb2="00000016" w:usb3="00000000" w:csb0="00040001" w:csb1="00000000"/>
    <w:embedRegular r:id="rId4" w:fontKey="{B30D48C5-592A-40D9-B7FC-870F9FB05612}"/>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1FB8D18-B133-4A1A-84A7-A3D54EE7130F}"/>
  </w:font>
  <w:font w:name="方正小标宋_GBK">
    <w:panose1 w:val="02000000000000000000"/>
    <w:charset w:val="86"/>
    <w:family w:val="script"/>
    <w:pitch w:val="default"/>
    <w:sig w:usb0="A00002BF" w:usb1="38CF7CFA" w:usb2="00082016" w:usb3="00000000" w:csb0="00040001" w:csb1="00000000"/>
    <w:embedRegular r:id="rId6" w:fontKey="{56DA76F7-E568-4F54-AAF5-CA16ECD6E33D}"/>
  </w:font>
  <w:font w:name="仿宋_GB2312">
    <w:panose1 w:val="02010609030101010101"/>
    <w:charset w:val="86"/>
    <w:family w:val="auto"/>
    <w:pitch w:val="default"/>
    <w:sig w:usb0="00000001" w:usb1="080E0000" w:usb2="00000000" w:usb3="00000000" w:csb0="00040000" w:csb1="00000000"/>
    <w:embedRegular r:id="rId7" w:fontKey="{6FCC7FFB-9A9D-48ED-AD69-2FCC1EB106AE}"/>
  </w:font>
  <w:font w:name="ArialUnicodeMS">
    <w:altName w:val="Malgun Gothic"/>
    <w:panose1 w:val="00000000000000000000"/>
    <w:charset w:val="81"/>
    <w:family w:val="auto"/>
    <w:pitch w:val="default"/>
    <w:sig w:usb0="00000000" w:usb1="00000000" w:usb2="00000010" w:usb3="00000000" w:csb0="00080001" w:csb1="00000000"/>
    <w:embedRegular r:id="rId8" w:fontKey="{7ED49375-65FB-455A-8C80-3887C965B616}"/>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563F79E-D7B6-4FCA-B0B2-E036B3A7CC7D}"/>
  </w:font>
  <w:font w:name="WPSEMBED21">
    <w:panose1 w:val="02010609030101010101"/>
    <w:charset w:val="86"/>
    <w:family w:val="auto"/>
    <w:pitch w:val="default"/>
    <w:sig w:usb0="00000001" w:usb1="080E0000" w:usb2="00000000" w:usb3="00000000" w:csb0="00040000" w:csb1="00000000"/>
  </w:font>
  <w:font w:name="WPSEMBED22">
    <w:panose1 w:val="02000000000000000000"/>
    <w:charset w:val="86"/>
    <w:family w:val="auto"/>
    <w:pitch w:val="default"/>
    <w:sig w:usb0="A00002BF" w:usb1="38CF7CFA" w:usb2="00082016" w:usb3="00000000" w:csb0="00040001" w:csb1="00000000"/>
  </w:font>
  <w:font w:name="WPSEMBED23">
    <w:panose1 w:val="02010609030101010101"/>
    <w:charset w:val="86"/>
    <w:family w:val="auto"/>
    <w:pitch w:val="default"/>
    <w:sig w:usb0="00000001" w:usb1="080E0000" w:usb2="00000000" w:usb3="00000000" w:csb0="00040000" w:csb1="00000000"/>
  </w:font>
  <w:font w:name="WPSEMBED2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D61CEF"/>
    <w:multiLevelType w:val="singleLevel"/>
    <w:tmpl w:val="D5D61CEF"/>
    <w:lvl w:ilvl="0" w:tentative="0">
      <w:start w:val="2"/>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75158"/>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B842F0"/>
    <w:rsid w:val="1DD70E85"/>
    <w:rsid w:val="1DE74AD7"/>
    <w:rsid w:val="1DF60A19"/>
    <w:rsid w:val="1DFA6713"/>
    <w:rsid w:val="1E050843"/>
    <w:rsid w:val="1E2D3FB0"/>
    <w:rsid w:val="1E2E50F1"/>
    <w:rsid w:val="1E3B4E26"/>
    <w:rsid w:val="1EBF05BD"/>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7E4598"/>
    <w:rsid w:val="2EBD223E"/>
    <w:rsid w:val="2EC10AD1"/>
    <w:rsid w:val="2ECB6A5A"/>
    <w:rsid w:val="2EE65418"/>
    <w:rsid w:val="2EFC0112"/>
    <w:rsid w:val="2F0F6197"/>
    <w:rsid w:val="2F2B730D"/>
    <w:rsid w:val="2F9F3DC1"/>
    <w:rsid w:val="2FFC7AC2"/>
    <w:rsid w:val="301430AF"/>
    <w:rsid w:val="30630612"/>
    <w:rsid w:val="308E59B0"/>
    <w:rsid w:val="30913CF1"/>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89570D"/>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30365.58</c:v>
                </c:pt>
                <c:pt idx="1">
                  <c:v>764.3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7643021.38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29372.58</c:v>
                </c:pt>
                <c:pt idx="1">
                  <c:v>7613648.8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30365.58</c:v>
                </c:pt>
                <c:pt idx="1">
                  <c:v>30365.37</c:v>
                </c:pt>
                <c:pt idx="2">
                  <c:v>18692.22</c:v>
                </c:pt>
                <c:pt idx="3">
                  <c:v>18692.01</c:v>
                </c:pt>
                <c:pt idx="4">
                  <c:v>11673.36</c:v>
                </c:pt>
                <c:pt idx="5">
                  <c:v>11673.36</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764.3</c:v>
                </c:pt>
                <c:pt idx="1">
                  <c:v>764.3</c:v>
                </c:pt>
                <c:pt idx="2">
                  <c:v>493.71</c:v>
                </c:pt>
                <c:pt idx="3">
                  <c:v>493.71</c:v>
                </c:pt>
                <c:pt idx="4">
                  <c:v>270.59</c:v>
                </c:pt>
                <c:pt idx="5">
                  <c:v>270.59</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22341.33</c:v>
                </c:pt>
                <c:pt idx="1">
                  <c:v>22341.33</c:v>
                </c:pt>
                <c:pt idx="2">
                  <c:v>11298.75</c:v>
                </c:pt>
                <c:pt idx="3">
                  <c:v>11298.75</c:v>
                </c:pt>
                <c:pt idx="4">
                  <c:v>11042.58</c:v>
                </c:pt>
                <c:pt idx="5">
                  <c:v>11042.58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764.3</c:v>
                </c:pt>
                <c:pt idx="1">
                  <c:v>764.3</c:v>
                </c:pt>
                <c:pt idx="2">
                  <c:v>493.71</c:v>
                </c:pt>
                <c:pt idx="3">
                  <c:v>493.71</c:v>
                </c:pt>
                <c:pt idx="4">
                  <c:v>270.59</c:v>
                </c:pt>
                <c:pt idx="5">
                  <c:v>270.59</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321.46</c:v>
                </c:pt>
                <c:pt idx="1">
                  <c:v>0</c:v>
                </c:pt>
                <c:pt idx="2">
                  <c:v>0</c:v>
                </c:pt>
                <c:pt idx="3">
                  <c:v>0</c:v>
                </c:pt>
                <c:pt idx="4">
                  <c:v>0</c:v>
                </c:pt>
                <c:pt idx="5">
                  <c:v>0</c:v>
                </c:pt>
                <c:pt idx="6">
                  <c:v>0</c:v>
                </c:pt>
                <c:pt idx="7">
                  <c:v>0</c:v>
                </c:pt>
                <c:pt idx="8">
                  <c:v>0</c:v>
                </c:pt>
                <c:pt idx="9">
                  <c:v>0</c:v>
                </c:pt>
                <c:pt idx="10">
                  <c:v>270.59</c:v>
                </c:pt>
                <c:pt idx="11">
                  <c:v>0</c:v>
                </c:pt>
                <c:pt idx="12">
                  <c:v>0</c:v>
                </c:pt>
                <c:pt idx="13">
                  <c:v>0</c:v>
                </c:pt>
                <c:pt idx="14">
                  <c:v>0</c:v>
                </c:pt>
                <c:pt idx="15">
                  <c:v>0</c:v>
                </c:pt>
                <c:pt idx="16">
                  <c:v>0</c:v>
                </c:pt>
                <c:pt idx="17">
                  <c:v>0</c:v>
                </c:pt>
                <c:pt idx="18">
                  <c:v>0</c:v>
                </c:pt>
                <c:pt idx="19">
                  <c:v>0</c:v>
                </c:pt>
                <c:pt idx="20">
                  <c:v>0</c:v>
                </c:pt>
                <c:pt idx="21">
                  <c:v>0</c:v>
                </c:pt>
                <c:pt idx="22">
                  <c:v>172.25</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2039</Words>
  <Characters>2602</Characters>
  <Lines>86</Lines>
  <Paragraphs>24</Paragraphs>
  <TotalTime>27</TotalTime>
  <ScaleCrop>false</ScaleCrop>
  <LinksUpToDate>false</LinksUpToDate>
  <CharactersWithSpaces>2820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2025-11-12T09:13:52Z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58E02C16601A4C8FB188625EA942CBFD_13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