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pPr>
                            <w:r>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pPr>
                            <w:r>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pPr>
                      <w:r>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pPr>
                      <w:r>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：正定新区综合办公室</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正定新区综合办公室</w:t>
      </w: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2024年度部门决算公开文本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hint="eastAsia" w:ascii="楷体" w:hAnsi="楷体" w:eastAsia="楷体" w:cs="楷体"/>
          <w:sz w:val="44"/>
          <w:szCs w:val="44"/>
        </w:rPr>
      </w:pPr>
      <w:r>
        <w:rPr>
          <w:rFonts w:hint="eastAsia" w:ascii="楷体" w:hAnsi="楷体" w:eastAsia="楷体" w:cs="楷体"/>
          <w:b w:val="0"/>
          <w:sz w:val="44"/>
          <w:szCs w:val="44"/>
          <w:lang w:val="en-US" w:eastAsia="zh-CN"/>
        </w:rPr>
        <w:t>正定</w:t>
      </w:r>
      <w:r>
        <w:rPr>
          <w:rFonts w:hint="eastAsia" w:ascii="楷体" w:hAnsi="楷体" w:eastAsia="楷体" w:cs="楷体"/>
          <w:b w:val="0"/>
          <w:sz w:val="44"/>
          <w:szCs w:val="44"/>
        </w:rPr>
        <w:t>新区综合办公室(单位名称，加盖公章）</w:t>
      </w:r>
    </w:p>
    <w:p>
      <w:pPr>
        <w:widowControl/>
        <w:spacing w:before="0" w:beforeLines="0" w:beforeAutospacing="0" w:after="0" w:afterLines="0" w:afterAutospacing="0" w:line="360" w:lineRule="auto"/>
        <w:jc w:val="center"/>
        <w:rPr>
          <w:rFonts w:hint="eastAsia" w:ascii="楷体" w:hAnsi="楷体" w:eastAsia="楷体" w:cs="楷体"/>
          <w:b w:val="0"/>
          <w:sz w:val="44"/>
          <w:szCs w:val="44"/>
        </w:rPr>
      </w:pPr>
      <w:r>
        <w:rPr>
          <w:rFonts w:hint="eastAsia" w:ascii="楷体" w:hAnsi="楷体" w:eastAsia="楷体" w:cs="楷体"/>
          <w:b w:val="0"/>
          <w:sz w:val="44"/>
          <w:szCs w:val="44"/>
        </w:rPr>
        <w:t>二〇二五年</w:t>
      </w:r>
      <w:r>
        <w:rPr>
          <w:rFonts w:hint="eastAsia" w:ascii="楷体" w:hAnsi="楷体" w:eastAsia="楷体" w:cs="楷体"/>
          <w:b w:val="0"/>
          <w:sz w:val="44"/>
          <w:szCs w:val="44"/>
          <w:lang w:val="en-US" w:eastAsia="zh-CN"/>
        </w:rPr>
        <w:t>十一</w:t>
      </w:r>
      <w:r>
        <w:rPr>
          <w:rFonts w:hint="eastAsia" w:ascii="楷体" w:hAnsi="楷体" w:eastAsia="楷体" w:cs="楷体"/>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eastAsia="zh-CN"/>
        </w:rPr>
        <w:t xml:space="preserve"> </w:t>
      </w:r>
      <w:r>
        <w:rPr>
          <w:rFonts w:ascii="Times New Roman" w:eastAsia="黑体"/>
          <w:b w:val="0"/>
          <w:sz w:val="44"/>
          <w:szCs w:val="44"/>
        </w:rPr>
        <w:t>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（1）协助管委会领导组织起草或审核上报上级单位的公文，以及以管委会、综合办公室名义发布的公文；负责管委会、综合办公室的日常公文办理。</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（2）负责管委会领导活动的组织和协调工作；负责管委会会议的准备和服务工作；传达和督促落实管委会领导工作要求。</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（3）组织起草管委会领导重要讲话及其他重要文稿。</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（4）根据管委会工作部署和领导要求，组织专题调研，及时反映情况，提出建议。</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（5）抓好机关及下属单位自身建设工作；抓好宣传、党组织建设、精神文明建设、群团组织工作。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（6）抓好管委会的综合协调、保密、组织、人事、接待、后勤等工作。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（7）负责上级党委、政府和新区党工委、管委会重大决策、 重要工作部署、议定事项及领导批示贯彻落实的督促检查工作。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（8）完成好管委会领导交办的其他事项。</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eastAsia="zh-CN"/>
        </w:rPr>
        <w:t>1</w:t>
      </w:r>
      <w:r>
        <w:rPr>
          <w:rFonts w:ascii="Times New Roman" w:eastAsia="仿宋_GB2312"/>
          <w:b w:val="0"/>
          <w:sz w:val="32"/>
          <w:szCs w:val="32"/>
        </w:rPr>
        <w:t>个，具体情况如下：</w:t>
      </w:r>
    </w:p>
    <w:tbl>
      <w:tblPr>
        <w:tblStyle w:val="12"/>
        <w:tblW w:w="8515" w:type="dxa"/>
        <w:tblInd w:w="-4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5"/>
        <w:gridCol w:w="3620"/>
        <w:gridCol w:w="2010"/>
        <w:gridCol w:w="20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 w:type="dxa"/>
          </w:tcPr>
          <w:p>
            <w:pPr>
              <w:jc w:val="center"/>
              <w:rPr>
                <w:rFonts w:hint="eastAsia" w:ascii="Times New Roman" w:hAnsi="Times New Roman" w:eastAsia="黑体" w:cs="Times New Roman"/>
                <w:sz w:val="32"/>
                <w:szCs w:val="32"/>
                <w:highlight w:val="yellow"/>
                <w:vertAlign w:val="baseline"/>
              </w:rPr>
            </w:pPr>
            <w:r>
              <w:rPr>
                <w:rFonts w:hint="eastAsia" w:ascii="仿宋_GB2312" w:hAnsi="Calibri" w:eastAsia="仿宋_GB2312" w:cs="ArialUnicodeMS"/>
                <w:b/>
                <w:bCs/>
                <w:kern w:val="0"/>
                <w:sz w:val="28"/>
                <w:szCs w:val="28"/>
              </w:rPr>
              <w:t>序号</w:t>
            </w:r>
          </w:p>
        </w:tc>
        <w:tc>
          <w:tcPr>
            <w:tcW w:w="3620" w:type="dxa"/>
          </w:tcPr>
          <w:p>
            <w:pPr>
              <w:jc w:val="center"/>
              <w:rPr>
                <w:rFonts w:hint="eastAsia" w:ascii="Times New Roman" w:hAnsi="Times New Roman" w:eastAsia="黑体" w:cs="Times New Roman"/>
                <w:sz w:val="32"/>
                <w:szCs w:val="32"/>
                <w:highlight w:val="yellow"/>
                <w:vertAlign w:val="baseline"/>
              </w:rPr>
            </w:pPr>
            <w:r>
              <w:rPr>
                <w:rFonts w:hint="eastAsia" w:ascii="仿宋_GB2312" w:hAnsi="Calibri" w:eastAsia="仿宋_GB2312" w:cs="ArialUnicodeMS"/>
                <w:b/>
                <w:bCs/>
                <w:kern w:val="0"/>
                <w:sz w:val="28"/>
                <w:szCs w:val="28"/>
              </w:rPr>
              <w:t>单位名称</w:t>
            </w:r>
          </w:p>
        </w:tc>
        <w:tc>
          <w:tcPr>
            <w:tcW w:w="2010" w:type="dxa"/>
          </w:tcPr>
          <w:p>
            <w:pPr>
              <w:jc w:val="center"/>
              <w:rPr>
                <w:rFonts w:hint="eastAsia" w:ascii="Times New Roman" w:hAnsi="Times New Roman" w:eastAsia="黑体" w:cs="Times New Roman"/>
                <w:sz w:val="32"/>
                <w:szCs w:val="32"/>
                <w:highlight w:val="yellow"/>
                <w:vertAlign w:val="baseline"/>
              </w:rPr>
            </w:pPr>
            <w:r>
              <w:rPr>
                <w:rFonts w:hint="eastAsia" w:ascii="仿宋_GB2312" w:hAnsi="Calibri" w:eastAsia="仿宋_GB2312" w:cs="ArialUnicodeMS"/>
                <w:b/>
                <w:bCs/>
                <w:kern w:val="0"/>
                <w:sz w:val="28"/>
                <w:szCs w:val="28"/>
              </w:rPr>
              <w:t>单位基本性质</w:t>
            </w:r>
          </w:p>
        </w:tc>
        <w:tc>
          <w:tcPr>
            <w:tcW w:w="2010" w:type="dxa"/>
          </w:tcPr>
          <w:p>
            <w:pPr>
              <w:jc w:val="center"/>
              <w:rPr>
                <w:rFonts w:hint="eastAsia" w:ascii="Times New Roman" w:hAnsi="Times New Roman" w:eastAsia="黑体" w:cs="Times New Roman"/>
                <w:sz w:val="32"/>
                <w:szCs w:val="32"/>
                <w:highlight w:val="yellow"/>
                <w:vertAlign w:val="baseline"/>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 w:type="dxa"/>
          </w:tcPr>
          <w:p>
            <w:pPr>
              <w:jc w:val="center"/>
              <w:rPr>
                <w:rFonts w:hint="eastAsia" w:ascii="Times New Roman" w:hAnsi="Times New Roman" w:eastAsia="黑体" w:cs="Times New Roman"/>
                <w:sz w:val="32"/>
                <w:szCs w:val="32"/>
                <w:highlight w:val="yellow"/>
                <w:vertAlign w:val="baseline"/>
                <w:lang w:eastAsia="zh-CN"/>
              </w:rPr>
            </w:pPr>
            <w:r>
              <w:rPr>
                <w:rFonts w:hint="eastAsia" w:ascii="仿宋_GB2312" w:hAnsi="Calibri" w:eastAsia="仿宋_GB2312" w:cs="ArialUnicodeMS"/>
                <w:kern w:val="0"/>
                <w:sz w:val="28"/>
                <w:szCs w:val="28"/>
                <w:lang w:val="en-US" w:eastAsia="zh-CN"/>
              </w:rPr>
              <w:t>1</w:t>
            </w:r>
          </w:p>
        </w:tc>
        <w:tc>
          <w:tcPr>
            <w:tcW w:w="3620" w:type="dxa"/>
          </w:tcPr>
          <w:p>
            <w:pPr>
              <w:jc w:val="center"/>
              <w:rPr>
                <w:rFonts w:hint="eastAsia" w:ascii="Times New Roman" w:hAnsi="Times New Roman" w:eastAsia="黑体" w:cs="Times New Roman"/>
                <w:sz w:val="32"/>
                <w:szCs w:val="32"/>
                <w:highlight w:val="yellow"/>
                <w:vertAlign w:val="baseline"/>
              </w:rPr>
            </w:pPr>
            <w:r>
              <w:rPr>
                <w:rFonts w:hint="eastAsia" w:ascii="仿宋_GB2312" w:hAnsi="Calibri" w:eastAsia="仿宋_GB2312" w:cs="ArialUnicodeMS"/>
                <w:kern w:val="0"/>
                <w:sz w:val="28"/>
                <w:szCs w:val="28"/>
                <w:lang w:val="en-US" w:eastAsia="zh-CN"/>
              </w:rPr>
              <w:t>正定新区综合办公室（本级）</w:t>
            </w:r>
          </w:p>
        </w:tc>
        <w:tc>
          <w:tcPr>
            <w:tcW w:w="2010" w:type="dxa"/>
          </w:tcPr>
          <w:p>
            <w:pPr>
              <w:jc w:val="center"/>
              <w:rPr>
                <w:rFonts w:hint="eastAsia" w:ascii="Times New Roman" w:hAnsi="Times New Roman" w:eastAsia="黑体" w:cs="Times New Roman"/>
                <w:sz w:val="32"/>
                <w:szCs w:val="32"/>
                <w:highlight w:val="yellow"/>
                <w:vertAlign w:val="baseline"/>
              </w:rPr>
            </w:pPr>
            <w:r>
              <w:rPr>
                <w:rFonts w:hint="eastAsia" w:ascii="仿宋_GB2312" w:hAnsi="Calibri" w:eastAsia="仿宋_GB2312" w:cs="ArialUnicodeMS"/>
                <w:kern w:val="0"/>
                <w:sz w:val="28"/>
                <w:szCs w:val="28"/>
                <w:lang w:val="en-US" w:eastAsia="zh-CN"/>
              </w:rPr>
              <w:t>行政</w:t>
            </w:r>
          </w:p>
        </w:tc>
        <w:tc>
          <w:tcPr>
            <w:tcW w:w="2010" w:type="dxa"/>
          </w:tcPr>
          <w:p>
            <w:pPr>
              <w:jc w:val="center"/>
              <w:rPr>
                <w:rFonts w:hint="eastAsia" w:ascii="Times New Roman" w:hAnsi="Times New Roman" w:eastAsia="黑体" w:cs="Times New Roman"/>
                <w:sz w:val="32"/>
                <w:szCs w:val="32"/>
                <w:highlight w:val="yellow"/>
                <w:vertAlign w:val="baseline"/>
              </w:rPr>
            </w:pPr>
            <w:r>
              <w:rPr>
                <w:rFonts w:hint="eastAsia" w:ascii="仿宋_GB2312" w:hAnsi="Calibri" w:eastAsia="仿宋_GB2312" w:cs="ArialUnicodeMS"/>
                <w:kern w:val="0"/>
                <w:sz w:val="28"/>
                <w:szCs w:val="28"/>
                <w:lang w:val="en-US" w:eastAsia="zh-CN"/>
              </w:rPr>
              <w:t>全额</w:t>
            </w:r>
          </w:p>
        </w:tc>
      </w:tr>
    </w:tbl>
    <w:p>
      <w:pPr>
        <w:ind w:firstLine="640" w:firstLineChars="200"/>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部门（单位）：正定新区综合办公室</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2,414.52</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2,078.04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部门（单位）：正定新区综合办公室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4,480.59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4,480.59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政协事务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其他政协事务支出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2,045.75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2,045.75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1,985.54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1,985.54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参事事务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社会工作事务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2013904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20140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信访事务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2014004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信访业务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129.66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129.66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公共卫生</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2100409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重大公共卫生服务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部门（单位）：正定新区综合办公室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2,240.00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2,240.59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政协事务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其他政协事务支出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2,045.75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1,985.54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参事事务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社会工作事务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2013904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129.66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129.66</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重大公共卫生服务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部门（单位）：正定新区综合办公室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2,414.52</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2,078.04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2,078.04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148.73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148.73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53.54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53.54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134.21</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134.21</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2,414.52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2,414.52</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00"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17"/>
        <w:gridCol w:w="4016"/>
        <w:gridCol w:w="321"/>
        <w:gridCol w:w="611"/>
        <w:gridCol w:w="902"/>
        <w:gridCol w:w="378"/>
        <w:gridCol w:w="14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00"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00"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5254"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编制部门（单位）：正定新区综合办公室</w:t>
            </w:r>
          </w:p>
        </w:tc>
        <w:tc>
          <w:tcPr>
            <w:tcW w:w="1513"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3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4933"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667"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917"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401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932"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28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45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917"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401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3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8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5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917"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401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3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8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5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4933"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45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4933"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2,414.52</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2,240.00</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2,078.04</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政协事务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2010299</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其他政协事务支出</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2,045.75</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1,985.54</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2010309</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参事事务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24.54</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20139</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社会工作事务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2013904</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信访事务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2014004</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信访业务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19.08</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19.08</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129.66</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129.66</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53.54</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2100409</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重大公共卫生服务</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40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93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2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4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00"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部门（单位）：正定新区综合办公室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2,081.53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64.74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351.46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185.45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118.81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233.70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129.66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50.54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22.16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28.48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134.21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827.05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93.72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25.26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9.97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28.59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68.46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2,175.25</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部门（单位）：正定新区综合办公室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2,066.06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2,066.06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2,066.06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部门（单位）：正定新区综合办公室</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部门（单位）：正定新区综合办公室</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23.10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9.02</w:t>
            </w: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13.58</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13.58</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0.50</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18.93</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8.95</w:t>
            </w: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9.97</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9.97</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本部门2024年度收、支总计（含结转和结余）均为4,480.59万元。与2023年度决算相比，收支各增加1,868.52万元，增长71.5%，主要原因是</w:t>
      </w:r>
      <w:r>
        <w:rPr>
          <w:rFonts w:hint="eastAsia" w:ascii="Times New Roman" w:eastAsia="仿宋_GB2312"/>
          <w:b w:val="0"/>
          <w:sz w:val="32"/>
          <w:szCs w:val="32"/>
        </w:rPr>
        <w:t>转让园博园场馆税费收入增加</w:t>
      </w:r>
      <w:r>
        <w:rPr>
          <w:rFonts w:hint="eastAsia" w:ascii="Times New Roman" w:eastAsia="仿宋_GB2312"/>
          <w:b w:val="0"/>
          <w:sz w:val="32"/>
          <w:szCs w:val="32"/>
          <w:lang w:val="en-US" w:eastAsia="zh-CN"/>
        </w:rPr>
        <w:t xml:space="preserve"> </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ascii="Times New Roman" w:eastAsia="仿宋_GB2312"/>
          <w:b w:val="0"/>
          <w:sz w:val="32"/>
          <w:szCs w:val="32"/>
        </w:rPr>
        <w:t>本部门2024年度本年收入合计4,480.59万元，其中：财政拨款收入4,480.59万元，占100.0%</w:t>
      </w:r>
      <w:r>
        <w:rPr>
          <w:rFonts w:hint="eastAsia" w:ascii="Times New Roman" w:eastAsia="仿宋_GB2312"/>
          <w:b w:val="0"/>
          <w:sz w:val="32"/>
          <w:szCs w:val="32"/>
          <w:lang w:eastAsia="zh-CN"/>
        </w:rPr>
        <w:t>。</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-40640</wp:posOffset>
            </wp:positionH>
            <wp:positionV relativeFrom="paragraph">
              <wp:posOffset>209550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本部门2024年度本年支出合计4,480.59万元，其中：基本支出2,240.00万元，占50.0%；项目支出2,240.59万元，占50.0%</w:t>
      </w:r>
      <w:r>
        <w:rPr>
          <w:rFonts w:hint="eastAsia" w:ascii="Times New Roman" w:eastAsia="仿宋_GB2312"/>
          <w:b w:val="0"/>
          <w:sz w:val="32"/>
          <w:szCs w:val="32"/>
          <w:lang w:eastAsia="zh-CN"/>
        </w:rPr>
        <w:t>。</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本部门2024年度财政拨款收、支总计（含结转和结余）均为4,480.59万元。与2023年度相比，财政拨款收支各增加1,868.52万元，增长71.5%，主要原因是</w:t>
      </w:r>
      <w:r>
        <w:rPr>
          <w:rFonts w:hint="eastAsia" w:ascii="Times New Roman" w:eastAsia="仿宋_GB2312"/>
          <w:b w:val="0"/>
          <w:sz w:val="32"/>
          <w:szCs w:val="32"/>
        </w:rPr>
        <w:t>转让园博园场馆税费收入增加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本部门2024年度财政拨款本年收入4,480.59万元,比上年增加1,868.52万元，增长71.5%，主要原因是</w:t>
      </w:r>
      <w:r>
        <w:rPr>
          <w:rFonts w:hint="eastAsia" w:ascii="Times New Roman" w:eastAsia="仿宋_GB2312"/>
          <w:b w:val="0"/>
          <w:sz w:val="32"/>
          <w:szCs w:val="32"/>
        </w:rPr>
        <w:t>转让园博园场馆税费收入增加</w:t>
      </w:r>
      <w:r>
        <w:rPr>
          <w:rFonts w:ascii="Times New Roman" w:eastAsia="仿宋_GB2312"/>
          <w:b w:val="0"/>
          <w:sz w:val="32"/>
          <w:szCs w:val="32"/>
        </w:rPr>
        <w:t>；本年支出4,480.59万元，比上年增加1,885.08万元，增长72.6%，主要原因是</w:t>
      </w:r>
      <w:r>
        <w:rPr>
          <w:rFonts w:hint="eastAsia" w:ascii="Times New Roman" w:eastAsia="仿宋_GB2312"/>
          <w:b w:val="0"/>
          <w:sz w:val="32"/>
          <w:szCs w:val="32"/>
        </w:rPr>
        <w:t>转让园博园场馆税费支出增加</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1.一般公共预算财政拨款本年收入2,414.52万元,比上年减少111.93万元，降低4.4%，主要原因是</w:t>
      </w:r>
      <w:r>
        <w:rPr>
          <w:rFonts w:hint="eastAsia" w:ascii="Times New Roman" w:eastAsia="仿宋_GB2312"/>
          <w:b w:val="0"/>
          <w:sz w:val="32"/>
          <w:szCs w:val="32"/>
          <w:lang w:eastAsia="zh-CN"/>
        </w:rPr>
        <w:t>正常波动</w:t>
      </w:r>
      <w:r>
        <w:rPr>
          <w:rFonts w:ascii="Times New Roman" w:eastAsia="仿宋_GB2312"/>
          <w:b w:val="0"/>
          <w:sz w:val="32"/>
          <w:szCs w:val="32"/>
        </w:rPr>
        <w:t>；本年支出2,414.52万元，比上年减少95.37万元，降低3.8%，主要原因是</w:t>
      </w:r>
      <w:r>
        <w:rPr>
          <w:rFonts w:hint="eastAsia" w:ascii="Times New Roman" w:eastAsia="仿宋_GB2312"/>
          <w:b w:val="0"/>
          <w:sz w:val="32"/>
          <w:szCs w:val="32"/>
          <w:lang w:eastAsia="zh-CN"/>
        </w:rPr>
        <w:t>正常波动</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2.政府性基金预算财政拨款本年收入2,066.06万元，比上年增加1,980.45万元，增长2,313.3%，主要原因是</w:t>
      </w:r>
      <w:r>
        <w:rPr>
          <w:rFonts w:hint="eastAsia" w:ascii="Times New Roman" w:eastAsia="仿宋_GB2312"/>
          <w:b w:val="0"/>
          <w:sz w:val="32"/>
          <w:szCs w:val="32"/>
        </w:rPr>
        <w:t>转让园博园场馆税费收入增加</w:t>
      </w:r>
      <w:r>
        <w:rPr>
          <w:rFonts w:ascii="Times New Roman" w:eastAsia="仿宋_GB2312"/>
          <w:b w:val="0"/>
          <w:sz w:val="32"/>
          <w:szCs w:val="32"/>
        </w:rPr>
        <w:t>；本年支出2,066.06万元，比上年增加1,980.45万元，增长2,313.3%，主要原因是</w:t>
      </w:r>
      <w:r>
        <w:rPr>
          <w:rFonts w:hint="eastAsia" w:ascii="Times New Roman" w:eastAsia="仿宋_GB2312"/>
          <w:b w:val="0"/>
          <w:sz w:val="32"/>
          <w:szCs w:val="32"/>
        </w:rPr>
        <w:t>转让园博园场馆税费支出增加</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本部门2024年度财政拨款本年收入4,480.59万元，完成年初预算的34.9%，比年初预算减少8,359.58万元，决算数小于预算数主要原因是</w:t>
      </w:r>
      <w:r>
        <w:rPr>
          <w:rFonts w:hint="eastAsia" w:ascii="Times New Roman" w:eastAsia="仿宋_GB2312"/>
          <w:b w:val="0"/>
          <w:sz w:val="32"/>
          <w:szCs w:val="32"/>
        </w:rPr>
        <w:t>转让园博园场馆</w:t>
      </w:r>
      <w:r>
        <w:rPr>
          <w:rFonts w:ascii="Times New Roman" w:eastAsia="仿宋_GB2312"/>
          <w:b w:val="0"/>
          <w:sz w:val="32"/>
          <w:szCs w:val="32"/>
        </w:rPr>
        <w:t>；本年支出4,480.59万元，完成年初预算的34.9%，比年初预算减少8,359.58万元，决算数小于预算数主要原因是</w:t>
      </w:r>
      <w:r>
        <w:rPr>
          <w:rFonts w:hint="eastAsia" w:ascii="Times New Roman" w:eastAsia="仿宋_GB2312"/>
          <w:b w:val="0"/>
          <w:sz w:val="32"/>
          <w:szCs w:val="32"/>
        </w:rPr>
        <w:t>转让园博园场馆</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1.一般公共预算财政拨款本年收入完成年初预算的41.1%，比年初预算减少3,459.06万元，主要原因是</w:t>
      </w:r>
      <w:r>
        <w:rPr>
          <w:rFonts w:hint="eastAsia" w:ascii="Times New Roman" w:eastAsia="仿宋_GB2312"/>
          <w:b w:val="0"/>
          <w:sz w:val="32"/>
          <w:szCs w:val="32"/>
          <w:highlight w:val="none"/>
        </w:rPr>
        <w:t>管委会房屋租赁费</w:t>
      </w:r>
      <w:r>
        <w:rPr>
          <w:rFonts w:hint="eastAsia" w:ascii="Times New Roman" w:eastAsia="仿宋_GB2312"/>
          <w:b w:val="0"/>
          <w:sz w:val="32"/>
          <w:szCs w:val="32"/>
          <w:highlight w:val="none"/>
          <w:lang w:eastAsia="zh-CN"/>
        </w:rPr>
        <w:t>减少</w:t>
      </w:r>
      <w:r>
        <w:rPr>
          <w:rFonts w:hint="eastAsia" w:ascii="Times New Roman" w:eastAsia="仿宋_GB2312"/>
          <w:b w:val="0"/>
          <w:sz w:val="32"/>
          <w:szCs w:val="32"/>
          <w:highlight w:val="none"/>
          <w:lang w:val="en-US" w:eastAsia="zh-CN"/>
        </w:rPr>
        <w:t>3197.56万元</w:t>
      </w:r>
      <w:r>
        <w:rPr>
          <w:rFonts w:ascii="Times New Roman" w:eastAsia="仿宋_GB2312"/>
          <w:b w:val="0"/>
          <w:sz w:val="32"/>
          <w:szCs w:val="32"/>
          <w:highlight w:val="none"/>
        </w:rPr>
        <w:t>；支出完成年初预算的41.1%，比年初预算减少3,459.06万元，主要原因是</w:t>
      </w:r>
      <w:r>
        <w:rPr>
          <w:rFonts w:hint="eastAsia" w:ascii="Times New Roman" w:eastAsia="仿宋_GB2312"/>
          <w:b w:val="0"/>
          <w:sz w:val="32"/>
          <w:szCs w:val="32"/>
          <w:highlight w:val="none"/>
        </w:rPr>
        <w:t>管委会房屋租赁费</w:t>
      </w:r>
      <w:r>
        <w:rPr>
          <w:rFonts w:hint="eastAsia" w:ascii="Times New Roman" w:eastAsia="仿宋_GB2312"/>
          <w:b w:val="0"/>
          <w:sz w:val="32"/>
          <w:szCs w:val="32"/>
          <w:highlight w:val="none"/>
          <w:lang w:eastAsia="zh-CN"/>
        </w:rPr>
        <w:t>较年初预算减少</w:t>
      </w:r>
      <w:r>
        <w:rPr>
          <w:rFonts w:hint="eastAsia" w:ascii="Times New Roman" w:eastAsia="仿宋_GB2312"/>
          <w:b w:val="0"/>
          <w:sz w:val="32"/>
          <w:szCs w:val="32"/>
          <w:highlight w:val="none"/>
          <w:lang w:val="en-US" w:eastAsia="zh-CN"/>
        </w:rPr>
        <w:t>3197.56万元</w:t>
      </w:r>
      <w:r>
        <w:rPr>
          <w:rFonts w:ascii="Times New Roman" w:eastAsia="仿宋_GB2312"/>
          <w:b w:val="0"/>
          <w:sz w:val="32"/>
          <w:szCs w:val="32"/>
          <w:highlight w:val="none"/>
        </w:rPr>
        <w:t>。</w:t>
      </w:r>
    </w:p>
    <w:p>
      <w:pPr>
        <w:widowControl/>
        <w:shd w:val="clear"/>
        <w:spacing w:before="0" w:beforeLines="0" w:beforeAutospacing="0" w:after="0" w:afterLines="0" w:afterAutospacing="0" w:line="360" w:lineRule="auto"/>
        <w:ind w:firstLine="640" w:firstLineChars="200"/>
        <w:jc w:val="left"/>
        <w:rPr>
          <w:rFonts w:hint="default" w:ascii="Times New Roman" w:hAnsi="Times New Roman" w:eastAsia="Arial" w:cs="Times New Roman"/>
          <w:highlight w:val="none"/>
        </w:rPr>
      </w:pPr>
      <w:r>
        <w:rPr>
          <w:rFonts w:ascii="Times New Roman" w:eastAsia="仿宋_GB2312"/>
          <w:b w:val="0"/>
          <w:sz w:val="32"/>
          <w:szCs w:val="32"/>
          <w:highlight w:val="none"/>
        </w:rPr>
        <w:t>2.政府性基金预算财政拨款本年收入完成年初预算的29.7%，比年初预算减少4,900.53万元，主要原因是</w:t>
      </w:r>
      <w:r>
        <w:rPr>
          <w:rFonts w:hint="eastAsia" w:ascii="Times New Roman" w:eastAsia="仿宋_GB2312"/>
          <w:b w:val="0"/>
          <w:sz w:val="32"/>
          <w:szCs w:val="32"/>
          <w:highlight w:val="none"/>
        </w:rPr>
        <w:t>供应链孵化中心、跨境电商孵化中心土地购置费及相关税费</w:t>
      </w:r>
      <w:r>
        <w:rPr>
          <w:rFonts w:hint="eastAsia" w:ascii="Times New Roman" w:eastAsia="仿宋_GB2312"/>
          <w:b w:val="0"/>
          <w:sz w:val="32"/>
          <w:szCs w:val="32"/>
          <w:highlight w:val="none"/>
          <w:lang w:eastAsia="zh-CN"/>
        </w:rPr>
        <w:t>较年初预算减少</w:t>
      </w:r>
      <w:r>
        <w:rPr>
          <w:rFonts w:ascii="Times New Roman" w:eastAsia="仿宋_GB2312"/>
          <w:b w:val="0"/>
          <w:sz w:val="32"/>
          <w:szCs w:val="32"/>
          <w:highlight w:val="none"/>
        </w:rPr>
        <w:t>；支出完成年初预算的29.7%，比年初预算减少4,900.53万元，主要原因是</w:t>
      </w:r>
      <w:r>
        <w:rPr>
          <w:rFonts w:hint="eastAsia" w:ascii="Times New Roman" w:eastAsia="仿宋_GB2312"/>
          <w:b w:val="0"/>
          <w:sz w:val="32"/>
          <w:szCs w:val="32"/>
          <w:highlight w:val="none"/>
        </w:rPr>
        <w:t>供应链孵化中心、跨境电商孵化中心土地购置费及相关税费</w:t>
      </w:r>
      <w:r>
        <w:rPr>
          <w:rFonts w:hint="eastAsia" w:ascii="Times New Roman" w:eastAsia="仿宋_GB2312"/>
          <w:b w:val="0"/>
          <w:sz w:val="32"/>
          <w:szCs w:val="32"/>
          <w:highlight w:val="none"/>
          <w:lang w:eastAsia="zh-CN"/>
        </w:rPr>
        <w:t>较年初预算减少</w:t>
      </w:r>
      <w:r>
        <w:rPr>
          <w:rFonts w:ascii="Times New Roman" w:eastAsia="仿宋_GB2312"/>
          <w:b w:val="0"/>
          <w:sz w:val="32"/>
          <w:szCs w:val="32"/>
          <w:highlight w:val="none"/>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2024年度财政拨款支出4,480.59万元，主要用于以下方面：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一般公共服务（类）支出2,078.04万元，占46.4%；社会保障和就业（类）支出148.73万元，占3.3%；卫生健康（类）支出53.54万元，占1.2%；住房保障（类）支出134.21万元，占3.0%。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城乡社区（类）支出2,066.06万元，占46.1%</w:t>
      </w:r>
      <w:r>
        <w:rPr>
          <w:rFonts w:hint="eastAsia" w:ascii="Times New Roman" w:eastAsia="仿宋_GB2312"/>
          <w:b w:val="0"/>
          <w:sz w:val="32"/>
          <w:szCs w:val="32"/>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2024年度财政拨款基本支出2,240.00万元，其中：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2,175.25万元，主要包括基本工资、津贴补贴、奖金、机关事业部门基本养老保险缴费、职业年金缴费、职工基本医疗保险缴费、公务员医疗补助缴费、住房公积金、医疗费、其他社会保障缴费、其他工资福利支出。</w:t>
      </w:r>
    </w:p>
    <w:p>
      <w:pPr>
        <w:widowControl/>
        <w:shd w:val="clear" w:fill="FFFFFF" w:themeFill="background1"/>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公用经费64.74万元，主要包括办公费</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差旅费、因公出国（境）费用、会议费、培训费、公务接待费</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工会经费、福利费、公务用车运行维护费、其他商品和服务支出</w:t>
      </w:r>
      <w:r>
        <w:rPr>
          <w:rFonts w:hint="eastAsia" w:ascii="Times New Roman" w:eastAsia="仿宋_GB2312"/>
          <w:b w:val="0"/>
          <w:sz w:val="32"/>
          <w:szCs w:val="32"/>
          <w:highlight w:val="none"/>
          <w:lang w:eastAsia="zh-CN"/>
        </w:rPr>
        <w:t>等</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本部门2024年度“三公”经费财政拨款支出预算为23.10万元，支出决算为18.93万元，完成预算的81.9%，较预算减少4.17万元，降低18.1%，主要原因是</w:t>
      </w:r>
      <w:r>
        <w:rPr>
          <w:rFonts w:hint="eastAsia" w:ascii="Times New Roman" w:eastAsia="仿宋_GB2312"/>
          <w:b w:val="0"/>
          <w:sz w:val="32"/>
          <w:szCs w:val="32"/>
        </w:rPr>
        <w:t>公务用车运行维护费</w:t>
      </w:r>
      <w:r>
        <w:rPr>
          <w:rFonts w:hint="eastAsia" w:ascii="Times New Roman" w:eastAsia="仿宋_GB2312"/>
          <w:b w:val="0"/>
          <w:sz w:val="32"/>
          <w:szCs w:val="32"/>
          <w:lang w:eastAsia="zh-CN"/>
        </w:rPr>
        <w:t>较预算减少</w:t>
      </w:r>
      <w:r>
        <w:rPr>
          <w:rFonts w:hint="eastAsia" w:ascii="Times New Roman" w:eastAsia="仿宋_GB2312"/>
          <w:b w:val="0"/>
          <w:sz w:val="32"/>
          <w:szCs w:val="32"/>
          <w:lang w:val="en-US" w:eastAsia="zh-CN"/>
        </w:rPr>
        <w:t>5.63万元</w:t>
      </w:r>
      <w:r>
        <w:rPr>
          <w:rFonts w:ascii="Times New Roman" w:eastAsia="仿宋_GB2312"/>
          <w:b w:val="0"/>
          <w:sz w:val="32"/>
          <w:szCs w:val="32"/>
        </w:rPr>
        <w:t>；较2023年度决算增加13.83万元，增长271.2%，主要原因是</w:t>
      </w:r>
      <w:r>
        <w:rPr>
          <w:rFonts w:hint="eastAsia" w:ascii="Times New Roman" w:eastAsia="仿宋_GB2312"/>
          <w:b w:val="0"/>
          <w:sz w:val="32"/>
          <w:szCs w:val="32"/>
        </w:rPr>
        <w:t>预算调整，因公出国支出增加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本部门2024年度因公出国（境）费支出预算为9.02万元,支出决算8.95万元。完成预算的99.2%。因公出国（境）费支出较预算减少0.07万元，降低0.8%,主要原因是</w:t>
      </w:r>
      <w:r>
        <w:rPr>
          <w:rFonts w:hint="eastAsia" w:ascii="Times New Roman" w:eastAsia="仿宋_GB2312"/>
          <w:b w:val="0"/>
          <w:sz w:val="32"/>
          <w:szCs w:val="32"/>
          <w:lang w:eastAsia="zh-CN"/>
        </w:rPr>
        <w:t>正常波动</w:t>
      </w:r>
      <w:r>
        <w:rPr>
          <w:rFonts w:ascii="Times New Roman" w:eastAsia="仿宋_GB2312"/>
          <w:b w:val="0"/>
          <w:sz w:val="32"/>
          <w:szCs w:val="32"/>
        </w:rPr>
        <w:t>；较上年增加8.95万元，增长100.00%,主要原因是</w:t>
      </w:r>
      <w:r>
        <w:rPr>
          <w:rFonts w:hint="eastAsia" w:ascii="Times New Roman" w:eastAsia="仿宋_GB2312"/>
          <w:b w:val="0"/>
          <w:sz w:val="32"/>
          <w:szCs w:val="32"/>
          <w:lang w:eastAsia="zh-CN"/>
        </w:rPr>
        <w:t>上年未安排因公出国支出预算</w:t>
      </w:r>
      <w:r>
        <w:rPr>
          <w:rFonts w:ascii="Times New Roman" w:eastAsia="仿宋_GB2312"/>
          <w:b w:val="0"/>
          <w:sz w:val="32"/>
          <w:szCs w:val="32"/>
        </w:rPr>
        <w:t>。因公出国（境）团组1个、共1人、参加其他单位组织的因公出国（境）团组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个、无本部门组织的出国（境）团组。</w:t>
      </w:r>
    </w:p>
    <w:p>
      <w:pPr>
        <w:keepNext w:val="0"/>
        <w:keepLines w:val="0"/>
        <w:widowControl/>
        <w:suppressLineNumbers w:val="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本部门2024年度公务用车购置及运行维护费预算为13.58万元，支出决算9.97万元，完成预算的73.4%,较预算减少3.60万元，降低26.6%,主要原因</w:t>
      </w:r>
      <w:r>
        <w:rPr>
          <w:rFonts w:ascii="仿宋_GB2312" w:hAnsi="仿宋_GB2312" w:eastAsia="仿宋_GB2312" w:cs="仿宋_GB2312"/>
          <w:color w:val="000000"/>
          <w:kern w:val="0"/>
          <w:sz w:val="31"/>
          <w:szCs w:val="31"/>
          <w:lang w:val="en-US" w:eastAsia="zh-CN" w:bidi="ar"/>
        </w:rPr>
        <w:t>是贯彻落实中央八项规定精神和厉行节约要求</w:t>
      </w:r>
      <w:r>
        <w:rPr>
          <w:rFonts w:ascii="Times New Roman" w:eastAsia="仿宋_GB2312"/>
          <w:b w:val="0"/>
          <w:sz w:val="32"/>
          <w:szCs w:val="32"/>
        </w:rPr>
        <w:t>；较上年增加4.88万元，增长95.5%,主要原因是</w:t>
      </w:r>
      <w:r>
        <w:rPr>
          <w:rFonts w:hint="eastAsia" w:ascii="Times New Roman" w:eastAsia="仿宋_GB2312"/>
          <w:b w:val="0"/>
          <w:sz w:val="32"/>
          <w:szCs w:val="32"/>
        </w:rPr>
        <w:t>公车保险，维修支出增加</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hint="eastAsia" w:ascii="Times New Roman" w:eastAsia="仿宋_GB2312"/>
          <w:b/>
          <w:sz w:val="32"/>
          <w:szCs w:val="32"/>
          <w:lang w:eastAsia="zh-CN"/>
        </w:rPr>
        <w:t>，</w:t>
      </w:r>
      <w:r>
        <w:rPr>
          <w:rFonts w:hint="eastAsia" w:ascii="Times New Roman" w:eastAsia="仿宋_GB2312"/>
          <w:b/>
          <w:sz w:val="32"/>
          <w:szCs w:val="32"/>
        </w:rPr>
        <w:t>未发生此类支出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公务用车运行维护费支出9.97万元：</w:t>
      </w:r>
      <w:r>
        <w:rPr>
          <w:rFonts w:ascii="Times New Roman" w:eastAsia="仿宋_GB2312"/>
          <w:b w:val="0"/>
          <w:sz w:val="32"/>
          <w:szCs w:val="32"/>
        </w:rPr>
        <w:t>本部门2024年度单位公务用车保有量13辆，发生运行维护费支出9.97万元。公车运行维护费支出较预算减少3.60万元，降低26.6%,主要原因是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；较上年增加4.88万元，增长95.5%，主要原因是</w:t>
      </w:r>
      <w:r>
        <w:rPr>
          <w:rFonts w:hint="eastAsia" w:ascii="Times New Roman" w:eastAsia="仿宋_GB2312"/>
          <w:b w:val="0"/>
          <w:sz w:val="32"/>
          <w:szCs w:val="32"/>
        </w:rPr>
        <w:t>公车保险，维修支出增加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本部门2024年度公务接待费支出预算为0.50万元，支出决算0.00万元，完成预算的0.0%。公务接待费支出较预算减少0.50万元，降低100.0%,主要原因是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；较上年度增加0.00万元，增长0.0</w:t>
      </w:r>
      <w:r>
        <w:rPr>
          <w:rFonts w:ascii="Times New Roman" w:eastAsia="仿宋_GB2312"/>
          <w:b w:val="0"/>
          <w:sz w:val="32"/>
          <w:szCs w:val="32"/>
          <w:highlight w:val="none"/>
          <w:shd w:val="clear"/>
        </w:rPr>
        <w:t>0%,主要原因是</w:t>
      </w:r>
      <w:r>
        <w:rPr>
          <w:rFonts w:hint="eastAsia" w:ascii="Times New Roman" w:eastAsia="仿宋_GB2312"/>
          <w:b w:val="0"/>
          <w:sz w:val="32"/>
          <w:szCs w:val="32"/>
          <w:highlight w:val="none"/>
          <w:shd w:val="clear"/>
          <w:lang w:val="en-US" w:eastAsia="zh-CN"/>
        </w:rPr>
        <w:t>2023年度和2024年度均未发生公务接待支出</w:t>
      </w:r>
      <w:r>
        <w:rPr>
          <w:rFonts w:ascii="Times New Roman" w:eastAsia="仿宋_GB2312"/>
          <w:b w:val="0"/>
          <w:sz w:val="32"/>
          <w:szCs w:val="32"/>
          <w:highlight w:val="none"/>
          <w:shd w:val="clear"/>
        </w:rPr>
        <w:t>。</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本部门2024年度机关运行经费支出64.74万元，较2023年度增加8.48万元，增长15.1%。主要原因是</w:t>
      </w:r>
      <w:r>
        <w:rPr>
          <w:rFonts w:hint="eastAsia" w:ascii="Times New Roman" w:eastAsia="仿宋_GB2312"/>
          <w:b w:val="0"/>
          <w:sz w:val="32"/>
          <w:szCs w:val="32"/>
        </w:rPr>
        <w:t>预算调整，因公出国支出增加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w:t>
      </w:r>
      <w:r>
        <w:rPr>
          <w:rFonts w:hint="eastAsia" w:ascii="Times New Roman" w:eastAsia="仿宋_GB2312"/>
          <w:b w:val="0"/>
          <w:sz w:val="32"/>
          <w:szCs w:val="32"/>
          <w:lang w:eastAsia="zh-CN"/>
        </w:rPr>
        <w:t>8</w:t>
      </w:r>
      <w:r>
        <w:rPr>
          <w:rFonts w:ascii="Times New Roman" w:eastAsia="仿宋_GB2312"/>
          <w:b w:val="0"/>
          <w:sz w:val="32"/>
          <w:szCs w:val="32"/>
        </w:rPr>
        <w:t>支出总额40.10万元，从采购类型来看，政府采购服务支出40.10万元。授予中小企业合同金额40.10万元，占政府采购支出总额的100.0%，其中授予小微企业合同金额40.10万元，占政府采购支出总额的100.0%。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截至2024年12月31日，本部门共有车辆14辆，比上年增加0辆。其中，机要通信用车14辆。</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4480.59</w:t>
      </w:r>
      <w:r>
        <w:rPr>
          <w:rFonts w:ascii="Times New Roman" w:eastAsia="仿宋_GB2312"/>
          <w:b w:val="0"/>
          <w:sz w:val="32"/>
          <w:szCs w:val="32"/>
        </w:rPr>
        <w:t>万元（决算金额）。</w:t>
      </w:r>
      <w:r>
        <w:rPr>
          <w:rFonts w:ascii="Times New Roman" w:eastAsia="仿宋_GB2312"/>
          <w:b w:val="0"/>
          <w:sz w:val="32"/>
          <w:szCs w:val="32"/>
          <w:highlight w:val="none"/>
        </w:rPr>
        <w:t>其中，一般公共预算项目</w:t>
      </w:r>
      <w:r>
        <w:rPr>
          <w:rFonts w:hint="eastAsia" w:ascii="Times New Roman" w:eastAsia="仿宋_GB2312"/>
          <w:b w:val="0"/>
          <w:sz w:val="32"/>
          <w:szCs w:val="32"/>
          <w:highlight w:val="none"/>
          <w:lang w:val="en-US" w:eastAsia="zh-CN"/>
        </w:rPr>
        <w:t>13</w:t>
      </w:r>
      <w:r>
        <w:rPr>
          <w:rFonts w:ascii="Times New Roman" w:eastAsia="仿宋_GB2312"/>
          <w:b w:val="0"/>
          <w:sz w:val="32"/>
          <w:szCs w:val="32"/>
          <w:highlight w:val="none"/>
        </w:rPr>
        <w:t>个，涉及资金</w:t>
      </w:r>
      <w:r>
        <w:rPr>
          <w:rFonts w:hint="eastAsia" w:ascii="Times New Roman" w:eastAsia="仿宋_GB2312"/>
          <w:b w:val="0"/>
          <w:sz w:val="32"/>
          <w:szCs w:val="32"/>
          <w:highlight w:val="none"/>
          <w:lang w:val="en-US" w:eastAsia="zh-CN"/>
        </w:rPr>
        <w:t>4480.59</w:t>
      </w:r>
      <w:r>
        <w:rPr>
          <w:rFonts w:ascii="Times New Roman" w:eastAsia="仿宋_GB2312"/>
          <w:b w:val="0"/>
          <w:sz w:val="32"/>
          <w:szCs w:val="32"/>
          <w:highlight w:val="none"/>
        </w:rPr>
        <w:t>万元，占一般公共预算项目支出总额的</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组织对</w:t>
      </w:r>
      <w:r>
        <w:rPr>
          <w:rFonts w:hint="eastAsia" w:ascii="Times New Roman" w:eastAsia="仿宋_GB2312"/>
          <w:b w:val="0"/>
          <w:sz w:val="32"/>
          <w:szCs w:val="32"/>
          <w:highlight w:val="none"/>
          <w:lang w:val="en-US" w:eastAsia="zh-CN"/>
        </w:rPr>
        <w:t>13</w:t>
      </w:r>
      <w:r>
        <w:rPr>
          <w:rFonts w:ascii="Times New Roman" w:eastAsia="仿宋_GB2312"/>
          <w:b w:val="0"/>
          <w:sz w:val="32"/>
          <w:szCs w:val="32"/>
          <w:highlight w:val="none"/>
        </w:rPr>
        <w:t>个项目开展了部门重点评价，涉及一般公共预算支出</w:t>
      </w:r>
      <w:r>
        <w:rPr>
          <w:rFonts w:hint="eastAsia" w:ascii="Times New Roman" w:eastAsia="仿宋_GB2312"/>
          <w:b w:val="0"/>
          <w:sz w:val="32"/>
          <w:szCs w:val="32"/>
          <w:highlight w:val="none"/>
          <w:lang w:val="en-US" w:eastAsia="zh-CN"/>
        </w:rPr>
        <w:t>4480.59</w:t>
      </w:r>
      <w:r>
        <w:rPr>
          <w:rFonts w:ascii="Times New Roman" w:eastAsia="仿宋_GB2312"/>
          <w:b w:val="0"/>
          <w:sz w:val="32"/>
          <w:szCs w:val="32"/>
          <w:highlight w:val="none"/>
        </w:rPr>
        <w:t>万元</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从评价情况来看，本部门</w:t>
      </w:r>
      <w:r>
        <w:rPr>
          <w:rFonts w:hint="eastAsia" w:ascii="仿宋_GB2312" w:eastAsia="仿宋_GB2312"/>
          <w:sz w:val="32"/>
          <w:szCs w:val="32"/>
          <w:highlight w:val="none"/>
          <w:lang w:val="en-US" w:eastAsia="zh-CN"/>
        </w:rPr>
        <w:t>抓好党工委、管委会的重大决策部署，明确责任、定出措施，按节点考核，通过调研提出管委会的综合协调、督查、机要、保密、组织、人事、宣传、信访、会务、接待、后勤等工作；抓好机关及下属单位自身建设工作；抓好党组织建设、精神文明建设、群团组织工作；完成好上级领导交办的其他事项</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w:t>
      </w:r>
      <w:r>
        <w:rPr>
          <w:rFonts w:hint="eastAsia" w:ascii="Times New Roman" w:eastAsia="仿宋_GB2312"/>
          <w:b w:val="0"/>
          <w:sz w:val="32"/>
          <w:szCs w:val="32"/>
          <w:lang w:eastAsia="zh-CN"/>
        </w:rPr>
        <w:t>8</w:t>
      </w:r>
      <w:r>
        <w:rPr>
          <w:rFonts w:ascii="Times New Roman" w:eastAsia="仿宋_GB2312"/>
          <w:b w:val="0"/>
          <w:sz w:val="32"/>
          <w:szCs w:val="32"/>
        </w:rPr>
        <w:t>反映等个项目绩效自评结果。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项目绩效目标完成情况：</w:t>
      </w:r>
      <w:r>
        <w:rPr>
          <w:rFonts w:hint="eastAsia" w:ascii="Times New Roman" w:eastAsia="仿宋_GB2312"/>
          <w:b w:val="0"/>
          <w:sz w:val="32"/>
          <w:szCs w:val="32"/>
        </w:rPr>
        <w:t>根据部门职责定位和各项工作履职情况进行综合评价，综合绩效评价得分均在90分以上。部门整体支出综合绩效评价为优秀。</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发现的主要问题及原因是：</w:t>
      </w:r>
      <w:r>
        <w:rPr>
          <w:rFonts w:hint="eastAsia" w:ascii="Times New Roman" w:eastAsia="仿宋_GB2312"/>
          <w:b w:val="0"/>
          <w:sz w:val="32"/>
          <w:szCs w:val="32"/>
        </w:rPr>
        <w:t>资产管理工作有待加强，工作制度不够完善、支出管理力度不够支出布局优化缺乏、人员专业素质有待提高等</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下一步改进措施：</w:t>
      </w:r>
      <w:r>
        <w:rPr>
          <w:rFonts w:hint="eastAsia" w:ascii="Times New Roman" w:eastAsia="仿宋_GB2312"/>
          <w:b w:val="0"/>
          <w:sz w:val="32"/>
          <w:szCs w:val="32"/>
        </w:rPr>
        <w:t>进一步加强预算资金管理，对预算的事前、事中、事后进行全过程控制，提高预算资金使用效率。同时，提高单位人员对预算资金使用效益的认识，充分发挥财政资金的效益。不断完</w:t>
      </w:r>
      <w:bookmarkStart w:id="0" w:name="_GoBack"/>
      <w:bookmarkEnd w:id="0"/>
      <w:r>
        <w:rPr>
          <w:rFonts w:hint="eastAsia" w:ascii="Times New Roman" w:eastAsia="仿宋_GB2312"/>
          <w:b w:val="0"/>
          <w:sz w:val="32"/>
          <w:szCs w:val="32"/>
        </w:rPr>
        <w:t>善制度建设，规范内部管理，坚持建章立制。进一步明确各部门工作职责和岗位标准，不断加强制度建设，进一步建立健全各项规章制度及规范性文件，以制度化促进业务规范化</w:t>
      </w:r>
      <w:r>
        <w:rPr>
          <w:rFonts w:hint="eastAsia" w:ascii="Times New Roman" w:eastAsia="仿宋_GB2312"/>
          <w:b w:val="0"/>
          <w:sz w:val="32"/>
          <w:szCs w:val="32"/>
          <w:lang w:eastAsia="zh-CN"/>
        </w:rPr>
        <w:t>，</w:t>
      </w:r>
      <w:r>
        <w:rPr>
          <w:rFonts w:hint="eastAsia" w:ascii="Times New Roman" w:eastAsia="仿宋_GB2312"/>
          <w:b w:val="0"/>
          <w:sz w:val="32"/>
          <w:szCs w:val="32"/>
        </w:rPr>
        <w:t>切实发挥绩效评价结果应用的度省本级财政决算。</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08C4582-2AAE-4886-9A03-D7C82DE64142}"/>
  </w:font>
  <w:font w:name="黑体">
    <w:panose1 w:val="02010609060101010101"/>
    <w:charset w:val="86"/>
    <w:family w:val="auto"/>
    <w:pitch w:val="default"/>
    <w:sig w:usb0="800002BF" w:usb1="38CF7CFA" w:usb2="00000016" w:usb3="00000000" w:csb0="00040001" w:csb1="00000000"/>
    <w:embedRegular r:id="rId2" w:fontKey="{5CF92F7A-4F5A-4D91-9012-5712D231104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3C6A6344-1E41-40A8-A1F7-3BEA0F4F3D5F}"/>
  </w:font>
  <w:font w:name="仿宋">
    <w:panose1 w:val="02010609060101010101"/>
    <w:charset w:val="86"/>
    <w:family w:val="modern"/>
    <w:pitch w:val="default"/>
    <w:sig w:usb0="800002BF" w:usb1="38CF7CFA" w:usb2="00000016" w:usb3="00000000" w:csb0="00040001" w:csb1="00000000"/>
    <w:embedRegular r:id="rId4" w:fontKey="{1DE0E8BA-8871-46D2-A16E-A94692E28443}"/>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94297C0A-E62F-4511-97F7-00A99B4D6642}"/>
  </w:font>
  <w:font w:name="楷体">
    <w:panose1 w:val="02010609060101010101"/>
    <w:charset w:val="86"/>
    <w:family w:val="auto"/>
    <w:pitch w:val="default"/>
    <w:sig w:usb0="800002BF" w:usb1="38CF7CFA" w:usb2="00000016" w:usb3="00000000" w:csb0="00040001" w:csb1="00000000"/>
    <w:embedRegular r:id="rId6" w:fontKey="{9E6714F9-7F8D-42A4-9C6C-A8410C9C9A01}"/>
  </w:font>
  <w:font w:name="仿宋_GB2312">
    <w:panose1 w:val="02010609030101010101"/>
    <w:charset w:val="86"/>
    <w:family w:val="auto"/>
    <w:pitch w:val="default"/>
    <w:sig w:usb0="00000000" w:usb1="00000000" w:usb2="00000000" w:usb3="00000000" w:csb0="00000000" w:csb1="00000000"/>
    <w:embedRegular r:id="rId7" w:fontKey="{177432B5-6E81-4E44-9F72-2FB64B1CAA57}"/>
  </w:font>
  <w:font w:name="ArialUnicodeMS">
    <w:altName w:val="Malgun Gothic"/>
    <w:panose1 w:val="00000000000000000000"/>
    <w:charset w:val="81"/>
    <w:family w:val="auto"/>
    <w:pitch w:val="default"/>
    <w:sig w:usb0="00000000" w:usb1="00000000" w:usb2="00000010" w:usb3="00000000" w:csb0="00080001" w:csb1="00000000"/>
    <w:embedRegular r:id="rId8" w:fontKey="{09E9FCE9-914E-4804-B37F-A481943E4ACE}"/>
  </w:font>
  <w:font w:name="方正仿宋_GB2312">
    <w:panose1 w:val="02000000000000000000"/>
    <w:charset w:val="86"/>
    <w:family w:val="auto"/>
    <w:pitch w:val="default"/>
    <w:sig w:usb0="00000000" w:usb1="00000000" w:usb2="00000000" w:usb3="00000000" w:csb0="00000000" w:csb1="00000000"/>
    <w:embedRegular r:id="rId9" w:fontKey="{D4CBC7B7-A1D6-42C8-A5DD-C95F45A8561E}"/>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4675A5"/>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A43D55"/>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8B2AF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4DC488F"/>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4F5AAA"/>
    <w:rsid w:val="68797358"/>
    <w:rsid w:val="6884624F"/>
    <w:rsid w:val="68A519DF"/>
    <w:rsid w:val="68C4160B"/>
    <w:rsid w:val="68C41C30"/>
    <w:rsid w:val="68C70616"/>
    <w:rsid w:val="68CF3BA4"/>
    <w:rsid w:val="69257FA7"/>
    <w:rsid w:val="693F26C7"/>
    <w:rsid w:val="697E12B2"/>
    <w:rsid w:val="69C8706D"/>
    <w:rsid w:val="6A0E3FB4"/>
    <w:rsid w:val="6A292754"/>
    <w:rsid w:val="6A5E3B28"/>
    <w:rsid w:val="6A6B1EBE"/>
    <w:rsid w:val="6A8F43F7"/>
    <w:rsid w:val="6AB07A63"/>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2612.06</c:v>
                </c:pt>
                <c:pt idx="1">
                  <c:v>4480.59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9035900323597"/>
                  <c:y val="0.17592435188835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44805884.57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00821624188230365"/>
                  <c:y val="0.22862733685367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397390674075866"/>
                  <c:y val="-0.34830046748827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22399950.4</c:v>
                </c:pt>
                <c:pt idx="1">
                  <c:v>22405934.17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2612.06</c:v>
                </c:pt>
                <c:pt idx="1">
                  <c:v>2595.51</c:v>
                </c:pt>
                <c:pt idx="2">
                  <c:v>2526.45</c:v>
                </c:pt>
                <c:pt idx="3">
                  <c:v>2509.89</c:v>
                </c:pt>
                <c:pt idx="4">
                  <c:v>85.61</c:v>
                </c:pt>
                <c:pt idx="5">
                  <c:v>85.61</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4480.59</c:v>
                </c:pt>
                <c:pt idx="1">
                  <c:v>4480.59</c:v>
                </c:pt>
                <c:pt idx="2">
                  <c:v>2414.52</c:v>
                </c:pt>
                <c:pt idx="3">
                  <c:v>2414.52</c:v>
                </c:pt>
                <c:pt idx="4">
                  <c:v>2066.06</c:v>
                </c:pt>
                <c:pt idx="5">
                  <c:v>2066.06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12840.17</c:v>
                </c:pt>
                <c:pt idx="1">
                  <c:v>12840.17</c:v>
                </c:pt>
                <c:pt idx="2">
                  <c:v>5873.58</c:v>
                </c:pt>
                <c:pt idx="3">
                  <c:v>5873.58</c:v>
                </c:pt>
                <c:pt idx="4">
                  <c:v>6966.59</c:v>
                </c:pt>
                <c:pt idx="5">
                  <c:v>6966.59</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4480.59</c:v>
                </c:pt>
                <c:pt idx="1">
                  <c:v>4480.59</c:v>
                </c:pt>
                <c:pt idx="2">
                  <c:v>2414.52</c:v>
                </c:pt>
                <c:pt idx="3">
                  <c:v>2414.52</c:v>
                </c:pt>
                <c:pt idx="4">
                  <c:v>2066.06</c:v>
                </c:pt>
                <c:pt idx="5">
                  <c:v>2066.06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2078.04</c:v>
                </c:pt>
                <c:pt idx="1">
                  <c:v>0</c:v>
                </c:pt>
                <c:pt idx="2">
                  <c:v>0</c:v>
                </c:pt>
                <c:pt idx="3">
                  <c:v>0</c:v>
                </c:pt>
                <c:pt idx="4">
                  <c:v>0</c:v>
                </c:pt>
                <c:pt idx="5">
                  <c:v>0</c:v>
                </c:pt>
                <c:pt idx="6">
                  <c:v>0</c:v>
                </c:pt>
                <c:pt idx="7">
                  <c:v>148.73</c:v>
                </c:pt>
                <c:pt idx="8">
                  <c:v>53.54</c:v>
                </c:pt>
                <c:pt idx="9">
                  <c:v>0</c:v>
                </c:pt>
                <c:pt idx="10">
                  <c:v>2066.06</c:v>
                </c:pt>
                <c:pt idx="11">
                  <c:v>0</c:v>
                </c:pt>
                <c:pt idx="12">
                  <c:v>0</c:v>
                </c:pt>
                <c:pt idx="13">
                  <c:v>0</c:v>
                </c:pt>
                <c:pt idx="14">
                  <c:v>0</c:v>
                </c:pt>
                <c:pt idx="15">
                  <c:v>0</c:v>
                </c:pt>
                <c:pt idx="16">
                  <c:v>0</c:v>
                </c:pt>
                <c:pt idx="17">
                  <c:v>0</c:v>
                </c:pt>
                <c:pt idx="18">
                  <c:v>134.21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35</Pages>
  <Words>2661</Words>
  <Characters>3715</Characters>
  <Lines>86</Lines>
  <Paragraphs>24</Paragraphs>
  <TotalTime>4</TotalTime>
  <ScaleCrop>false</ScaleCrop>
  <LinksUpToDate>false</LinksUpToDate>
  <CharactersWithSpaces>4042</CharactersWithSpaces>
  <Application>WPS Office_11.1.0.8840_F1E327BC-269C-435d-A152-05C5408002CA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2025-11-12T07:54:51Z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