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Theme="minorEastAsia" w:hAnsiTheme="minorEastAsia" w:eastAsiaTheme="minorEastAsia" w:cstheme="minorEastAsia"/>
          <w:color w:val="000000"/>
          <w:sz w:val="40"/>
          <w:szCs w:val="40"/>
          <w:lang w:val="en-US" w:eastAsia="zh-CN"/>
        </w:rPr>
        <w:t>325001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：石家庄市正定新区土地收储中心(本级)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石家庄市正定新区土地收储中心(本级)</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石家庄市正定新区土地收储中心(本级)(单位名称，加盖公章）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年，严格土地管理，规范用地秩序，加大服务和保障新区项目用地工作力度，着力提高效率，努力打造“高效、廉洁国土新形象”。</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1、按照市委、市政府对新区土地一次性收储的要求，按照“土地利息收储法”对托管范围内两个办事处的 20 个村的集体土地进行了预收储，收储面积 7 万余亩。并配合财政局每年按照土地收储协议，按时支付各村土地收储利息。</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rPr>
        <w:t>2、对收回的国有土地、房屋及闲置资产进行监督管理和充分提高国有资产的使用效率</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3、建立有效的联合执法机制，加强与办事处、综合执法局等相关部门的协调与配合，严防和排查违法占地行为，加强巡查力度。努力维护新区正常用地秩序。</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4、全面落实“三严三实”专题教育要求，加强干部管理，要做到“严以修身、严以用权严以律己，谋事要实、创业要实、做人要实”。</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、严格落实各项工作制度，进一步加强机关效能建设，努力转变工作作风，不断增强依法行政意识，切实提高工作效率和服务水平，始终加强党风廉政建设。</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lang w:val="en-US" w:eastAsia="zh-CN"/>
        </w:rPr>
        <w:t>6</w:t>
      </w:r>
      <w:r>
        <w:rPr>
          <w:rFonts w:hint="eastAsia" w:ascii="Times New Roman" w:eastAsia="仿宋_GB2312"/>
          <w:b w:val="0"/>
          <w:sz w:val="32"/>
          <w:szCs w:val="32"/>
        </w:rPr>
        <w:t>、结合日常工作加大业务培训和学习力度。在日常自学的基础上，继续采取以老带新，传帮带，分任务、压担子，“请进来”授课（外请专家、上级业务骨干集中授课，强化业务理论学习），“走出去”调研（主动走出去，对标国土资源管理先进单位经验做法，向兄弟单位取经）等方式，尽快提高收储中心队伍整体素质，努力完成市局党组和新区党工委赋予的各项工作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石家庄市正定新区土地收储中心(本级)</w:t>
            </w:r>
          </w:p>
        </w:tc>
        <w:tc>
          <w:tcPr>
            <w:tcW w:w="244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事业单位</w:t>
            </w:r>
          </w:p>
        </w:tc>
        <w:tc>
          <w:tcPr>
            <w:tcW w:w="2665" w:type="dxa"/>
            <w:vAlign w:val="top"/>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部门（单位）：石家庄市正定新区土地收储中心(本级)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864.94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12,298.43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10,977.71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10,977.71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10,977.71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10,112.77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10,112.77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5,328.65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5,328.65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土地开发支出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自然资源利用与保护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113.28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113.28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其他自然资源事务支出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142.31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13,021.06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12,298.43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12,298.43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5,328.65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5,328.65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自然资源利用与保护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2200150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其他自然资源事务支出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864.94</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12,298.43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10,977.71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3,050.60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3,050.60</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编制部门（单位）：石家庄市正定新区土地收储中心(本级)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142.31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2,908.29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自然资源利用与保护</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2200150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其他自然资源事务支出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部门（单位）：石家庄市正定新区土地收储中心(本级)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31.87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136.33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部门（单位）：石家庄市正定新区土地收储中心(本级)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部门（单位）：石家庄市正定新区土地收储中心(本级)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0.06</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2024年度收、支总计（含结转和结余）均为13,163.37万元。与2023年度决算相比，收支各增加4,621.85万元，增长54.1%，主要原因是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本单位2024年度本年收入合计10,977.71万元，其中：财政拨款收入10,977.71万元，占100.0%。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2024年度本年支出合计13,163.37万元，其中：基本支出142.31万元，占1.1%；项目支出13,021.06万元，占98.9%。</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本单位2024年度财政拨款收、支总计（含结转和结余）均为13,163.37万元。与2023年度相比，财政拨款收支各增加4,621.85万元，增长54.1%，主要原因是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本单位2024年度财政拨款本年收入10,977.71万元,比上年增加2,436.19万元，增长28.5%，主要原因是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；本年支出13,163.37万元，比上年增加6,807.52万元，增长107.1%，主要原因是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一般公共预算财政拨款本年收入864.94万元,比上年减少2,480.68万元，降低74.1%，主要原因是；本年支出3,050.60万元，比上年增加1,890.66万元，增长163.0%，主要原因是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24年征地补偿费足额预存未完全支出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政府性基金预算财政拨款本年收入10,112.77万元，比上年增加4,916.86万元，增长94.6%，主要原因是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23年结转结余资金在本年支出</w:t>
      </w:r>
      <w:r>
        <w:rPr>
          <w:rFonts w:ascii="Times New Roman" w:eastAsia="仿宋_GB2312"/>
          <w:b w:val="0"/>
          <w:sz w:val="32"/>
          <w:szCs w:val="32"/>
        </w:rPr>
        <w:t>；本年支出10,112.77万元，比上年增加4,916.86万元，增长94.6%，主要原因是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23年结转结余资金在本年支出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eastAsia="zh-CN"/>
        </w:rPr>
        <w:t>未发生</w:t>
      </w:r>
      <w:r>
        <w:rPr>
          <w:rFonts w:ascii="Times New Roman" w:eastAsia="仿宋_GB2312"/>
          <w:b w:val="0"/>
          <w:sz w:val="32"/>
          <w:szCs w:val="32"/>
        </w:rPr>
        <w:t>国有资本经营预算财政拨款；本年支出0.00万元，比上年增加0.00万元，增长0.00%，主要原因是</w:t>
      </w:r>
      <w:r>
        <w:rPr>
          <w:rFonts w:hint="eastAsia" w:ascii="Times New Roman" w:eastAsia="仿宋_GB2312"/>
          <w:b w:val="0"/>
          <w:sz w:val="32"/>
          <w:szCs w:val="32"/>
          <w:lang w:eastAsia="zh-CN"/>
        </w:rPr>
        <w:t>未发生</w:t>
      </w:r>
      <w:r>
        <w:rPr>
          <w:rFonts w:ascii="Times New Roman" w:eastAsia="仿宋_GB2312"/>
          <w:b w:val="0"/>
          <w:sz w:val="32"/>
          <w:szCs w:val="32"/>
        </w:rPr>
        <w:t>国有资本经营预算财政拨款。</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2024年度财政拨款本年收入10,977.71万元，完成年初预算的53.3%，比年初预算减少9,600.57万元，决算数小于预算数主要原因是</w:t>
      </w:r>
      <w:r>
        <w:rPr>
          <w:rFonts w:hint="eastAsia" w:ascii="Times New Roman" w:eastAsia="仿宋_GB2312"/>
          <w:b w:val="0"/>
          <w:sz w:val="32"/>
          <w:szCs w:val="32"/>
          <w:lang w:val="en-US" w:eastAsia="zh-CN"/>
        </w:rPr>
        <w:t>减少</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支出</w:t>
      </w:r>
      <w:r>
        <w:rPr>
          <w:rFonts w:ascii="Times New Roman" w:eastAsia="仿宋_GB2312"/>
          <w:b w:val="0"/>
          <w:sz w:val="32"/>
          <w:szCs w:val="32"/>
        </w:rPr>
        <w:t> ；本年支出13,163.37万元，完成年初预算的64.0%，比年初预算减少7,414.91万元，决算数小于预算数主要原因是</w:t>
      </w:r>
      <w:r>
        <w:rPr>
          <w:rFonts w:hint="eastAsia" w:ascii="Times New Roman" w:eastAsia="仿宋_GB2312"/>
          <w:b w:val="0"/>
          <w:sz w:val="32"/>
          <w:szCs w:val="32"/>
          <w:lang w:val="en-US" w:eastAsia="zh-CN"/>
        </w:rPr>
        <w:t>减少</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一般公共预算财政拨款本年收入完成年初预算的122.3%，比年初预算增加157.66万元，主要原因是</w:t>
      </w:r>
      <w:r>
        <w:rPr>
          <w:rFonts w:hint="eastAsia" w:ascii="Times New Roman" w:eastAsia="仿宋_GB2312"/>
          <w:b w:val="0"/>
          <w:sz w:val="32"/>
          <w:szCs w:val="32"/>
          <w:lang w:val="en-US" w:eastAsia="zh-CN"/>
        </w:rPr>
        <w:t>土地利息高于预算数</w:t>
      </w:r>
      <w:r>
        <w:rPr>
          <w:rFonts w:ascii="Times New Roman" w:eastAsia="仿宋_GB2312"/>
          <w:b w:val="0"/>
          <w:sz w:val="32"/>
          <w:szCs w:val="32"/>
        </w:rPr>
        <w:t>；支出完成年初预算的431.3%，比年初预算增加2,343.32万元</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政府性基金预算财政拨款本年收入完成年初预算的50.9%，比年初预算减少9,758.23万元，主要原因是</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实际支出少于预算数</w:t>
      </w:r>
      <w:r>
        <w:rPr>
          <w:rFonts w:ascii="Times New Roman" w:eastAsia="仿宋_GB2312"/>
          <w:b w:val="0"/>
          <w:sz w:val="32"/>
          <w:szCs w:val="32"/>
        </w:rPr>
        <w:t>；支出完成年初预算的50.9%，比年初预算减少9,758.23万元，主要原因是</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实际支出少于预算数</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val="en-US" w:eastAsia="zh-CN"/>
        </w:rPr>
        <w:t>本年无</w:t>
      </w:r>
      <w:r>
        <w:rPr>
          <w:rFonts w:ascii="Times New Roman" w:eastAsia="仿宋_GB2312"/>
          <w:b w:val="0"/>
          <w:sz w:val="32"/>
          <w:szCs w:val="32"/>
        </w:rPr>
        <w:t>国有资本经营预算财政拨款收入；支出完成年初预算的0.0%，比年初预算增加0.00万元，主要原因是</w:t>
      </w:r>
      <w:r>
        <w:rPr>
          <w:rFonts w:hint="eastAsia" w:ascii="Times New Roman" w:eastAsia="仿宋_GB2312"/>
          <w:b w:val="0"/>
          <w:sz w:val="32"/>
          <w:szCs w:val="32"/>
          <w:lang w:val="en-US" w:eastAsia="zh-CN"/>
        </w:rPr>
        <w:t>本年无</w:t>
      </w:r>
      <w:r>
        <w:rPr>
          <w:rFonts w:ascii="Times New Roman" w:eastAsia="仿宋_GB2312"/>
          <w:b w:val="0"/>
          <w:sz w:val="32"/>
          <w:szCs w:val="32"/>
        </w:rPr>
        <w:t>国有资本经营预算财政拨款</w:t>
      </w:r>
      <w:r>
        <w:rPr>
          <w:rFonts w:hint="eastAsia" w:ascii="Times New Roman" w:eastAsia="仿宋_GB2312"/>
          <w:b w:val="0"/>
          <w:sz w:val="32"/>
          <w:szCs w:val="32"/>
          <w:lang w:val="en-US"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numPr>
          <w:ilvl w:val="0"/>
          <w:numId w:val="2"/>
        </w:numPr>
        <w:spacing w:before="0" w:beforeLines="0" w:beforeAutospacing="0" w:after="0" w:afterLines="0" w:afterAutospacing="0" w:line="360" w:lineRule="auto"/>
        <w:ind w:firstLine="643" w:firstLineChars="200"/>
        <w:jc w:val="left"/>
        <w:rPr>
          <w:rFonts w:ascii="Times New Roman" w:eastAsia="楷体_GB2312"/>
          <w:b/>
          <w:sz w:val="32"/>
          <w:szCs w:val="32"/>
        </w:rPr>
      </w:pPr>
      <w:r>
        <w:rPr>
          <w:rFonts w:ascii="Times New Roman" w:eastAsia="楷体_GB2312"/>
          <w:b/>
          <w:sz w:val="32"/>
          <w:szCs w:val="32"/>
        </w:rPr>
        <w:t>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2024年度财政拨款支出13,163.37万元，主要用于以下方面：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 （类）支出11.01万元，占0.1%，主要用于</w:t>
      </w:r>
      <w:r>
        <w:rPr>
          <w:rFonts w:hint="eastAsia" w:ascii="Times New Roman" w:eastAsia="仿宋_GB2312"/>
          <w:b w:val="0"/>
          <w:sz w:val="32"/>
          <w:szCs w:val="32"/>
          <w:lang w:val="en-US" w:eastAsia="zh-CN"/>
        </w:rPr>
        <w:t>工资福利</w:t>
      </w:r>
      <w:r>
        <w:rPr>
          <w:rFonts w:ascii="Times New Roman" w:eastAsia="仿宋_GB2312"/>
          <w:b w:val="0"/>
          <w:sz w:val="32"/>
          <w:szCs w:val="32"/>
        </w:rPr>
        <w:t>等支出；卫生健康（类）支出7.64万元，占0.1%，主要用于</w:t>
      </w:r>
      <w:r>
        <w:rPr>
          <w:rFonts w:hint="eastAsia" w:ascii="Times New Roman" w:eastAsia="仿宋_GB2312"/>
          <w:b w:val="0"/>
          <w:sz w:val="32"/>
          <w:szCs w:val="32"/>
          <w:lang w:val="en-US" w:eastAsia="zh-CN"/>
        </w:rPr>
        <w:t>社会福利和救助</w:t>
      </w:r>
      <w:r>
        <w:rPr>
          <w:rFonts w:ascii="Times New Roman" w:eastAsia="仿宋_GB2312"/>
          <w:b w:val="0"/>
          <w:sz w:val="32"/>
          <w:szCs w:val="32"/>
        </w:rPr>
        <w:t>等支出；城乡社区（类）支出2,185.66万元，占16.6%，主要用于</w:t>
      </w:r>
      <w:r>
        <w:rPr>
          <w:rFonts w:hint="eastAsia" w:ascii="Times New Roman" w:eastAsia="仿宋_GB2312"/>
          <w:b w:val="0"/>
          <w:sz w:val="32"/>
          <w:szCs w:val="32"/>
        </w:rPr>
        <w:t>征地补偿款及土地利息</w:t>
      </w:r>
      <w:r>
        <w:rPr>
          <w:rFonts w:hint="eastAsia" w:ascii="Times New Roman" w:eastAsia="仿宋_GB2312"/>
          <w:b w:val="0"/>
          <w:sz w:val="32"/>
          <w:szCs w:val="32"/>
          <w:lang w:eastAsia="zh-CN"/>
        </w:rPr>
        <w:t>、生态修复土地及综合整治费</w:t>
      </w:r>
      <w:r>
        <w:rPr>
          <w:rFonts w:ascii="Times New Roman" w:eastAsia="仿宋_GB2312"/>
          <w:b w:val="0"/>
          <w:sz w:val="32"/>
          <w:szCs w:val="32"/>
        </w:rPr>
        <w:t>等支出；自然资源海洋气象等（类）支出835.91万元，占6.4%，主要用于</w:t>
      </w:r>
      <w:r>
        <w:rPr>
          <w:rFonts w:hint="eastAsia" w:ascii="Times New Roman" w:eastAsia="仿宋_GB2312"/>
          <w:b w:val="0"/>
          <w:sz w:val="32"/>
          <w:szCs w:val="32"/>
        </w:rPr>
        <w:t>森林植被恢复费</w:t>
      </w:r>
      <w:r>
        <w:rPr>
          <w:rFonts w:ascii="Times New Roman" w:eastAsia="仿宋_GB2312"/>
          <w:b w:val="0"/>
          <w:sz w:val="32"/>
          <w:szCs w:val="32"/>
        </w:rPr>
        <w:t>等支出；住房保障（类）支出10.38万元，占0.1%，主要用于</w:t>
      </w:r>
      <w:r>
        <w:rPr>
          <w:rFonts w:hint="eastAsia" w:ascii="Times New Roman" w:eastAsia="仿宋_GB2312"/>
          <w:b w:val="0"/>
          <w:sz w:val="32"/>
          <w:szCs w:val="32"/>
        </w:rPr>
        <w:t>企业征收费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numPr>
          <w:numId w:val="0"/>
        </w:numPr>
        <w:spacing w:before="0" w:beforeLines="0" w:beforeAutospacing="0" w:after="0" w:afterLines="0" w:afterAutospacing="0" w:line="360" w:lineRule="auto"/>
        <w:jc w:val="left"/>
        <w:rPr>
          <w:rFonts w:ascii="Times New Roman" w:eastAsia="楷体_GB2312"/>
          <w:b/>
          <w:sz w:val="32"/>
          <w:szCs w:val="32"/>
        </w:rPr>
      </w:pPr>
      <w:r>
        <w:rPr>
          <w:rFonts w:ascii="Times New Roman" w:eastAsia="仿宋_GB2312"/>
          <w:b w:val="0"/>
          <w:sz w:val="32"/>
          <w:szCs w:val="32"/>
        </w:rPr>
        <w:t>城乡社区（类）支出10,112.77万元，占76.8%，主要用于等支出</w:t>
      </w:r>
      <w:r>
        <w:rPr>
          <w:rFonts w:hint="eastAsia" w:ascii="Times New Roman" w:eastAsia="仿宋_GB2312"/>
          <w:b w:val="0"/>
          <w:sz w:val="32"/>
          <w:szCs w:val="32"/>
        </w:rPr>
        <w:t>征地补偿款及土地利息</w:t>
      </w:r>
      <w:r>
        <w:rPr>
          <w:rFonts w:hint="eastAsia" w:ascii="Times New Roman" w:eastAsia="仿宋_GB2312"/>
          <w:b w:val="0"/>
          <w:sz w:val="32"/>
          <w:szCs w:val="32"/>
          <w:lang w:eastAsia="zh-CN"/>
        </w:rPr>
        <w:t>、生态修复土地及综合整治费。</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2024年度财政拨款基本支出142.31万元，其中：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人员经费136.33万元，主要包括基本工资、津贴补贴、奖金、绩效工资</w:t>
      </w:r>
      <w:r>
        <w:rPr>
          <w:rFonts w:hint="eastAsia" w:ascii="Times New Roman" w:eastAsia="仿宋_GB2312"/>
          <w:b w:val="0"/>
          <w:sz w:val="32"/>
          <w:szCs w:val="32"/>
          <w:lang w:eastAsia="zh-CN"/>
        </w:rPr>
        <w:t>、</w:t>
      </w:r>
      <w:r>
        <w:rPr>
          <w:rFonts w:ascii="Times New Roman" w:eastAsia="仿宋_GB2312"/>
          <w:b w:val="0"/>
          <w:sz w:val="32"/>
          <w:szCs w:val="32"/>
        </w:rPr>
        <w:t>住房公积金、医疗费、其他社会保障缴费、其他工资福利支出。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公用经费5.98万元，主要包括办公费、其他资本性支出。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2024年度“三公”经费财政拨款支出预算为3.06万元，支出决算为1.48万元，完成预算的48.4%，较预算减少1.58万元，降低51.6%，主要原因是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；较2023年度决算减少0.94万元，降低38.6%，主要原因是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b w:val="0"/>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w:t>
      </w:r>
      <w:r>
        <w:rPr>
          <w:rFonts w:hint="eastAsia" w:ascii="Times New Roman" w:eastAsia="仿宋_GB2312"/>
          <w:b w:val="0"/>
          <w:sz w:val="32"/>
          <w:szCs w:val="32"/>
          <w:lang w:val="en-US" w:eastAsia="zh-CN"/>
        </w:rPr>
        <w:t>与2023年度持平</w:t>
      </w:r>
      <w:r>
        <w:rPr>
          <w:rFonts w:ascii="Times New Roman" w:eastAsia="仿宋_GB2312"/>
          <w:b w:val="0"/>
          <w:sz w:val="32"/>
          <w:szCs w:val="32"/>
        </w:rPr>
        <w:t>；较上年增加0.00万元，增长0.00%,</w:t>
      </w:r>
      <w:r>
        <w:rPr>
          <w:rFonts w:hint="eastAsia" w:ascii="Times New Roman" w:eastAsia="仿宋_GB2312"/>
          <w:b w:val="0"/>
          <w:sz w:val="32"/>
          <w:szCs w:val="32"/>
          <w:lang w:val="en-US" w:eastAsia="zh-CN"/>
        </w:rPr>
        <w:t>与2023年度持平</w:t>
      </w:r>
      <w:r>
        <w:rPr>
          <w:rFonts w:ascii="Times New Roman" w:eastAsia="仿宋_GB2312"/>
          <w:b w:val="0"/>
          <w:sz w:val="32"/>
          <w:szCs w:val="32"/>
        </w:rPr>
        <w:t>。因公出国（境）团组0个、共0人、参加其他单位组织的因公出国（境）团组个、共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2024年度公务用车购置及运行维护费算为3.00万元，支出决算1.48万元，完成预算的49.3%,较预算减少1.52万元，降低50.7%,主要原因是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；较上年减少0.94万元，降低38.6%,主要原因是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2024年度公务用车购置量0辆，发生“公务用车购置”经费支出0.00 万元。公务用车购置费支出较预算增加0.00万元，增长0.0%,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2023年度持平</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2023年度持平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公务用车运行维护费支出1.48万元：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2024年度单位公务用车保有量1辆，发生运行维护费支出1.48万元。公车运行维护费支出较预算减少1.52万元，降低50.7%,主要原因是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；较上年减少0.94万元，降低38.6%，主要原因是</w:t>
      </w:r>
      <w:r>
        <w:rPr>
          <w:rFonts w:hint="eastAsia" w:ascii="仿宋_GB2312" w:hAnsi="仿宋_GB2312" w:eastAsia="仿宋_GB2312" w:cs="仿宋_GB2312"/>
          <w:color w:val="000000"/>
          <w:kern w:val="0"/>
          <w:sz w:val="31"/>
          <w:szCs w:val="31"/>
          <w:lang w:val="en-US" w:eastAsia="zh-CN" w:bidi="ar"/>
        </w:rPr>
        <w:t>公车维修加油费用支出减少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2024年度公务接待费支出预算为0.06万元，支出决算0.00万元，完成预算的0.0%。公务接待费支出较预算减少0.06万元，降低100.0%,主要原因是</w:t>
      </w:r>
      <w:r>
        <w:rPr>
          <w:rFonts w:hint="eastAsia" w:ascii="Times New Roman" w:eastAsia="仿宋_GB2312"/>
          <w:b w:val="0"/>
          <w:sz w:val="32"/>
          <w:szCs w:val="32"/>
          <w:lang w:eastAsia="zh-CN"/>
        </w:rPr>
        <w:t>未发生公务接待</w:t>
      </w:r>
      <w:r>
        <w:rPr>
          <w:rFonts w:ascii="Times New Roman" w:eastAsia="仿宋_GB2312"/>
          <w:b w:val="0"/>
          <w:sz w:val="32"/>
          <w:szCs w:val="32"/>
        </w:rPr>
        <w:t>；较上年度增加0.00万元，增长0.00%。本年度共发生公务接待0批次、0人次。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2013年度持平</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365.01万元，从采购类型来看，政府采购货物支出0.00万元、政府采购工程支出365.01万元、政府采购服务支出0.00万元。授予中小企业合同金额365.01万元，占政府采购支出总额的100.0%，其中授予小微企业合同金额365.01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截至2024年12月31日，本单位共有车辆1辆，比上年增加0辆。其中，机要通信用车1辆。单位价值100万元（含）以上设备（不含车辆）0台（套）。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根据预算绩效管理要求，本组织对2024年度本级预算项目支出全面开展绩效自评，共涉及资金</w:t>
      </w:r>
      <w:r>
        <w:rPr>
          <w:rFonts w:hint="eastAsia" w:ascii="仿宋" w:hAnsi="仿宋" w:eastAsia="仿宋" w:cs="仿宋"/>
          <w:color w:val="auto"/>
          <w:sz w:val="32"/>
          <w:szCs w:val="32"/>
          <w:highlight w:val="none"/>
          <w:lang w:val="en-US" w:eastAsia="zh-CN"/>
        </w:rPr>
        <w:t>10835.40291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rPr>
        <w:t>871.479542</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8</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6</w:t>
      </w:r>
      <w:r>
        <w:rPr>
          <w:rFonts w:ascii="Times New Roman" w:eastAsia="仿宋_GB2312"/>
          <w:b w:val="0"/>
          <w:sz w:val="32"/>
          <w:szCs w:val="32"/>
        </w:rPr>
        <w:t>个，涉及资金</w:t>
      </w:r>
      <w:r>
        <w:rPr>
          <w:rFonts w:hint="eastAsia" w:ascii="Times New Roman" w:eastAsia="仿宋_GB2312"/>
          <w:b w:val="0"/>
          <w:sz w:val="32"/>
          <w:szCs w:val="32"/>
        </w:rPr>
        <w:t>9963.923368</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92</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7</w:t>
      </w:r>
      <w:r>
        <w:rPr>
          <w:rFonts w:ascii="Times New Roman" w:eastAsia="仿宋_GB2312"/>
          <w:b w:val="0"/>
          <w:sz w:val="32"/>
          <w:szCs w:val="32"/>
        </w:rPr>
        <w:t>个项目开展了部门重点评价，评价情况</w:t>
      </w:r>
      <w:r>
        <w:rPr>
          <w:rFonts w:hint="eastAsia" w:ascii="Times New Roman" w:eastAsia="仿宋_GB2312"/>
          <w:b w:val="0"/>
          <w:sz w:val="32"/>
          <w:szCs w:val="32"/>
          <w:lang w:eastAsia="zh-CN"/>
        </w:rPr>
        <w:t>如下</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办公费</w:t>
      </w:r>
      <w:r>
        <w:rPr>
          <w:rFonts w:hint="eastAsia" w:ascii="Times New Roman" w:eastAsia="仿宋_GB2312"/>
          <w:b w:val="0"/>
          <w:sz w:val="32"/>
          <w:szCs w:val="32"/>
          <w:lang w:val="en-US" w:eastAsia="zh-CN"/>
        </w:rPr>
        <w:t>3.5万元。计划用于做好单位相关综合性事务管理、保障行政工作高效有序。实际支出0万元，</w:t>
      </w:r>
      <w:r>
        <w:rPr>
          <w:rFonts w:hint="eastAsia" w:ascii="Times New Roman" w:eastAsia="仿宋_GB2312"/>
          <w:b w:val="0"/>
          <w:sz w:val="32"/>
          <w:szCs w:val="32"/>
          <w:lang w:eastAsia="zh-CN"/>
        </w:rPr>
        <w:t>预算执行率</w:t>
      </w:r>
      <w:r>
        <w:rPr>
          <w:rFonts w:hint="eastAsia" w:ascii="Times New Roman" w:eastAsia="仿宋_GB2312"/>
          <w:b w:val="0"/>
          <w:sz w:val="32"/>
          <w:szCs w:val="32"/>
          <w:lang w:val="en-US" w:eastAsia="zh-CN"/>
        </w:rPr>
        <w:t>0</w:t>
      </w:r>
      <w:r>
        <w:rPr>
          <w:rFonts w:hint="eastAsia" w:ascii="Times New Roman" w:eastAsia="仿宋_GB2312"/>
          <w:b w:val="0"/>
          <w:sz w:val="32"/>
          <w:szCs w:val="32"/>
          <w:lang w:eastAsia="zh-CN"/>
        </w:rPr>
        <w:t>%。购置计划有待提高，高效有序的，保证质量合格的情况下加快工作计划进度。</w:t>
      </w:r>
      <w:r>
        <w:rPr>
          <w:rFonts w:hint="eastAsia" w:ascii="Times New Roman" w:eastAsia="仿宋_GB2312"/>
          <w:b w:val="0"/>
          <w:sz w:val="32"/>
          <w:szCs w:val="32"/>
          <w:lang w:val="en-US" w:eastAsia="zh-CN"/>
        </w:rPr>
        <w:t>项目绩效自评得分0分，自评等级为“较差”。</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耕地占用税</w:t>
      </w:r>
      <w:r>
        <w:rPr>
          <w:rFonts w:hint="eastAsia" w:ascii="Times New Roman" w:eastAsia="仿宋_GB2312"/>
          <w:b w:val="0"/>
          <w:sz w:val="32"/>
          <w:szCs w:val="32"/>
          <w:lang w:val="en-US" w:eastAsia="zh-CN"/>
        </w:rPr>
        <w:t>395.559万元。用于缴纳相关批次耕地占用税。实际支出395.559万元，预算执行率100%，按照规定时间缴纳耕地占用税。预算金额已全部用于缴纳相关批次耕地占用税，达到预期执行效果。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3.森林植被恢复费100.04万元。用于缴纳第31批次森林植被恢复费。实际支出100.04万元，预算执行率100%，完成对相关批次森林植被恢复费的缴纳。已较好的完成此项工作，执行率已达到预期要求。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4.征地补偿款及土地利息9890.3479万元。计划保障按时拨付建设用地足额预存工作，实际支出9884.792413万元，预算执行率99.94%，支付利息完成率达到100%，积极推动经济发展。已全部按时用于拨付建设用地足额预存工作，严格按照预算执行进度的相关要求。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5.</w:t>
      </w:r>
      <w:r>
        <w:rPr>
          <w:rFonts w:hint="eastAsia" w:ascii="Times New Roman" w:eastAsia="仿宋_GB2312"/>
          <w:b w:val="0"/>
          <w:sz w:val="32"/>
          <w:szCs w:val="32"/>
          <w:lang w:eastAsia="zh-CN"/>
        </w:rPr>
        <w:t>场地调查与风险评估</w:t>
      </w:r>
      <w:r>
        <w:rPr>
          <w:rFonts w:hint="eastAsia" w:ascii="Times New Roman" w:eastAsia="仿宋_GB2312"/>
          <w:b w:val="0"/>
          <w:sz w:val="32"/>
          <w:szCs w:val="32"/>
          <w:lang w:val="en-US" w:eastAsia="zh-CN"/>
        </w:rPr>
        <w:t>58</w:t>
      </w:r>
      <w:r>
        <w:rPr>
          <w:rFonts w:hint="eastAsia" w:ascii="Times New Roman" w:eastAsia="仿宋_GB2312"/>
          <w:b w:val="0"/>
          <w:sz w:val="32"/>
          <w:szCs w:val="32"/>
        </w:rPr>
        <w:t>万元。计划</w:t>
      </w:r>
      <w:r>
        <w:rPr>
          <w:rFonts w:hint="eastAsia" w:ascii="Times New Roman" w:eastAsia="仿宋_GB2312"/>
          <w:b w:val="0"/>
          <w:sz w:val="32"/>
          <w:szCs w:val="32"/>
          <w:lang w:eastAsia="zh-CN"/>
        </w:rPr>
        <w:t>土壤修复前期评估相关工作</w:t>
      </w:r>
      <w:r>
        <w:rPr>
          <w:rFonts w:hint="eastAsia" w:ascii="Times New Roman" w:eastAsia="仿宋_GB2312"/>
          <w:b w:val="0"/>
          <w:sz w:val="32"/>
          <w:szCs w:val="32"/>
          <w:lang w:val="en-US" w:eastAsia="zh-CN"/>
        </w:rPr>
        <w:t>。</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58</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eastAsia="zh-CN"/>
        </w:rPr>
        <w:t>，继续提高预算资金执行率。</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r>
        <w:rPr>
          <w:rFonts w:hint="eastAsia" w:ascii="Times New Roman" w:eastAsia="仿宋_GB2312"/>
          <w:b w:val="0"/>
          <w:sz w:val="32"/>
          <w:szCs w:val="32"/>
          <w:lang w:val="en-US" w:eastAsia="zh-CN"/>
        </w:rPr>
        <w:t>666</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6.生态修</w:t>
      </w:r>
      <w:r>
        <w:rPr>
          <w:rFonts w:hint="eastAsia" w:ascii="Times New Roman" w:eastAsia="仿宋_GB2312"/>
          <w:b w:val="0"/>
          <w:sz w:val="32"/>
          <w:szCs w:val="32"/>
          <w:lang w:eastAsia="zh-CN"/>
        </w:rPr>
        <w:t>复土地及综合整治费</w:t>
      </w:r>
      <w:r>
        <w:rPr>
          <w:rFonts w:hint="eastAsia" w:ascii="Times New Roman" w:eastAsia="仿宋_GB2312"/>
          <w:b w:val="0"/>
          <w:sz w:val="32"/>
          <w:szCs w:val="32"/>
          <w:lang w:val="en-US" w:eastAsia="zh-CN"/>
        </w:rPr>
        <w:t>365.0115</w:t>
      </w:r>
      <w:r>
        <w:rPr>
          <w:rFonts w:hint="eastAsia" w:ascii="Times New Roman" w:eastAsia="仿宋_GB2312"/>
          <w:b w:val="0"/>
          <w:sz w:val="32"/>
          <w:szCs w:val="32"/>
        </w:rPr>
        <w:t>万元。计划</w:t>
      </w:r>
      <w:r>
        <w:rPr>
          <w:rFonts w:hint="eastAsia" w:ascii="Times New Roman" w:eastAsia="仿宋_GB2312"/>
          <w:b w:val="0"/>
          <w:sz w:val="32"/>
          <w:szCs w:val="32"/>
          <w:lang w:eastAsia="zh-CN"/>
        </w:rPr>
        <w:t>土壤修复相关工作</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365.0115</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%。预期对</w:t>
      </w:r>
      <w:r>
        <w:rPr>
          <w:rFonts w:hint="eastAsia" w:ascii="Times New Roman" w:eastAsia="仿宋_GB2312"/>
          <w:b w:val="0"/>
          <w:sz w:val="32"/>
          <w:szCs w:val="32"/>
          <w:lang w:eastAsia="zh-CN"/>
        </w:rPr>
        <w:t>项目进行合理安排</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7.</w:t>
      </w:r>
      <w:r>
        <w:rPr>
          <w:rFonts w:hint="eastAsia" w:ascii="Times New Roman" w:eastAsia="仿宋_GB2312"/>
          <w:b w:val="0"/>
          <w:sz w:val="32"/>
          <w:szCs w:val="32"/>
          <w:lang w:eastAsia="zh-CN"/>
        </w:rPr>
        <w:t>企业征收费</w:t>
      </w:r>
      <w:r>
        <w:rPr>
          <w:rFonts w:hint="eastAsia" w:ascii="Times New Roman" w:eastAsia="仿宋_GB2312"/>
          <w:b w:val="0"/>
          <w:sz w:val="32"/>
          <w:szCs w:val="32"/>
          <w:lang w:val="en-US" w:eastAsia="zh-CN"/>
        </w:rPr>
        <w:t>31</w:t>
      </w:r>
      <w:r>
        <w:rPr>
          <w:rFonts w:hint="eastAsia" w:ascii="Times New Roman" w:eastAsia="仿宋_GB2312"/>
          <w:b w:val="0"/>
          <w:sz w:val="32"/>
          <w:szCs w:val="32"/>
        </w:rPr>
        <w:t>万元。计划</w:t>
      </w:r>
      <w:r>
        <w:rPr>
          <w:rFonts w:hint="eastAsia" w:ascii="Times New Roman" w:eastAsia="仿宋_GB2312"/>
          <w:b w:val="0"/>
          <w:sz w:val="32"/>
          <w:szCs w:val="32"/>
          <w:lang w:eastAsia="zh-CN"/>
        </w:rPr>
        <w:t>支付征收相关工作费用</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31</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%。预期对</w:t>
      </w:r>
      <w:r>
        <w:rPr>
          <w:rFonts w:hint="eastAsia" w:ascii="Times New Roman" w:eastAsia="仿宋_GB2312"/>
          <w:b w:val="0"/>
          <w:sz w:val="32"/>
          <w:szCs w:val="32"/>
          <w:lang w:eastAsia="zh-CN"/>
        </w:rPr>
        <w:t>项目进行合理安排</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7</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w:t>
      </w:r>
      <w:r>
        <w:rPr>
          <w:rFonts w:hint="eastAsia" w:ascii="Times New Roman" w:eastAsia="仿宋_GB2312"/>
          <w:b w:val="0"/>
          <w:sz w:val="32"/>
          <w:szCs w:val="32"/>
        </w:rPr>
        <w:t>年初项目预算金额20447.5万元，调整预算金额10844.4551万元。其中，专项公用支出预算0万元，专项项目支出预算10835.40291万元。所有项目支出执行率9.98%。</w:t>
      </w:r>
      <w:r>
        <w:rPr>
          <w:rFonts w:hint="eastAsia" w:ascii="Times New Roman" w:eastAsia="仿宋_GB2312"/>
          <w:b w:val="0"/>
          <w:sz w:val="32"/>
          <w:szCs w:val="32"/>
          <w:lang w:val="en-US" w:eastAsia="zh-CN"/>
        </w:rPr>
        <w:t xml:space="preserve"> </w:t>
      </w:r>
      <w:r>
        <w:rPr>
          <w:rFonts w:ascii="Times New Roman" w:eastAsia="仿宋_GB2312"/>
          <w:b w:val="0"/>
          <w:sz w:val="32"/>
          <w:szCs w:val="32"/>
        </w:rPr>
        <w:t>根据年初设定的绩效目标</w:t>
      </w:r>
      <w:r>
        <w:rPr>
          <w:rFonts w:hint="eastAsia" w:ascii="Times New Roman" w:eastAsia="仿宋_GB2312"/>
          <w:b w:val="0"/>
          <w:sz w:val="32"/>
          <w:szCs w:val="32"/>
          <w:lang w:eastAsia="zh-CN"/>
        </w:rPr>
        <w:t>，</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85.7</w:t>
      </w:r>
      <w:r>
        <w:rPr>
          <w:rFonts w:ascii="Times New Roman" w:eastAsia="仿宋_GB2312"/>
          <w:b w:val="0"/>
          <w:sz w:val="32"/>
          <w:szCs w:val="32"/>
        </w:rPr>
        <w:t>分（绩效自评表附后）。</w:t>
      </w: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预算编制和预算管理还需进一步细化和加强，预算各项指标还有待进一步提高。</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下一步改进措施：</w:t>
      </w:r>
      <w:r>
        <w:rPr>
          <w:rFonts w:hint="eastAsia" w:ascii="Times New Roman" w:eastAsia="仿宋_GB2312"/>
          <w:b w:val="0"/>
          <w:sz w:val="32"/>
          <w:szCs w:val="32"/>
        </w:rPr>
        <w:t>严禁超预算和无预算安排支出，严格审核各项经费的支出，提高资金使用效率。强化绩效管理考核，将绩效考核目标任务层层分解落实，加强工作督查，对重点工作加强日常监督，充分体现财政资金使用主体责任</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bookmarkStart w:id="0" w:name="_GoBack"/>
      <w:bookmarkEnd w:id="0"/>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headerReference r:id="rId9" w:type="default"/>
      <w:footerReference r:id="rId10"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105D1A0-30C5-4B45-A254-376A71ECC370}"/>
  </w:font>
  <w:font w:name="黑体">
    <w:panose1 w:val="02010609060101010101"/>
    <w:charset w:val="86"/>
    <w:family w:val="auto"/>
    <w:pitch w:val="default"/>
    <w:sig w:usb0="800002BF" w:usb1="38CF7CFA" w:usb2="00000016" w:usb3="00000000" w:csb0="00040001" w:csb1="00000000"/>
    <w:embedRegular r:id="rId2" w:fontKey="{4B5A6662-C569-4FCB-BECE-1E914A183A9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87C3A1A4-2936-4136-B13E-410CFFECA531}"/>
  </w:font>
  <w:font w:name="仿宋">
    <w:panose1 w:val="02010609060101010101"/>
    <w:charset w:val="86"/>
    <w:family w:val="modern"/>
    <w:pitch w:val="default"/>
    <w:sig w:usb0="800002BF" w:usb1="38CF7CFA" w:usb2="00000016" w:usb3="00000000" w:csb0="00040001" w:csb1="00000000"/>
    <w:embedRegular r:id="rId4" w:fontKey="{92344DB8-6E88-4C64-99BE-C8BCB9706115}"/>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A46C414F-16E5-40DD-B195-8C2B68687ADF}"/>
  </w:font>
  <w:font w:name="方正小标宋_GBK">
    <w:panose1 w:val="02000000000000000000"/>
    <w:charset w:val="86"/>
    <w:family w:val="script"/>
    <w:pitch w:val="default"/>
    <w:sig w:usb0="00000000" w:usb1="00000000" w:usb2="00000000" w:usb3="00000000" w:csb0="00000000" w:csb1="00000000"/>
    <w:embedRegular r:id="rId6" w:fontKey="{B5AFDFA4-CF2A-4C1D-8A14-4491B5209FB9}"/>
  </w:font>
  <w:font w:name="仿宋_GB2312">
    <w:panose1 w:val="02010609030101010101"/>
    <w:charset w:val="86"/>
    <w:family w:val="auto"/>
    <w:pitch w:val="default"/>
    <w:sig w:usb0="00000000" w:usb1="00000000" w:usb2="00000000" w:usb3="00000000" w:csb0="00000000" w:csb1="00000000"/>
    <w:embedRegular r:id="rId7" w:fontKey="{801699F3-240A-4FD9-A26B-2D53F738BE27}"/>
  </w:font>
  <w:font w:name="ArialUnicodeMS">
    <w:altName w:val="Malgun Gothic"/>
    <w:panose1 w:val="00000000000000000000"/>
    <w:charset w:val="81"/>
    <w:family w:val="auto"/>
    <w:pitch w:val="default"/>
    <w:sig w:usb0="00000000" w:usb1="00000000" w:usb2="00000010" w:usb3="00000000" w:csb0="00080001" w:csb1="00000000"/>
    <w:embedRegular r:id="rId8" w:fontKey="{17C7B266-3579-46E4-B4C0-5D2E823D58EE}"/>
  </w:font>
  <w:font w:name="方正仿宋_GB2312">
    <w:panose1 w:val="02000000000000000000"/>
    <w:charset w:val="86"/>
    <w:family w:val="auto"/>
    <w:pitch w:val="default"/>
    <w:sig w:usb0="00000000" w:usb1="00000000" w:usb2="00000000" w:usb3="00000000" w:csb0="00000000" w:csb1="00000000"/>
    <w:embedRegular r:id="rId9" w:fontKey="{11835070-C74C-4D85-BA98-13A04A84B3AF}"/>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 w:name="仿宋_GB2312">
    <w:panose1 w:val="02010609030101010101"/>
    <w:charset w:val="00"/>
    <w:family w:val="auto"/>
    <w:pitch w:val="default"/>
    <w:sig w:usb0="00000000" w:usb1="00000000" w:usb2="00000000" w:usb3="00000000" w:csb0="00000000" w:csb1="00000000"/>
  </w:font>
  <w:font w:name="楷体_GB2312">
    <w:panose1 w:val="0201060903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AFF63E"/>
    <w:multiLevelType w:val="singleLevel"/>
    <w:tmpl w:val="EAAFF63E"/>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2E76F83"/>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8541.52</c:v>
                </c:pt>
                <c:pt idx="1">
                  <c:v>13163.37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109777098.57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1423069.44</c:v>
                </c:pt>
                <c:pt idx="1">
                  <c:v>130210619.47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8541.52</c:v>
                </c:pt>
                <c:pt idx="1">
                  <c:v>6355.84</c:v>
                </c:pt>
                <c:pt idx="2">
                  <c:v>3345.62</c:v>
                </c:pt>
                <c:pt idx="3">
                  <c:v>1159.94</c:v>
                </c:pt>
                <c:pt idx="4">
                  <c:v>5195.91</c:v>
                </c:pt>
                <c:pt idx="5">
                  <c:v>5195.91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10977.71</c:v>
                </c:pt>
                <c:pt idx="1">
                  <c:v>13163.37</c:v>
                </c:pt>
                <c:pt idx="2">
                  <c:v>864.94</c:v>
                </c:pt>
                <c:pt idx="3">
                  <c:v>3050.6</c:v>
                </c:pt>
                <c:pt idx="4">
                  <c:v>10112.77</c:v>
                </c:pt>
                <c:pt idx="5">
                  <c:v>10112.77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20578.28</c:v>
                </c:pt>
                <c:pt idx="1">
                  <c:v>20578.28</c:v>
                </c:pt>
                <c:pt idx="2">
                  <c:v>707.28</c:v>
                </c:pt>
                <c:pt idx="3">
                  <c:v>707.28</c:v>
                </c:pt>
                <c:pt idx="4">
                  <c:v>19871</c:v>
                </c:pt>
                <c:pt idx="5">
                  <c:v>19871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10977.71</c:v>
                </c:pt>
                <c:pt idx="1">
                  <c:v>13163.37</c:v>
                </c:pt>
                <c:pt idx="2">
                  <c:v>864.94</c:v>
                </c:pt>
                <c:pt idx="3">
                  <c:v>3050.6</c:v>
                </c:pt>
                <c:pt idx="4">
                  <c:v>10112.77</c:v>
                </c:pt>
                <c:pt idx="5">
                  <c:v>10112.77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11.01</c:v>
                </c:pt>
                <c:pt idx="8">
                  <c:v>7.64</c:v>
                </c:pt>
                <c:pt idx="9">
                  <c:v>0</c:v>
                </c:pt>
                <c:pt idx="10">
                  <c:v>12298.43</c:v>
                </c:pt>
                <c:pt idx="11">
                  <c:v>0</c:v>
                </c:pt>
                <c:pt idx="12">
                  <c:v>0</c:v>
                </c:pt>
                <c:pt idx="13">
                  <c:v>0</c:v>
                </c:pt>
                <c:pt idx="14">
                  <c:v>0</c:v>
                </c:pt>
                <c:pt idx="15">
                  <c:v>0</c:v>
                </c:pt>
                <c:pt idx="16">
                  <c:v>0</c:v>
                </c:pt>
                <c:pt idx="17">
                  <c:v>835.91</c:v>
                </c:pt>
                <c:pt idx="18">
                  <c:v>10.38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TotalTime>
  <ScaleCrop>false</ScaleCrop>
  <LinksUpToDate>false</LinksUpToDate>
  <CharactersWithSpaces>2170</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2025-11-12T07:39:07Z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