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Theme="minorEastAsia" w:hAnsiTheme="minorEastAsia" w:eastAsiaTheme="minorEastAsia" w:cstheme="minorEastAsia"/>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Theme="minorEastAsia" w:hAnsiTheme="minorEastAsia" w:eastAsiaTheme="minorEastAsia" w:cstheme="minorEastAsia"/>
          <w:color w:val="000000"/>
          <w:sz w:val="40"/>
          <w:szCs w:val="40"/>
          <w:lang w:val="en-US" w:eastAsia="zh-CN"/>
        </w:rPr>
        <w:t>318</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：石家庄正定新区财政局</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hint="eastAsia" w:asciiTheme="majorEastAsia" w:hAnsiTheme="majorEastAsia" w:eastAsiaTheme="majorEastAsia" w:cstheme="majorEastAsia"/>
          <w:b/>
          <w:bCs/>
          <w:sz w:val="72"/>
          <w:szCs w:val="72"/>
        </w:rPr>
      </w:pPr>
      <w:r>
        <w:rPr>
          <w:rFonts w:hint="eastAsia" w:asciiTheme="majorEastAsia" w:hAnsiTheme="majorEastAsia" w:eastAsiaTheme="majorEastAsia" w:cstheme="majorEastAsia"/>
          <w:b/>
          <w:bCs/>
          <w:sz w:val="72"/>
          <w:szCs w:val="72"/>
        </w:rPr>
        <w:t>石家庄正定新区财政局</w:t>
      </w:r>
    </w:p>
    <w:p>
      <w:pPr>
        <w:widowControl/>
        <w:spacing w:before="0" w:beforeLines="0" w:beforeAutospacing="0" w:after="0" w:afterLines="0" w:afterAutospacing="0" w:line="360" w:lineRule="auto"/>
        <w:jc w:val="center"/>
        <w:rPr>
          <w:rFonts w:hint="eastAsia" w:asciiTheme="majorEastAsia" w:hAnsiTheme="majorEastAsia" w:eastAsiaTheme="majorEastAsia" w:cstheme="majorEastAsia"/>
          <w:b/>
          <w:bCs/>
          <w:sz w:val="72"/>
          <w:szCs w:val="72"/>
        </w:rPr>
      </w:pPr>
      <w:r>
        <w:rPr>
          <w:rFonts w:hint="eastAsia" w:asciiTheme="majorEastAsia" w:hAnsiTheme="majorEastAsia" w:eastAsiaTheme="majorEastAsia" w:cstheme="majorEastAsia"/>
          <w:b/>
          <w:bCs/>
          <w:sz w:val="72"/>
          <w:szCs w:val="72"/>
        </w:rPr>
        <w:t>2024年度部门决算公开文本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石家庄正定新区财政局</w:t>
      </w:r>
    </w:p>
    <w:p>
      <w:pPr>
        <w:widowControl/>
        <w:spacing w:before="0" w:beforeLines="0" w:beforeAutospacing="0" w:after="0" w:afterLines="0" w:afterAutospacing="0" w:line="360" w:lineRule="auto"/>
        <w:jc w:val="center"/>
        <w:rPr>
          <w:rFonts w:ascii="Times New Roman" w:eastAsia="楷体_GB2312"/>
          <w:sz w:val="44"/>
          <w:szCs w:val="44"/>
        </w:rPr>
      </w:pPr>
      <w:bookmarkStart w:id="0" w:name="_GoBack"/>
      <w:bookmarkEnd w:id="0"/>
      <w:r>
        <w:rPr>
          <w:rFonts w:ascii="Times New Roman" w:eastAsia="楷体_GB2312"/>
          <w:b w:val="0"/>
          <w:sz w:val="44"/>
          <w:szCs w:val="44"/>
        </w:rPr>
        <w:t>(单位名称，加盖公章）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十一</w:t>
      </w:r>
      <w:r>
        <w:rPr>
          <w:rFonts w:ascii="Times New Roman" w:eastAsia="楷体_GB2312"/>
          <w:b w:val="0"/>
          <w:sz w:val="44"/>
          <w:szCs w:val="44"/>
        </w:rPr>
        <w:t>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（二）贯彻落实财政、财务、会计管理的法律、法规、规章，并监督执行。</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（四）贯彻执行税收法律法规、规章和实施细则等。提出上级授权税目税率调整、减免和地方税收政策等重大事项的建议。组织推进税收制度改革。</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（五）按分工负责政府非税收入管理。负责政府性基金管理，按规定管理行政事业性收费。管理财政票据。贯彻实施彩票管理政策和有关办法，参与管理彩票市场，按规定管理彩票资金。</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（六）研究制定国库管理制度、国库集中收付制度，指导和监督县级国库业务，按规定开展国库资金现金管理工作。制定政府财务报告编制办法并组织实施。制定政府采购制度并监督管理。</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（七）拟订政府债务管理制度和办法并组织实施。负责政府债务限额管理，按规定组织政府债券申报、转贷和还本付息等工作。执行国家外债管理政策，管理县政府国外债务。开展对外财经交流。</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（九）负责审核并汇总编制全县国有资本经营预决算草案，组织实施国有资本经营预算制度，收取县属企业国有资本收益。组织实施企业财务制度。负责财政预算内行政事业单位和社会团体的非贸易外汇管理。</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（十）负责审核并汇总编制全县社会保险基金预决算草案，会同有关部门拟订有关资金（基金）财务管理制度并组织实施。承担社会保险基金财政监管工作。</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（十一）负责办理和监督县级财政的经济发展支出、县级政府性投资项目的财政拨款，参与拟订县级建设投资的有关政策，制定基建财务管理制度。负责财政评审管理。</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（十二）负责管理全县会计工作，监督和规范会计行为，组织实施会计制度。</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（十三）负责行政、事业、企业国有资产监督管理等工作。</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（十四）负责全县行政、事业单位公务车辆管理，拟定全县行政事业单位公车管理政策。</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sz w:val="32"/>
          <w:szCs w:val="32"/>
        </w:rPr>
        <w:t>（十五）完成县委、县政府交办的其他任务。</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814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3"/>
        <w:gridCol w:w="2766"/>
        <w:gridCol w:w="1980"/>
        <w:gridCol w:w="2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1143" w:type="dxa"/>
            <w:vAlign w:val="center"/>
          </w:tcPr>
          <w:p>
            <w:pPr>
              <w:spacing w:line="560" w:lineRule="exact"/>
              <w:jc w:val="center"/>
              <w:rPr>
                <w:rFonts w:ascii="仿宋_GB2312" w:hAnsi="Calibri" w:eastAsia="仿宋_GB2312" w:cs="ArialUnicodeMS"/>
                <w:b/>
                <w:bCs/>
                <w:color w:val="auto"/>
                <w:kern w:val="0"/>
                <w:sz w:val="28"/>
                <w:szCs w:val="28"/>
              </w:rPr>
            </w:pPr>
            <w:r>
              <w:rPr>
                <w:rFonts w:hint="eastAsia" w:ascii="仿宋_GB2312" w:hAnsi="Calibri" w:eastAsia="仿宋_GB2312" w:cs="ArialUnicodeMS"/>
                <w:b/>
                <w:bCs/>
                <w:color w:val="auto"/>
                <w:kern w:val="0"/>
                <w:sz w:val="28"/>
                <w:szCs w:val="28"/>
              </w:rPr>
              <w:t>序号</w:t>
            </w:r>
          </w:p>
        </w:tc>
        <w:tc>
          <w:tcPr>
            <w:tcW w:w="2766" w:type="dxa"/>
            <w:vAlign w:val="center"/>
          </w:tcPr>
          <w:p>
            <w:pPr>
              <w:spacing w:line="560" w:lineRule="exact"/>
              <w:jc w:val="center"/>
              <w:rPr>
                <w:rFonts w:ascii="仿宋_GB2312" w:hAnsi="Calibri" w:eastAsia="仿宋_GB2312" w:cs="ArialUnicodeMS"/>
                <w:b/>
                <w:bCs/>
                <w:color w:val="auto"/>
                <w:kern w:val="0"/>
                <w:sz w:val="28"/>
                <w:szCs w:val="28"/>
              </w:rPr>
            </w:pPr>
            <w:r>
              <w:rPr>
                <w:rFonts w:hint="eastAsia" w:ascii="仿宋_GB2312" w:hAnsi="Calibri" w:eastAsia="仿宋_GB2312" w:cs="ArialUnicodeMS"/>
                <w:b/>
                <w:bCs/>
                <w:color w:val="auto"/>
                <w:kern w:val="0"/>
                <w:sz w:val="28"/>
                <w:szCs w:val="28"/>
              </w:rPr>
              <w:t>单位名称</w:t>
            </w:r>
          </w:p>
        </w:tc>
        <w:tc>
          <w:tcPr>
            <w:tcW w:w="1980" w:type="dxa"/>
            <w:vAlign w:val="center"/>
          </w:tcPr>
          <w:p>
            <w:pPr>
              <w:spacing w:line="560" w:lineRule="exact"/>
              <w:jc w:val="center"/>
              <w:rPr>
                <w:rFonts w:ascii="仿宋_GB2312" w:hAnsi="Calibri" w:eastAsia="仿宋_GB2312" w:cs="ArialUnicodeMS"/>
                <w:b/>
                <w:bCs/>
                <w:color w:val="auto"/>
                <w:kern w:val="0"/>
                <w:sz w:val="28"/>
                <w:szCs w:val="28"/>
              </w:rPr>
            </w:pPr>
            <w:r>
              <w:rPr>
                <w:rFonts w:hint="eastAsia" w:ascii="仿宋_GB2312" w:hAnsi="Calibri" w:eastAsia="仿宋_GB2312" w:cs="ArialUnicodeMS"/>
                <w:b/>
                <w:bCs/>
                <w:color w:val="auto"/>
                <w:kern w:val="0"/>
                <w:sz w:val="28"/>
                <w:szCs w:val="28"/>
              </w:rPr>
              <w:t>单位基本性质</w:t>
            </w:r>
          </w:p>
        </w:tc>
        <w:tc>
          <w:tcPr>
            <w:tcW w:w="2259" w:type="dxa"/>
            <w:vAlign w:val="center"/>
          </w:tcPr>
          <w:p>
            <w:pPr>
              <w:spacing w:line="560" w:lineRule="exact"/>
              <w:jc w:val="center"/>
              <w:rPr>
                <w:rFonts w:ascii="仿宋_GB2312" w:hAnsi="Calibri" w:eastAsia="仿宋_GB2312" w:cs="ArialUnicodeMS"/>
                <w:b/>
                <w:bCs/>
                <w:color w:val="auto"/>
                <w:kern w:val="0"/>
                <w:sz w:val="28"/>
                <w:szCs w:val="28"/>
              </w:rPr>
            </w:pPr>
            <w:r>
              <w:rPr>
                <w:rFonts w:hint="eastAsia" w:ascii="仿宋_GB2312" w:hAnsi="Calibri" w:eastAsia="仿宋_GB2312" w:cs="ArialUnicodeMS"/>
                <w:b/>
                <w:bCs/>
                <w:color w:val="auto"/>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1143" w:type="dxa"/>
            <w:vAlign w:val="top"/>
          </w:tcPr>
          <w:p>
            <w:pPr>
              <w:spacing w:line="560" w:lineRule="exact"/>
              <w:jc w:val="center"/>
              <w:rPr>
                <w:rFonts w:ascii="仿宋_GB2312" w:hAnsi="Calibri" w:eastAsia="仿宋_GB2312" w:cs="ArialUnicodeMS"/>
                <w:color w:val="auto"/>
                <w:kern w:val="0"/>
                <w:sz w:val="28"/>
                <w:szCs w:val="28"/>
              </w:rPr>
            </w:pPr>
            <w:r>
              <w:rPr>
                <w:rFonts w:hint="eastAsia" w:ascii="仿宋_GB2312" w:hAnsi="Calibri" w:eastAsia="仿宋_GB2312" w:cs="ArialUnicodeMS"/>
                <w:color w:val="auto"/>
                <w:kern w:val="0"/>
                <w:sz w:val="28"/>
                <w:szCs w:val="28"/>
              </w:rPr>
              <w:t>1</w:t>
            </w:r>
          </w:p>
        </w:tc>
        <w:tc>
          <w:tcPr>
            <w:tcW w:w="2766" w:type="dxa"/>
            <w:vAlign w:val="top"/>
          </w:tcPr>
          <w:p>
            <w:pPr>
              <w:spacing w:line="560" w:lineRule="exact"/>
              <w:jc w:val="center"/>
              <w:rPr>
                <w:rFonts w:ascii="仿宋_GB2312" w:hAnsi="Calibri" w:eastAsia="仿宋_GB2312" w:cs="ArialUnicodeMS"/>
                <w:color w:val="auto"/>
                <w:kern w:val="0"/>
                <w:sz w:val="28"/>
                <w:szCs w:val="28"/>
              </w:rPr>
            </w:pPr>
            <w:r>
              <w:rPr>
                <w:rFonts w:hint="eastAsia" w:ascii="仿宋" w:hAnsi="仿宋" w:eastAsia="仿宋" w:cs="仿宋"/>
                <w:color w:val="auto"/>
                <w:kern w:val="0"/>
                <w:sz w:val="28"/>
                <w:szCs w:val="28"/>
              </w:rPr>
              <w:t>正定县财政局</w:t>
            </w:r>
          </w:p>
        </w:tc>
        <w:tc>
          <w:tcPr>
            <w:tcW w:w="1980" w:type="dxa"/>
            <w:vAlign w:val="top"/>
          </w:tcPr>
          <w:p>
            <w:pPr>
              <w:spacing w:line="560" w:lineRule="exact"/>
              <w:jc w:val="center"/>
              <w:rPr>
                <w:rFonts w:ascii="仿宋_GB2312" w:hAnsi="Calibri" w:eastAsia="仿宋_GB2312" w:cs="ArialUnicodeMS"/>
                <w:color w:val="auto"/>
                <w:kern w:val="0"/>
                <w:sz w:val="28"/>
                <w:szCs w:val="28"/>
              </w:rPr>
            </w:pPr>
            <w:r>
              <w:rPr>
                <w:rFonts w:hint="eastAsia" w:ascii="仿宋" w:hAnsi="仿宋" w:eastAsia="仿宋" w:cs="仿宋"/>
                <w:color w:val="auto"/>
                <w:sz w:val="28"/>
                <w:szCs w:val="28"/>
                <w:lang w:bidi="ar"/>
              </w:rPr>
              <w:t>行政单位</w:t>
            </w:r>
          </w:p>
        </w:tc>
        <w:tc>
          <w:tcPr>
            <w:tcW w:w="2259" w:type="dxa"/>
            <w:vAlign w:val="top"/>
          </w:tcPr>
          <w:p>
            <w:pPr>
              <w:spacing w:line="560" w:lineRule="exact"/>
              <w:jc w:val="center"/>
              <w:rPr>
                <w:rFonts w:hint="eastAsia" w:ascii="仿宋_GB2312" w:hAnsi="Calibri" w:eastAsia="仿宋_GB2312" w:cs="ArialUnicodeMS"/>
                <w:color w:val="auto"/>
                <w:kern w:val="0"/>
                <w:sz w:val="28"/>
                <w:szCs w:val="28"/>
                <w:lang w:eastAsia="zh-CN"/>
              </w:rPr>
            </w:pPr>
            <w:r>
              <w:rPr>
                <w:rFonts w:hint="eastAsia" w:ascii="仿宋" w:hAnsi="仿宋" w:eastAsia="仿宋" w:cs="仿宋"/>
                <w:color w:val="auto"/>
                <w:sz w:val="28"/>
                <w:szCs w:val="28"/>
                <w:lang w:val="en-US" w:eastAsia="zh-CN" w:bidi="ar"/>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8148" w:type="dxa"/>
            <w:gridSpan w:val="4"/>
            <w:tcBorders>
              <w:top w:val="single" w:color="auto" w:sz="4" w:space="0"/>
              <w:left w:val="nil"/>
              <w:bottom w:val="nil"/>
              <w:right w:val="nil"/>
            </w:tcBorders>
          </w:tcPr>
          <w:p>
            <w:pPr>
              <w:numPr>
                <w:ilvl w:val="0"/>
                <w:numId w:val="0"/>
              </w:numPr>
              <w:spacing w:line="560" w:lineRule="exact"/>
              <w:jc w:val="left"/>
              <w:rPr>
                <w:rFonts w:hint="eastAsia" w:ascii="仿宋_GB2312" w:hAnsi="Calibri" w:eastAsia="仿宋_GB2312" w:cs="ArialUnicodeMS"/>
                <w:color w:val="auto"/>
                <w:kern w:val="0"/>
                <w:sz w:val="28"/>
                <w:szCs w:val="28"/>
              </w:rPr>
            </w:pPr>
          </w:p>
        </w:tc>
      </w:tr>
    </w:tbl>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部门（单位）：石家庄正定新区财政局</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245,080.44</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226.44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89,942.03</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63,807.07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239,962.74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30,812.51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部门（单位）：石家庄正定新区财政局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335,022.48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335,022.48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226.44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226.44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226.44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226.44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2010601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2010605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财政国库业务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2010607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信息化建设</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2010608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财政委托业务支出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2010699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其他财政事务支出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63,807.07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63,807.07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63,807.07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63,807.07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征地和拆迁补偿支出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62,807.07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62,807.07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其他农业农村支出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普惠金融发展支出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2130803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农业保险保费补贴</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自然资源海洋气象等支出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自然资源事务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2200114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地质勘查与矿产资源管理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灾害防治及应急管理支出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消防救援事务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2240204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消防应急救援</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2240299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其他消防救援事务支出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239,962.74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239,962.74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239,962.74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239,962.74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239,962.74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239,962.74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30,812.51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30,812.51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地方政府一般债务付息支出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4,677.55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4,677.55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地方政府一般债券付息支出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4,677.55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4,677.55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地方政府专项债务付息支出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26,134.96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26,134.96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国有土地使用权出让金债务付息支出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7,287.82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7,287.82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2320431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土地储备专项债券付息支出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9,373.80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9,373.80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2320498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9,473.34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9,473.34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部门（单位）：石家庄正定新区财政局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334,999.56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226.44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203.53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226.44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203.53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27.94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财政国库业务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2010607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信息化建设</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财政委托业务支出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88.60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88.60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其他财政事务支出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83.37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83.37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63,807.07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63,807.07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63,807.07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63,807.07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r>
              <w:rPr>
                <w:rFonts w:hint="eastAsia" w:ascii="Times New Roman" w:hAnsi="Times New Roman" w:eastAsia="宋体" w:cs="Times New Roman"/>
                <w:i w:val="0"/>
                <w:iCs w:val="0"/>
                <w:color w:val="000000"/>
                <w:sz w:val="20"/>
                <w:szCs w:val="20"/>
                <w:highlight w:val="none"/>
                <w:u w:val="none"/>
                <w:lang w:val="en-US" w:eastAsia="zh-CN"/>
              </w:rPr>
              <w:t>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r>
              <w:rPr>
                <w:rFonts w:hint="eastAsia" w:ascii="Times New Roman" w:hAnsi="Times New Roman" w:eastAsia="宋体" w:cs="Times New Roman"/>
                <w:i w:val="0"/>
                <w:iCs w:val="0"/>
                <w:color w:val="000000"/>
                <w:sz w:val="20"/>
                <w:szCs w:val="20"/>
                <w:highlight w:val="none"/>
                <w:u w:val="none"/>
                <w:lang w:val="en-US" w:eastAsia="zh-CN"/>
              </w:rPr>
              <w:t>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62,807.07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62,807.07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38.10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38.10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其他农业农村支出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普惠金融发展支出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2130803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农业保险保费补贴</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自然资源海洋气象等支出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2200114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地质勘查与矿产资源管理</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灾害防治及应急管理支出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消防救援事务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2240204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消防应急救援</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2240299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其他消防救援事务支出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30,812.51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30,812.51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地方政府一般债务付息支出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2320301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地方政府一般债券付息支出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26,134.96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26,134.96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国有土地使用权出让金债务付息支出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7,287.82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7,287.82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2320431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土地储备专项债券付息支出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9,373.80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9,373.80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9,473.34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9,473.34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部门（单位）：石家庄正定新区财政局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245,080.44</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226.44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226.44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89,942.03</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63,807.07</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63,807.07</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38.10</w:t>
            </w: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38.10</w:t>
            </w: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77.05</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77.05</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98.57</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98.57</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239,962.74</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239,962.74</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30,812.51</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4,677.55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26,134.96</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245,080.44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89,942.03</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245,080.44</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89,942.03</w:t>
            </w: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00"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514"/>
        <w:gridCol w:w="2616"/>
        <w:gridCol w:w="875"/>
        <w:gridCol w:w="847"/>
        <w:gridCol w:w="907"/>
        <w:gridCol w:w="378"/>
        <w:gridCol w:w="146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8600"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8600"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5005"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编制部门（单位）：石家庄正定新区财政局</w:t>
            </w:r>
          </w:p>
        </w:tc>
        <w:tc>
          <w:tcPr>
            <w:tcW w:w="1754"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41"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413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4470"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514"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261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722"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285"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463"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1514"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61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722"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85"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63"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514"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61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722"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85"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63"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413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463"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413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245,080.44</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22.91</w:t>
            </w: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245,057.53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226.44</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22.91</w:t>
            </w: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203.53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财政事务</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226.44</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22.91</w:t>
            </w: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203.53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2010601</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27.94</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22.91</w:t>
            </w: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2010605</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财政国库业务</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2010607</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信息化建设</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16.53</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2010608</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财政委托业务支出</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88.60</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2010699</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其他财政事务支出</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83.37</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38.10</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2130199</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其他农业农村支出</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21308</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普惠金融发展支出</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35.38</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2130803</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农业保险保费补贴</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35.38</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自然资源海洋气象等支出</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自然资源事务</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2200114</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地质勘查与矿产资源管理</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灾害防治及应急管理支出</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98.57</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22402</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消防救援事务</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98.57</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2240204</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消防应急救援</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97.57</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2240299</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其他消防救援事务支出</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2299999</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23203</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地方政府一般债务付息支出</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5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2320301</w:t>
            </w:r>
          </w:p>
        </w:tc>
        <w:tc>
          <w:tcPr>
            <w:tcW w:w="26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地方政府一般债券付息支出</w:t>
            </w:r>
          </w:p>
        </w:tc>
        <w:tc>
          <w:tcPr>
            <w:tcW w:w="17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c>
          <w:tcPr>
            <w:tcW w:w="128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6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8600"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部门（单位）：石家庄正定新区财政局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22.91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22.49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部门（单位）：石家庄正定新区财政局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89,942.03</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89,942.03</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89,942.03</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63,807.07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63,807.07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63,807.07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63,807.07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63,807.07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63,807.07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1,00</w:t>
            </w:r>
            <w:r>
              <w:rPr>
                <w:rFonts w:hint="eastAsia" w:ascii="Times New Roman" w:hAnsi="Times New Roman" w:eastAsia="宋体" w:cs="Times New Roman"/>
                <w:spacing w:val="-2"/>
                <w:sz w:val="20"/>
                <w:szCs w:val="20"/>
                <w:highlight w:val="none"/>
                <w:lang w:val="en-US" w:eastAsia="zh-CN"/>
              </w:rPr>
              <w:t>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1,00</w:t>
            </w:r>
            <w:r>
              <w:rPr>
                <w:rFonts w:hint="eastAsia" w:ascii="Times New Roman" w:hAnsi="Times New Roman" w:eastAsia="宋体" w:cs="Times New Roman"/>
                <w:spacing w:val="-2"/>
                <w:sz w:val="20"/>
                <w:szCs w:val="20"/>
                <w:highlight w:val="none"/>
                <w:lang w:val="en-US" w:eastAsia="zh-CN"/>
              </w:rPr>
              <w:t>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1,00</w:t>
            </w:r>
            <w:r>
              <w:rPr>
                <w:rFonts w:hint="eastAsia" w:ascii="Times New Roman" w:hAnsi="Times New Roman" w:eastAsia="宋体" w:cs="Times New Roman"/>
                <w:spacing w:val="-2"/>
                <w:sz w:val="20"/>
                <w:szCs w:val="20"/>
                <w:highlight w:val="none"/>
                <w:lang w:val="en-US" w:eastAsia="zh-CN"/>
              </w:rPr>
              <w:t>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62,807.07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62,807.07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62,807.07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26,134.96</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26,134.96</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26,134.96</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26,134.96</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26,134.96</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26,134.96</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2320411</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国有土地使用权出让金债务付息支出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7,287.82</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7,287.82</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7,287.82</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2320431</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土地储备专项债券付息支出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9,373.80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9,373.80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9,373.80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9,473.34</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9,473.34</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9,473.34</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部门（单位）：石家庄正定新区财政局</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部门（单位）：石家庄正定新区财政局</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0.04</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0.04</w:t>
            </w: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仿宋_GB2312" w:hAnsi="宋体" w:eastAsia="仿宋_GB2312"/>
          <w:b/>
          <w:color w:val="auto"/>
          <w:kern w:val="0"/>
          <w:sz w:val="32"/>
          <w:szCs w:val="32"/>
          <w:highlight w:val="none"/>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pPr>
        <w:widowControl/>
        <w:numPr>
          <w:ilvl w:val="0"/>
          <w:numId w:val="2"/>
        </w:numPr>
        <w:spacing w:before="0" w:beforeLines="0" w:beforeAutospacing="0" w:after="0" w:afterLines="0" w:afterAutospacing="0" w:line="360" w:lineRule="auto"/>
        <w:jc w:val="left"/>
        <w:outlineLvl w:val="1"/>
        <w:rPr>
          <w:rFonts w:ascii="Times New Roman" w:eastAsia="黑体"/>
          <w:b w:val="0"/>
          <w:sz w:val="32"/>
          <w:szCs w:val="32"/>
        </w:rPr>
      </w:pPr>
      <w:r>
        <w:rPr>
          <w:rFonts w:ascii="Times New Roman" w:eastAsia="黑体"/>
          <w:b w:val="0"/>
          <w:sz w:val="32"/>
          <w:szCs w:val="32"/>
        </w:rPr>
        <w:t>收入支出决算总体情况说明</w:t>
      </w:r>
    </w:p>
    <w:p>
      <w:pPr>
        <w:widowControl/>
        <w:spacing w:before="0" w:beforeLines="0" w:beforeAutospacing="0" w:after="0" w:afterLines="0" w:afterAutospacing="0" w:line="360" w:lineRule="auto"/>
        <w:ind w:firstLine="640" w:firstLineChars="200"/>
        <w:jc w:val="left"/>
        <w:rPr>
          <w:rFonts w:ascii="Times New Roman" w:eastAsia="黑体"/>
          <w:b w:val="0"/>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2024年度收、支总计（含结转和结余）均为335,022.48万元。与2023年度决算相比，收支各增加5,842.51万元，增长1.8%，主要原因是</w:t>
      </w:r>
      <w:r>
        <w:rPr>
          <w:rFonts w:hint="eastAsia" w:ascii="Times New Roman" w:eastAsia="仿宋_GB2312"/>
          <w:b w:val="0"/>
          <w:sz w:val="32"/>
          <w:szCs w:val="32"/>
          <w:lang w:eastAsia="zh-CN"/>
        </w:rPr>
        <w:t>正常波动</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Times New Roman" w:hAnsi="Times New Roman" w:eastAsia="宋体"/>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本部门2024年度本年收入合计335,022.48万元，其中：财政拨款收入335,022.48万元，占100.0%。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本部门2024年度本年支出合计335,022.48万元，其中：基本支出22.91万元，占0.0%；项目支出334,999.56万元，占100.0%。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本部门2024年度财政拨款收、支总计（含结转和结余）均为335,022.48万元。与2023年度相比，财政拨款收支各增加5,842.51万元，增长1.8%，主要原因是</w:t>
      </w:r>
      <w:r>
        <w:rPr>
          <w:rFonts w:hint="eastAsia" w:ascii="Times New Roman" w:eastAsia="仿宋_GB2312"/>
          <w:b w:val="0"/>
          <w:sz w:val="32"/>
          <w:szCs w:val="32"/>
          <w:lang w:eastAsia="zh-CN"/>
        </w:rPr>
        <w:t>正常波动</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本部门2024年度财政拨款本年收入335,022.48万元,比上年增加5,842.51万元，增长1.8%，主要原因是</w:t>
      </w:r>
      <w:r>
        <w:rPr>
          <w:rFonts w:hint="eastAsia" w:ascii="Times New Roman" w:eastAsia="仿宋_GB2312"/>
          <w:b w:val="0"/>
          <w:sz w:val="32"/>
          <w:szCs w:val="32"/>
          <w:lang w:eastAsia="zh-CN"/>
        </w:rPr>
        <w:t>正常波动</w:t>
      </w:r>
      <w:r>
        <w:rPr>
          <w:rFonts w:ascii="Times New Roman" w:eastAsia="仿宋_GB2312"/>
          <w:b w:val="0"/>
          <w:sz w:val="32"/>
          <w:szCs w:val="32"/>
        </w:rPr>
        <w:t>；本年支出335,022.48万元，比上年增加5,842.51万元，增长1.8%，主要原因是</w:t>
      </w:r>
      <w:r>
        <w:rPr>
          <w:rFonts w:hint="eastAsia" w:ascii="Times New Roman" w:eastAsia="仿宋_GB2312"/>
          <w:b w:val="0"/>
          <w:sz w:val="32"/>
          <w:szCs w:val="32"/>
          <w:lang w:eastAsia="zh-CN"/>
        </w:rPr>
        <w:t>正常波动</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一般公共预算财政拨款本年收入245,080.44万元,比上年增加85,600.85万元，增长53.7%，主要原因是</w:t>
      </w:r>
      <w:r>
        <w:rPr>
          <w:rFonts w:hint="eastAsia" w:ascii="Times New Roman" w:eastAsia="仿宋_GB2312"/>
          <w:b w:val="0"/>
          <w:sz w:val="32"/>
          <w:szCs w:val="32"/>
        </w:rPr>
        <w:t>为专项政府债券还本和为企业增资</w:t>
      </w:r>
      <w:r>
        <w:rPr>
          <w:rFonts w:ascii="Times New Roman" w:eastAsia="仿宋_GB2312"/>
          <w:b w:val="0"/>
          <w:sz w:val="32"/>
          <w:szCs w:val="32"/>
        </w:rPr>
        <w:t>；本年支出245,080.44万元，比上年增加85,600.85万元，增长53.7%，主要原因是</w:t>
      </w:r>
      <w:r>
        <w:rPr>
          <w:rFonts w:hint="eastAsia" w:ascii="Times New Roman" w:eastAsia="仿宋_GB2312"/>
          <w:b w:val="0"/>
          <w:sz w:val="32"/>
          <w:szCs w:val="32"/>
        </w:rPr>
        <w:t>为专项政府债券还本和为企业增资</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政府性基金预算财政拨款本年收入89,942.03万元，比上年减少79,758.34万元，降低47.0%，主要原因是</w:t>
      </w:r>
      <w:r>
        <w:rPr>
          <w:rFonts w:hint="eastAsia" w:ascii="Times New Roman" w:eastAsia="仿宋_GB2312"/>
          <w:b w:val="0"/>
          <w:sz w:val="32"/>
          <w:szCs w:val="32"/>
        </w:rPr>
        <w:t>为专项政府债券还本和为企业增资减少</w:t>
      </w:r>
      <w:r>
        <w:rPr>
          <w:rFonts w:ascii="Times New Roman" w:eastAsia="仿宋_GB2312"/>
          <w:b w:val="0"/>
          <w:sz w:val="32"/>
          <w:szCs w:val="32"/>
        </w:rPr>
        <w:t>；本年支出89,942.03万元，比上年减少79,758.34万元，降低47.0%，主要原因是</w:t>
      </w:r>
      <w:r>
        <w:rPr>
          <w:rFonts w:hint="eastAsia" w:ascii="Times New Roman" w:eastAsia="仿宋_GB2312"/>
          <w:b w:val="0"/>
          <w:sz w:val="32"/>
          <w:szCs w:val="32"/>
        </w:rPr>
        <w:t>为专项政府债券还本和为企业增资减少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w:t>
      </w:r>
      <w:r>
        <w:rPr>
          <w:rFonts w:hint="eastAsia" w:ascii="仿宋_GB2312" w:hAnsi="仿宋_GB2312" w:eastAsia="仿宋_GB2312" w:cs="仿宋_GB2312"/>
          <w:color w:val="auto"/>
          <w:kern w:val="2"/>
          <w:sz w:val="32"/>
          <w:szCs w:val="32"/>
          <w:lang w:val="zh-CN"/>
        </w:rPr>
        <w:t>国有资本经营预算财政拨款本年收入0</w:t>
      </w:r>
      <w:r>
        <w:rPr>
          <w:rFonts w:hint="eastAsia" w:ascii="仿宋_GB2312" w:hAnsi="仿宋_GB2312" w:eastAsia="仿宋_GB2312" w:cs="仿宋_GB2312"/>
          <w:color w:val="auto"/>
          <w:kern w:val="2"/>
          <w:sz w:val="32"/>
          <w:szCs w:val="32"/>
          <w:lang w:val="en-US" w:eastAsia="zh-CN"/>
        </w:rPr>
        <w:t>万</w:t>
      </w:r>
      <w:r>
        <w:rPr>
          <w:rFonts w:hint="eastAsia" w:ascii="仿宋_GB2312" w:hAnsi="仿宋_GB2312" w:eastAsia="仿宋_GB2312" w:cs="仿宋_GB2312"/>
          <w:color w:val="auto"/>
          <w:kern w:val="2"/>
          <w:sz w:val="32"/>
          <w:szCs w:val="32"/>
          <w:lang w:val="zh-CN"/>
        </w:rPr>
        <w:t>元，</w:t>
      </w:r>
      <w:r>
        <w:rPr>
          <w:rFonts w:hint="eastAsia" w:ascii="仿宋_GB2312" w:hAnsi="仿宋_GB2312" w:eastAsia="仿宋_GB2312" w:cs="仿宋_GB2312"/>
          <w:color w:val="auto"/>
          <w:kern w:val="2"/>
          <w:sz w:val="32"/>
          <w:szCs w:val="32"/>
          <w:lang w:val="en-US" w:eastAsia="zh-CN"/>
        </w:rPr>
        <w:t>与</w:t>
      </w:r>
      <w:r>
        <w:rPr>
          <w:rFonts w:hint="eastAsia" w:ascii="仿宋_GB2312" w:hAnsi="仿宋_GB2312" w:eastAsia="仿宋_GB2312" w:cs="仿宋_GB2312"/>
          <w:color w:val="auto"/>
          <w:kern w:val="2"/>
          <w:sz w:val="32"/>
          <w:szCs w:val="32"/>
          <w:lang w:val="zh-CN"/>
        </w:rPr>
        <w:t>上年</w:t>
      </w:r>
      <w:r>
        <w:rPr>
          <w:rFonts w:hint="eastAsia" w:ascii="仿宋_GB2312" w:hAnsi="仿宋_GB2312" w:eastAsia="仿宋_GB2312" w:cs="仿宋_GB2312"/>
          <w:color w:val="auto"/>
          <w:sz w:val="30"/>
          <w:szCs w:val="30"/>
          <w:highlight w:val="none"/>
          <w:lang w:val="zh-CN"/>
        </w:rPr>
        <w:t>持平</w:t>
      </w:r>
      <w:r>
        <w:rPr>
          <w:rFonts w:hint="eastAsia" w:ascii="仿宋_GB2312" w:hAnsi="仿宋_GB2312" w:eastAsia="仿宋_GB2312" w:cs="仿宋_GB2312"/>
          <w:color w:val="auto"/>
          <w:kern w:val="2"/>
          <w:sz w:val="32"/>
          <w:szCs w:val="32"/>
          <w:lang w:val="zh-CN"/>
        </w:rPr>
        <w:t>，主要原因是</w:t>
      </w:r>
      <w:r>
        <w:rPr>
          <w:rFonts w:hint="eastAsia" w:ascii="仿宋_GB2312" w:hAnsi="Times New Roman" w:eastAsia="仿宋_GB2312" w:cs="DengXian-Regular"/>
          <w:color w:val="auto"/>
          <w:sz w:val="32"/>
          <w:szCs w:val="32"/>
          <w:lang w:val="en-US" w:eastAsia="zh-CN"/>
        </w:rPr>
        <w:t>2023年度和2024年度均无</w:t>
      </w:r>
      <w:r>
        <w:rPr>
          <w:rFonts w:hint="eastAsia" w:ascii="仿宋_GB2312" w:hAnsi="Times New Roman" w:eastAsia="仿宋_GB2312" w:cs="DengXian-Regular"/>
          <w:color w:val="auto"/>
          <w:sz w:val="32"/>
          <w:szCs w:val="32"/>
        </w:rPr>
        <w:t>国有资本经营预算财政拨款收入</w:t>
      </w:r>
      <w:r>
        <w:rPr>
          <w:rFonts w:hint="eastAsia" w:ascii="仿宋_GB2312" w:hAnsi="仿宋_GB2312" w:eastAsia="仿宋_GB2312" w:cs="仿宋_GB2312"/>
          <w:color w:val="auto"/>
          <w:kern w:val="2"/>
          <w:sz w:val="32"/>
          <w:szCs w:val="32"/>
          <w:lang w:val="zh-CN"/>
        </w:rPr>
        <w:t>；本年支出0</w:t>
      </w:r>
      <w:r>
        <w:rPr>
          <w:rFonts w:hint="eastAsia" w:ascii="仿宋_GB2312" w:hAnsi="仿宋_GB2312" w:eastAsia="仿宋_GB2312" w:cs="仿宋_GB2312"/>
          <w:color w:val="auto"/>
          <w:kern w:val="2"/>
          <w:sz w:val="32"/>
          <w:szCs w:val="32"/>
          <w:lang w:val="en-US" w:eastAsia="zh-CN"/>
        </w:rPr>
        <w:t>万</w:t>
      </w:r>
      <w:r>
        <w:rPr>
          <w:rFonts w:hint="eastAsia" w:ascii="仿宋_GB2312" w:hAnsi="仿宋_GB2312" w:eastAsia="仿宋_GB2312" w:cs="仿宋_GB2312"/>
          <w:color w:val="auto"/>
          <w:kern w:val="2"/>
          <w:sz w:val="32"/>
          <w:szCs w:val="32"/>
          <w:lang w:val="zh-CN"/>
        </w:rPr>
        <w:t>元，比上年</w:t>
      </w:r>
      <w:r>
        <w:rPr>
          <w:rFonts w:hint="eastAsia" w:ascii="仿宋_GB2312" w:hAnsi="仿宋_GB2312" w:eastAsia="仿宋_GB2312" w:cs="仿宋_GB2312"/>
          <w:color w:val="auto"/>
          <w:sz w:val="30"/>
          <w:szCs w:val="30"/>
          <w:highlight w:val="none"/>
          <w:lang w:val="zh-CN"/>
        </w:rPr>
        <w:t>持平</w:t>
      </w:r>
      <w:r>
        <w:rPr>
          <w:rFonts w:hint="eastAsia" w:ascii="仿宋_GB2312" w:hAnsi="仿宋_GB2312" w:eastAsia="仿宋_GB2312" w:cs="仿宋_GB2312"/>
          <w:color w:val="auto"/>
          <w:kern w:val="2"/>
          <w:sz w:val="32"/>
          <w:szCs w:val="32"/>
          <w:lang w:val="zh-CN"/>
        </w:rPr>
        <w:t>，主要是</w:t>
      </w:r>
      <w:r>
        <w:rPr>
          <w:rFonts w:hint="eastAsia" w:ascii="仿宋_GB2312" w:hAnsi="Times New Roman" w:eastAsia="仿宋_GB2312" w:cs="DengXian-Regular"/>
          <w:color w:val="auto"/>
          <w:sz w:val="32"/>
          <w:szCs w:val="32"/>
          <w:lang w:val="en-US" w:eastAsia="zh-CN"/>
        </w:rPr>
        <w:t>2023年度和2024年度均无</w:t>
      </w:r>
      <w:r>
        <w:rPr>
          <w:rFonts w:hint="eastAsia" w:ascii="仿宋_GB2312" w:hAnsi="Times New Roman" w:eastAsia="仿宋_GB2312" w:cs="DengXian-Regular"/>
          <w:color w:val="auto"/>
          <w:sz w:val="32"/>
          <w:szCs w:val="32"/>
        </w:rPr>
        <w:t>国有资本经营预算财政拨款</w:t>
      </w:r>
      <w:r>
        <w:rPr>
          <w:rFonts w:hint="eastAsia" w:ascii="仿宋_GB2312" w:hAnsi="Times New Roman" w:eastAsia="仿宋_GB2312" w:cs="DengXian-Regular"/>
          <w:color w:val="auto"/>
          <w:sz w:val="32"/>
          <w:szCs w:val="32"/>
          <w:lang w:eastAsia="zh-CN"/>
        </w:rPr>
        <w:t>支出</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本部门2024年度财政拨款本年收入335,022.48万元，完成年初预算的83.6%，比年初预算减少65,613.71万元，决算数小于预算数主要原因是</w:t>
      </w:r>
      <w:r>
        <w:rPr>
          <w:rFonts w:hint="eastAsia" w:ascii="Times New Roman" w:eastAsia="仿宋_GB2312"/>
          <w:b w:val="0"/>
          <w:sz w:val="32"/>
          <w:szCs w:val="32"/>
        </w:rPr>
        <w:t>棚改政府购买服务资金</w:t>
      </w:r>
      <w:r>
        <w:rPr>
          <w:rFonts w:hint="eastAsia" w:ascii="Times New Roman" w:eastAsia="仿宋_GB2312"/>
          <w:b w:val="0"/>
          <w:sz w:val="32"/>
          <w:szCs w:val="32"/>
          <w:lang w:eastAsia="zh-CN"/>
        </w:rPr>
        <w:t>和为自贸区发投、滹沱、浩运等公司增资项目</w:t>
      </w:r>
      <w:r>
        <w:rPr>
          <w:rFonts w:hint="eastAsia" w:ascii="Times New Roman" w:eastAsia="仿宋_GB2312"/>
          <w:b w:val="0"/>
          <w:sz w:val="32"/>
          <w:szCs w:val="32"/>
        </w:rPr>
        <w:t>收支</w:t>
      </w:r>
      <w:r>
        <w:rPr>
          <w:rFonts w:hint="eastAsia" w:ascii="Times New Roman" w:eastAsia="仿宋_GB2312"/>
          <w:b w:val="0"/>
          <w:sz w:val="32"/>
          <w:szCs w:val="32"/>
          <w:lang w:eastAsia="zh-CN"/>
        </w:rPr>
        <w:t>小于</w:t>
      </w:r>
      <w:r>
        <w:rPr>
          <w:rFonts w:hint="eastAsia" w:ascii="Times New Roman" w:eastAsia="仿宋_GB2312"/>
          <w:b w:val="0"/>
          <w:sz w:val="32"/>
          <w:szCs w:val="32"/>
        </w:rPr>
        <w:t>年初预算数 ；本年支出</w:t>
      </w:r>
      <w:r>
        <w:rPr>
          <w:rFonts w:ascii="Times New Roman" w:eastAsia="仿宋_GB2312"/>
          <w:b w:val="0"/>
          <w:sz w:val="32"/>
          <w:szCs w:val="32"/>
        </w:rPr>
        <w:t>335,022.48万元，完成年初预算的83.6%，比年初预算减少65,613.71万元，决算数小于预算数主要原因是</w:t>
      </w:r>
      <w:r>
        <w:rPr>
          <w:rFonts w:hint="eastAsia" w:ascii="Times New Roman" w:eastAsia="仿宋_GB2312"/>
          <w:b w:val="0"/>
          <w:sz w:val="32"/>
          <w:szCs w:val="32"/>
        </w:rPr>
        <w:t>棚改政府购买服务资金</w:t>
      </w:r>
      <w:r>
        <w:rPr>
          <w:rFonts w:hint="eastAsia" w:ascii="Times New Roman" w:eastAsia="仿宋_GB2312"/>
          <w:b w:val="0"/>
          <w:sz w:val="32"/>
          <w:szCs w:val="32"/>
          <w:lang w:eastAsia="zh-CN"/>
        </w:rPr>
        <w:t>和为自贸区发投、滹沱、浩运等公司增资项目</w:t>
      </w:r>
      <w:r>
        <w:rPr>
          <w:rFonts w:hint="eastAsia" w:ascii="Times New Roman" w:eastAsia="仿宋_GB2312"/>
          <w:b w:val="0"/>
          <w:sz w:val="32"/>
          <w:szCs w:val="32"/>
        </w:rPr>
        <w:t>收支</w:t>
      </w:r>
      <w:r>
        <w:rPr>
          <w:rFonts w:hint="eastAsia" w:ascii="Times New Roman" w:eastAsia="仿宋_GB2312"/>
          <w:b w:val="0"/>
          <w:sz w:val="32"/>
          <w:szCs w:val="32"/>
          <w:lang w:eastAsia="zh-CN"/>
        </w:rPr>
        <w:t>小于</w:t>
      </w:r>
      <w:r>
        <w:rPr>
          <w:rFonts w:hint="eastAsia" w:ascii="Times New Roman" w:eastAsia="仿宋_GB2312"/>
          <w:b w:val="0"/>
          <w:sz w:val="32"/>
          <w:szCs w:val="32"/>
        </w:rPr>
        <w:t>年初预算数</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一般公共预算财政拨款本年收入完成年初预算的107.4%，比年初预算增加16,903.41万元，主要原因是</w:t>
      </w:r>
      <w:r>
        <w:rPr>
          <w:rFonts w:hint="eastAsia" w:ascii="Times New Roman" w:eastAsia="仿宋_GB2312"/>
          <w:b w:val="0"/>
          <w:sz w:val="32"/>
          <w:szCs w:val="32"/>
        </w:rPr>
        <w:t>为自贸区发投、滹沱、浩运等公司增资</w:t>
      </w:r>
      <w:r>
        <w:rPr>
          <w:rFonts w:ascii="Times New Roman" w:eastAsia="仿宋_GB2312"/>
          <w:b w:val="0"/>
          <w:sz w:val="32"/>
          <w:szCs w:val="32"/>
        </w:rPr>
        <w:t>；支出完成年初预算的107.4%，比年初预算增加16,903.41万元，主要原因是</w:t>
      </w:r>
      <w:r>
        <w:rPr>
          <w:rFonts w:hint="eastAsia" w:ascii="Times New Roman" w:eastAsia="仿宋_GB2312"/>
          <w:b w:val="0"/>
          <w:sz w:val="32"/>
          <w:szCs w:val="32"/>
        </w:rPr>
        <w:t>为自贸区发投、滹沱、浩运等公司增资</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政府性基金预算财政拨款本年收入完成年初预算的52.2%，比年初预算减少82,517.13万元，主要原因是</w:t>
      </w:r>
      <w:r>
        <w:rPr>
          <w:rFonts w:hint="eastAsia" w:ascii="Times New Roman" w:eastAsia="仿宋_GB2312"/>
          <w:b w:val="0"/>
          <w:sz w:val="32"/>
          <w:szCs w:val="32"/>
        </w:rPr>
        <w:t>棚改政府购买服务资金</w:t>
      </w:r>
      <w:r>
        <w:rPr>
          <w:rFonts w:hint="eastAsia" w:ascii="Times New Roman" w:eastAsia="仿宋_GB2312"/>
          <w:b w:val="0"/>
          <w:sz w:val="32"/>
          <w:szCs w:val="32"/>
          <w:lang w:eastAsia="zh-CN"/>
        </w:rPr>
        <w:t>和为自贸区发投、滹沱、浩运等公司增资项目</w:t>
      </w:r>
      <w:r>
        <w:rPr>
          <w:rFonts w:hint="eastAsia" w:ascii="Times New Roman" w:eastAsia="仿宋_GB2312"/>
          <w:b w:val="0"/>
          <w:sz w:val="32"/>
          <w:szCs w:val="32"/>
        </w:rPr>
        <w:t>收支</w:t>
      </w:r>
      <w:r>
        <w:rPr>
          <w:rFonts w:hint="eastAsia" w:ascii="Times New Roman" w:eastAsia="仿宋_GB2312"/>
          <w:b w:val="0"/>
          <w:sz w:val="32"/>
          <w:szCs w:val="32"/>
          <w:lang w:eastAsia="zh-CN"/>
        </w:rPr>
        <w:t>小于</w:t>
      </w:r>
      <w:r>
        <w:rPr>
          <w:rFonts w:hint="eastAsia" w:ascii="Times New Roman" w:eastAsia="仿宋_GB2312"/>
          <w:b w:val="0"/>
          <w:sz w:val="32"/>
          <w:szCs w:val="32"/>
        </w:rPr>
        <w:t>年初预算数</w:t>
      </w:r>
      <w:r>
        <w:rPr>
          <w:rFonts w:ascii="Times New Roman" w:eastAsia="仿宋_GB2312"/>
          <w:b w:val="0"/>
          <w:sz w:val="32"/>
          <w:szCs w:val="32"/>
        </w:rPr>
        <w:t>；支出完成年初预算的52.2%，比年初预算减少82,517.13万元，主要原因是</w:t>
      </w:r>
      <w:r>
        <w:rPr>
          <w:rFonts w:hint="eastAsia" w:ascii="Times New Roman" w:eastAsia="仿宋_GB2312"/>
          <w:b w:val="0"/>
          <w:sz w:val="32"/>
          <w:szCs w:val="32"/>
        </w:rPr>
        <w:t>棚改政府购买服务资金</w:t>
      </w:r>
      <w:r>
        <w:rPr>
          <w:rFonts w:hint="eastAsia" w:ascii="Times New Roman" w:eastAsia="仿宋_GB2312"/>
          <w:b w:val="0"/>
          <w:sz w:val="32"/>
          <w:szCs w:val="32"/>
          <w:lang w:eastAsia="zh-CN"/>
        </w:rPr>
        <w:t>和为自贸区发投、滹沱、浩运等公司增资项目</w:t>
      </w:r>
      <w:r>
        <w:rPr>
          <w:rFonts w:hint="eastAsia" w:ascii="Times New Roman" w:eastAsia="仿宋_GB2312"/>
          <w:b w:val="0"/>
          <w:sz w:val="32"/>
          <w:szCs w:val="32"/>
        </w:rPr>
        <w:t>收支</w:t>
      </w:r>
      <w:r>
        <w:rPr>
          <w:rFonts w:hint="eastAsia" w:ascii="Times New Roman" w:eastAsia="仿宋_GB2312"/>
          <w:b w:val="0"/>
          <w:sz w:val="32"/>
          <w:szCs w:val="32"/>
          <w:lang w:eastAsia="zh-CN"/>
        </w:rPr>
        <w:t>小于</w:t>
      </w:r>
      <w:r>
        <w:rPr>
          <w:rFonts w:hint="eastAsia" w:ascii="Times New Roman" w:eastAsia="仿宋_GB2312"/>
          <w:b w:val="0"/>
          <w:sz w:val="32"/>
          <w:szCs w:val="32"/>
        </w:rPr>
        <w:t>年初预算数</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w:t>
      </w:r>
      <w:r>
        <w:rPr>
          <w:rFonts w:hint="eastAsia" w:ascii="Times New Roman" w:eastAsia="仿宋_GB2312"/>
          <w:b w:val="0"/>
          <w:sz w:val="32"/>
          <w:szCs w:val="32"/>
          <w:lang w:val="en-US" w:eastAsia="zh-CN"/>
        </w:rPr>
        <w:t>0万元，</w:t>
      </w:r>
      <w:r>
        <w:rPr>
          <w:rFonts w:ascii="Times New Roman" w:eastAsia="仿宋_GB2312"/>
          <w:b w:val="0"/>
          <w:sz w:val="32"/>
          <w:szCs w:val="32"/>
        </w:rPr>
        <w:t>完成年初预算的0.0 %，</w:t>
      </w:r>
      <w:r>
        <w:rPr>
          <w:rFonts w:hint="eastAsia" w:ascii="仿宋_GB2312" w:hAnsi="仿宋_GB2312" w:eastAsia="仿宋_GB2312" w:cs="仿宋_GB2312"/>
          <w:color w:val="auto"/>
          <w:sz w:val="30"/>
          <w:szCs w:val="30"/>
          <w:highlight w:val="none"/>
          <w:lang w:val="zh-CN"/>
        </w:rPr>
        <w:t>比年初预算持平</w:t>
      </w:r>
      <w:r>
        <w:rPr>
          <w:rFonts w:ascii="Times New Roman" w:eastAsia="仿宋_GB2312"/>
          <w:b w:val="0"/>
          <w:sz w:val="32"/>
          <w:szCs w:val="32"/>
        </w:rPr>
        <w:t>，主要原因是</w:t>
      </w:r>
      <w:r>
        <w:rPr>
          <w:rFonts w:hint="eastAsia" w:ascii="仿宋_GB2312" w:hAnsi="Times New Roman" w:eastAsia="仿宋_GB2312" w:cs="DengXian-Regular"/>
          <w:color w:val="auto"/>
          <w:sz w:val="32"/>
          <w:szCs w:val="32"/>
          <w:lang w:val="en-US" w:eastAsia="zh-CN"/>
        </w:rPr>
        <w:t>本年度无</w:t>
      </w:r>
      <w:r>
        <w:rPr>
          <w:rFonts w:hint="eastAsia" w:ascii="仿宋_GB2312" w:hAnsi="Times New Roman" w:eastAsia="仿宋_GB2312" w:cs="DengXian-Regular"/>
          <w:color w:val="auto"/>
          <w:sz w:val="32"/>
          <w:szCs w:val="32"/>
        </w:rPr>
        <w:t>国有资本经营财政拨款</w:t>
      </w:r>
      <w:r>
        <w:rPr>
          <w:rFonts w:hint="eastAsia" w:ascii="仿宋_GB2312" w:hAnsi="Times New Roman" w:eastAsia="仿宋_GB2312" w:cs="DengXian-Regular"/>
          <w:color w:val="auto"/>
          <w:sz w:val="32"/>
          <w:szCs w:val="32"/>
          <w:lang w:val="en-US" w:eastAsia="zh-CN"/>
        </w:rPr>
        <w:t>预算和收入</w:t>
      </w:r>
      <w:r>
        <w:rPr>
          <w:rFonts w:ascii="Times New Roman" w:eastAsia="仿宋_GB2312"/>
          <w:b w:val="0"/>
          <w:sz w:val="32"/>
          <w:szCs w:val="32"/>
        </w:rPr>
        <w:t>；支出</w:t>
      </w:r>
      <w:r>
        <w:rPr>
          <w:rFonts w:hint="eastAsia" w:ascii="Times New Roman" w:eastAsia="仿宋_GB2312"/>
          <w:b w:val="0"/>
          <w:sz w:val="32"/>
          <w:szCs w:val="32"/>
          <w:lang w:val="en-US" w:eastAsia="zh-CN"/>
        </w:rPr>
        <w:t>0万元，</w:t>
      </w:r>
      <w:r>
        <w:rPr>
          <w:rFonts w:ascii="Times New Roman" w:eastAsia="仿宋_GB2312"/>
          <w:b w:val="0"/>
          <w:sz w:val="32"/>
          <w:szCs w:val="32"/>
        </w:rPr>
        <w:t>完成年初预算的0.0%，</w:t>
      </w:r>
      <w:r>
        <w:rPr>
          <w:rFonts w:hint="eastAsia" w:ascii="仿宋_GB2312" w:hAnsi="仿宋_GB2312" w:eastAsia="仿宋_GB2312" w:cs="仿宋_GB2312"/>
          <w:color w:val="auto"/>
          <w:sz w:val="30"/>
          <w:szCs w:val="30"/>
          <w:highlight w:val="none"/>
          <w:lang w:val="zh-CN"/>
        </w:rPr>
        <w:t>比年初预算持平</w:t>
      </w:r>
      <w:r>
        <w:rPr>
          <w:rFonts w:ascii="Times New Roman" w:eastAsia="仿宋_GB2312"/>
          <w:b w:val="0"/>
          <w:sz w:val="32"/>
          <w:szCs w:val="32"/>
        </w:rPr>
        <w:t>，主要原因是</w:t>
      </w:r>
      <w:r>
        <w:rPr>
          <w:rFonts w:hint="eastAsia" w:ascii="仿宋_GB2312" w:hAnsi="Times New Roman" w:eastAsia="仿宋_GB2312" w:cs="DengXian-Regular"/>
          <w:color w:val="auto"/>
          <w:sz w:val="32"/>
          <w:szCs w:val="32"/>
          <w:lang w:val="en-US" w:eastAsia="zh-CN"/>
        </w:rPr>
        <w:t>本年度无</w:t>
      </w:r>
      <w:r>
        <w:rPr>
          <w:rFonts w:hint="eastAsia" w:ascii="仿宋_GB2312" w:hAnsi="Times New Roman" w:eastAsia="仿宋_GB2312" w:cs="DengXian-Regular"/>
          <w:color w:val="auto"/>
          <w:sz w:val="32"/>
          <w:szCs w:val="32"/>
        </w:rPr>
        <w:t>国有资本经营财政拨款</w:t>
      </w:r>
      <w:r>
        <w:rPr>
          <w:rFonts w:hint="eastAsia" w:ascii="仿宋_GB2312" w:hAnsi="Times New Roman" w:eastAsia="仿宋_GB2312" w:cs="DengXian-Regular"/>
          <w:color w:val="auto"/>
          <w:sz w:val="32"/>
          <w:szCs w:val="32"/>
          <w:lang w:val="en-US" w:eastAsia="zh-CN"/>
        </w:rPr>
        <w:t>预算和支出</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2024年度财政拨款支出335,022.48万元，主要用于以下方面：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一般公共服务（类）支出226.44万元，占0.1%，主要用于</w:t>
      </w:r>
      <w:r>
        <w:rPr>
          <w:rFonts w:hint="eastAsia" w:ascii="仿宋_GB2312" w:hAnsi="仿宋_GB2312" w:eastAsia="仿宋_GB2312" w:cs="仿宋_GB2312"/>
          <w:sz w:val="32"/>
          <w:szCs w:val="32"/>
          <w:lang w:val="en-US" w:eastAsia="zh-CN"/>
        </w:rPr>
        <w:t>人员经费、公用经费和政府投资评审、财政专网网络租赁及运行维护、网络安全等保测评</w:t>
      </w:r>
      <w:r>
        <w:rPr>
          <w:rFonts w:ascii="Times New Roman" w:eastAsia="仿宋_GB2312"/>
          <w:b w:val="0"/>
          <w:sz w:val="32"/>
          <w:szCs w:val="32"/>
        </w:rPr>
        <w:t>等支出；农林水（类）支出38.10万元，占0.0%，主要用于</w:t>
      </w:r>
      <w:r>
        <w:rPr>
          <w:rFonts w:hint="eastAsia" w:ascii="Times New Roman" w:eastAsia="仿宋_GB2312"/>
          <w:b w:val="0"/>
          <w:sz w:val="32"/>
          <w:szCs w:val="32"/>
        </w:rPr>
        <w:t>个人农业生产补贴</w:t>
      </w:r>
      <w:r>
        <w:rPr>
          <w:rFonts w:ascii="Times New Roman" w:eastAsia="仿宋_GB2312"/>
          <w:b w:val="0"/>
          <w:sz w:val="32"/>
          <w:szCs w:val="32"/>
        </w:rPr>
        <w:t>等支出；其他（类）支出239,962.74万元，占71.6%，主要用于</w:t>
      </w:r>
      <w:r>
        <w:rPr>
          <w:rFonts w:hint="eastAsia" w:ascii="Times New Roman" w:eastAsia="仿宋_GB2312"/>
          <w:b w:val="0"/>
          <w:sz w:val="32"/>
          <w:szCs w:val="32"/>
        </w:rPr>
        <w:t>公司增资</w:t>
      </w:r>
      <w:r>
        <w:rPr>
          <w:rFonts w:hint="eastAsia" w:ascii="Times New Roman" w:eastAsia="仿宋_GB2312"/>
          <w:b w:val="0"/>
          <w:sz w:val="32"/>
          <w:szCs w:val="32"/>
          <w:lang w:eastAsia="zh-CN"/>
        </w:rPr>
        <w:t>、棚改政府购买服务资金</w:t>
      </w:r>
      <w:r>
        <w:rPr>
          <w:rFonts w:ascii="Times New Roman" w:eastAsia="仿宋_GB2312"/>
          <w:b w:val="0"/>
          <w:sz w:val="32"/>
          <w:szCs w:val="32"/>
        </w:rPr>
        <w:t>等支出；债务付息（类）支出4,677.55万元，占1.4%，主要用于债务付息等支出。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城乡社区（类）支出63,807.07万元，占19.0%，主要用于</w:t>
      </w:r>
      <w:r>
        <w:rPr>
          <w:rFonts w:hint="eastAsia" w:ascii="仿宋_GB2312" w:hAnsi="仿宋_GB2312" w:eastAsia="仿宋_GB2312" w:cs="仿宋_GB2312"/>
          <w:sz w:val="32"/>
          <w:szCs w:val="32"/>
          <w:lang w:val="en-US" w:eastAsia="zh-CN"/>
        </w:rPr>
        <w:t>农村综合改革项目支出</w:t>
      </w:r>
      <w:r>
        <w:rPr>
          <w:rFonts w:ascii="Times New Roman" w:eastAsia="仿宋_GB2312"/>
          <w:b w:val="0"/>
          <w:sz w:val="32"/>
          <w:szCs w:val="32"/>
        </w:rPr>
        <w:t>等支出；债务付息（类）支出26,134.96万元，占7.8%，主要用于债务付息等支出。</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2024年度财政拨款基本支出22.91万元，其中：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公用经费22.91万元，主要包括邮电费、</w:t>
      </w:r>
      <w:r>
        <w:rPr>
          <w:rFonts w:hint="eastAsia" w:ascii="Times New Roman" w:eastAsia="仿宋_GB2312"/>
          <w:b w:val="0"/>
          <w:sz w:val="32"/>
          <w:szCs w:val="32"/>
          <w:lang w:eastAsia="zh-CN"/>
        </w:rPr>
        <w:t>办公费、</w:t>
      </w:r>
      <w:r>
        <w:rPr>
          <w:rFonts w:ascii="Times New Roman" w:eastAsia="仿宋_GB2312"/>
          <w:b w:val="0"/>
          <w:sz w:val="32"/>
          <w:szCs w:val="32"/>
        </w:rPr>
        <w:t>差旅费、工会经费、</w:t>
      </w:r>
      <w:r>
        <w:rPr>
          <w:rFonts w:hint="eastAsia" w:ascii="Times New Roman" w:eastAsia="仿宋_GB2312"/>
          <w:b w:val="0"/>
          <w:sz w:val="32"/>
          <w:szCs w:val="32"/>
          <w:lang w:eastAsia="zh-CN"/>
        </w:rPr>
        <w:t>公务接待费</w:t>
      </w:r>
      <w:r>
        <w:rPr>
          <w:rFonts w:ascii="Times New Roman" w:eastAsia="仿宋_GB2312"/>
          <w:b w:val="0"/>
          <w:sz w:val="32"/>
          <w:szCs w:val="32"/>
        </w:rPr>
        <w:t>、其他商品和服务支出。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本部门2024年度“三公”经费财政拨款支出预算为0.04万元，支出决算为</w:t>
      </w:r>
      <w:r>
        <w:rPr>
          <w:rFonts w:hint="eastAsia" w:ascii="Times New Roman" w:eastAsia="仿宋_GB2312"/>
          <w:b w:val="0"/>
          <w:sz w:val="32"/>
          <w:szCs w:val="32"/>
          <w:lang w:eastAsia="zh-CN"/>
        </w:rPr>
        <w:t>0</w:t>
      </w:r>
      <w:r>
        <w:rPr>
          <w:rFonts w:ascii="Times New Roman" w:eastAsia="仿宋_GB2312"/>
          <w:b w:val="0"/>
          <w:sz w:val="32"/>
          <w:szCs w:val="32"/>
        </w:rPr>
        <w:t>万元，完成预算的0.0%，较预算减少0.04万元，降低100.0%，主要原因是</w:t>
      </w:r>
      <w:r>
        <w:rPr>
          <w:rFonts w:hint="eastAsia" w:ascii="仿宋_GB2312" w:hAnsi="仿宋_GB2312" w:eastAsia="仿宋_GB2312" w:cs="仿宋_GB2312"/>
          <w:sz w:val="32"/>
          <w:szCs w:val="32"/>
          <w:lang w:val="en-US" w:eastAsia="zh-CN"/>
        </w:rPr>
        <w:t>认真贯彻落实中央八项规定精神和厉行节约要求，从严控制“三公”经费开支，实现了“三公”经费只减不增的目标</w:t>
      </w:r>
      <w:r>
        <w:rPr>
          <w:rFonts w:ascii="Times New Roman" w:eastAsia="仿宋_GB2312"/>
          <w:b w:val="0"/>
          <w:sz w:val="32"/>
          <w:szCs w:val="32"/>
        </w:rPr>
        <w:t>；较2023年度决算</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仿宋_GB2312" w:hAnsi="仿宋_GB2312" w:eastAsia="仿宋_GB2312" w:cs="仿宋_GB2312"/>
          <w:sz w:val="32"/>
          <w:szCs w:val="32"/>
          <w:lang w:val="en-US" w:eastAsia="zh-CN"/>
        </w:rPr>
        <w:t>认真贯彻落实中央八项规定精神和厉行节约要求，从严控制“三公”经费开支</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w:t>
      </w:r>
      <w:r>
        <w:rPr>
          <w:rFonts w:hint="eastAsia" w:ascii="仿宋_GB2312" w:hAnsi="仿宋_GB2312" w:eastAsia="仿宋_GB2312" w:cs="仿宋_GB2312"/>
          <w:color w:val="auto"/>
          <w:kern w:val="2"/>
          <w:sz w:val="32"/>
          <w:szCs w:val="32"/>
          <w:lang w:val="en-US" w:eastAsia="zh-CN" w:bidi="ar-SA"/>
        </w:rPr>
        <w:t>因公出国（境）费支出预算为0万元，支出决算0万元。完成预算的0%。因公出国（境）费支出较预算</w:t>
      </w:r>
      <w:r>
        <w:rPr>
          <w:rFonts w:hint="eastAsia" w:ascii="仿宋_GB2312" w:hAnsi="仿宋_GB2312" w:eastAsia="仿宋_GB2312" w:cs="仿宋_GB2312"/>
          <w:color w:val="auto"/>
          <w:kern w:val="2"/>
          <w:sz w:val="32"/>
          <w:szCs w:val="32"/>
          <w:lang w:val="zh-CN" w:eastAsia="zh-CN" w:bidi="ar-SA"/>
        </w:rPr>
        <w:t>持平</w:t>
      </w:r>
      <w:r>
        <w:rPr>
          <w:rFonts w:hint="eastAsia" w:ascii="仿宋_GB2312" w:hAnsi="仿宋_GB2312" w:eastAsia="仿宋_GB2312" w:cs="仿宋_GB2312"/>
          <w:color w:val="auto"/>
          <w:kern w:val="2"/>
          <w:sz w:val="32"/>
          <w:szCs w:val="32"/>
          <w:lang w:val="en-US" w:eastAsia="zh-CN" w:bidi="ar-SA"/>
        </w:rPr>
        <w:t>，主要是</w:t>
      </w:r>
      <w:r>
        <w:rPr>
          <w:rFonts w:hint="eastAsia" w:ascii="仿宋_GB2312" w:hAnsi="仿宋_GB2312" w:eastAsia="仿宋_GB2312" w:cs="仿宋_GB2312"/>
          <w:color w:val="000000"/>
          <w:kern w:val="0"/>
          <w:sz w:val="32"/>
          <w:szCs w:val="32"/>
          <w:lang w:val="en-US" w:eastAsia="zh-CN" w:bidi="ar"/>
        </w:rPr>
        <w:t>当年没有因公出国的工作任务，无因公出国（境）费用预算安排</w:t>
      </w:r>
      <w:r>
        <w:rPr>
          <w:rFonts w:hint="eastAsia" w:ascii="仿宋_GB2312" w:hAnsi="仿宋_GB2312" w:eastAsia="仿宋_GB2312" w:cs="仿宋_GB2312"/>
          <w:color w:val="auto"/>
          <w:kern w:val="2"/>
          <w:sz w:val="32"/>
          <w:szCs w:val="32"/>
          <w:lang w:val="en-US" w:eastAsia="zh-CN" w:bidi="ar-SA"/>
        </w:rPr>
        <w:t>；较上年</w:t>
      </w:r>
      <w:r>
        <w:rPr>
          <w:rFonts w:hint="eastAsia" w:ascii="仿宋_GB2312" w:hAnsi="仿宋_GB2312" w:eastAsia="仿宋_GB2312" w:cs="仿宋_GB2312"/>
          <w:color w:val="auto"/>
          <w:kern w:val="2"/>
          <w:sz w:val="32"/>
          <w:szCs w:val="32"/>
          <w:lang w:val="zh-CN" w:eastAsia="zh-CN" w:bidi="ar-SA"/>
        </w:rPr>
        <w:t>持平</w:t>
      </w:r>
      <w:r>
        <w:rPr>
          <w:rFonts w:hint="eastAsia" w:ascii="仿宋_GB2312" w:hAnsi="仿宋_GB2312" w:eastAsia="仿宋_GB2312" w:cs="仿宋_GB2312"/>
          <w:color w:val="auto"/>
          <w:kern w:val="2"/>
          <w:sz w:val="32"/>
          <w:szCs w:val="32"/>
          <w:lang w:val="en-US" w:eastAsia="zh-CN" w:bidi="ar-SA"/>
        </w:rPr>
        <w:t>，主要是</w:t>
      </w:r>
      <w:r>
        <w:rPr>
          <w:rFonts w:hint="eastAsia" w:ascii="仿宋_GB2312" w:hAnsi="仿宋_GB2312" w:eastAsia="仿宋_GB2312" w:cs="仿宋_GB2312"/>
          <w:color w:val="000000"/>
          <w:kern w:val="0"/>
          <w:sz w:val="32"/>
          <w:szCs w:val="32"/>
          <w:lang w:val="en-US" w:eastAsia="zh-CN" w:bidi="ar"/>
        </w:rPr>
        <w:t>2022年度和2023年度均没有因公出国的工作任务，没有安排相关预算</w:t>
      </w:r>
      <w:r>
        <w:rPr>
          <w:rFonts w:hint="eastAsia" w:ascii="仿宋_GB2312" w:hAnsi="仿宋_GB2312" w:eastAsia="仿宋_GB2312" w:cs="仿宋_GB2312"/>
          <w:color w:val="auto"/>
          <w:kern w:val="2"/>
          <w:sz w:val="32"/>
          <w:szCs w:val="32"/>
          <w:lang w:val="en-US" w:eastAsia="zh-CN" w:bidi="ar-SA"/>
        </w:rPr>
        <w:t>。因公出国（境）团组0个、共0人、参加其他单位组织的因公出国（境）团组0个、共0人/无本部门组织的出国（境）团组</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本部门2024年度公务用车购置及运行维护费预算为0万元，支出决算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万元，完成预算的0%,较预算增加</w:t>
      </w:r>
      <w:r>
        <w:rPr>
          <w:rFonts w:hint="eastAsia" w:ascii="Times New Roman" w:eastAsia="仿宋_GB2312"/>
          <w:b w:val="0"/>
          <w:sz w:val="32"/>
          <w:szCs w:val="32"/>
          <w:lang w:eastAsia="zh-CN"/>
        </w:rPr>
        <w:t>0</w:t>
      </w:r>
      <w:r>
        <w:rPr>
          <w:rFonts w:ascii="Times New Roman" w:eastAsia="仿宋_GB2312"/>
          <w:b w:val="0"/>
          <w:sz w:val="32"/>
          <w:szCs w:val="32"/>
        </w:rPr>
        <w:t>万元，增长0%,主要原因是</w:t>
      </w:r>
      <w:r>
        <w:rPr>
          <w:rFonts w:hint="eastAsia" w:ascii="Times New Roman" w:eastAsia="仿宋_GB2312"/>
          <w:b w:val="0"/>
          <w:sz w:val="32"/>
          <w:szCs w:val="32"/>
          <w:lang w:val="en-US" w:eastAsia="zh-CN"/>
        </w:rPr>
        <w:t>当年没有</w:t>
      </w:r>
      <w:r>
        <w:rPr>
          <w:rFonts w:hint="eastAsia" w:ascii="Times New Roman" w:eastAsia="仿宋_GB2312"/>
          <w:b w:val="0"/>
          <w:sz w:val="32"/>
          <w:szCs w:val="32"/>
        </w:rPr>
        <w:t>发生</w:t>
      </w:r>
      <w:r>
        <w:rPr>
          <w:rFonts w:hint="eastAsia" w:ascii="Times New Roman" w:eastAsia="仿宋_GB2312"/>
          <w:b w:val="0"/>
          <w:sz w:val="32"/>
          <w:szCs w:val="32"/>
          <w:lang w:eastAsia="zh-CN"/>
        </w:rPr>
        <w:t>“</w:t>
      </w:r>
      <w:r>
        <w:rPr>
          <w:rFonts w:hint="eastAsia" w:ascii="Times New Roman" w:eastAsia="仿宋_GB2312"/>
          <w:b w:val="0"/>
          <w:sz w:val="32"/>
          <w:szCs w:val="32"/>
        </w:rPr>
        <w:t>公务用车购置</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及“</w:t>
      </w:r>
      <w:r>
        <w:rPr>
          <w:rFonts w:ascii="Times New Roman" w:eastAsia="仿宋_GB2312"/>
          <w:b w:val="0"/>
          <w:sz w:val="32"/>
          <w:szCs w:val="32"/>
        </w:rPr>
        <w:t>运行维护费</w:t>
      </w:r>
      <w:r>
        <w:rPr>
          <w:rFonts w:hint="eastAsia" w:ascii="Times New Roman" w:eastAsia="仿宋_GB2312"/>
          <w:b w:val="0"/>
          <w:sz w:val="32"/>
          <w:szCs w:val="32"/>
          <w:lang w:val="en-US" w:eastAsia="zh-CN"/>
        </w:rPr>
        <w:t>”</w:t>
      </w:r>
      <w:r>
        <w:rPr>
          <w:rFonts w:hint="eastAsia" w:ascii="Times New Roman" w:eastAsia="仿宋_GB2312"/>
          <w:b w:val="0"/>
          <w:sz w:val="32"/>
          <w:szCs w:val="32"/>
        </w:rPr>
        <w:t>经费支出</w:t>
      </w:r>
      <w:r>
        <w:rPr>
          <w:rFonts w:ascii="Times New Roman" w:eastAsia="仿宋_GB2312"/>
          <w:b w:val="0"/>
          <w:sz w:val="32"/>
          <w:szCs w:val="32"/>
        </w:rPr>
        <w:t>；较上年增加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w:t>
      </w:r>
      <w:r>
        <w:rPr>
          <w:rFonts w:hint="eastAsia" w:ascii="Times New Roman" w:eastAsia="仿宋_GB2312"/>
          <w:b w:val="0"/>
          <w:sz w:val="32"/>
          <w:szCs w:val="32"/>
          <w:lang w:val="en-US" w:eastAsia="zh-CN"/>
        </w:rPr>
        <w:t>加强了公务车辆出行管理，节约了开支</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b w:val="0"/>
          <w:sz w:val="32"/>
          <w:szCs w:val="32"/>
        </w:rPr>
        <w:t>本部门2024年度公务用车购置量0辆，发生“公务用车购置”经费支出</w:t>
      </w:r>
      <w:r>
        <w:rPr>
          <w:rFonts w:hint="eastAsia" w:ascii="Times New Roman" w:eastAsia="仿宋_GB2312"/>
          <w:b w:val="0"/>
          <w:sz w:val="32"/>
          <w:szCs w:val="32"/>
          <w:lang w:eastAsia="zh-CN"/>
        </w:rPr>
        <w:t>0</w:t>
      </w:r>
      <w:r>
        <w:rPr>
          <w:rFonts w:ascii="Times New Roman" w:eastAsia="仿宋_GB2312"/>
          <w:b w:val="0"/>
          <w:sz w:val="32"/>
          <w:szCs w:val="32"/>
        </w:rPr>
        <w:t> 万元。公务用车购置费支出较预算增加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万元，增长0.0%,主要原因是</w:t>
      </w:r>
      <w:r>
        <w:rPr>
          <w:rFonts w:hint="eastAsia" w:ascii="仿宋" w:hAnsi="仿宋" w:eastAsia="仿宋" w:cs="仿宋"/>
          <w:color w:val="000000"/>
          <w:kern w:val="0"/>
          <w:sz w:val="32"/>
          <w:szCs w:val="32"/>
          <w:highlight w:val="none"/>
          <w:lang w:val="en-US" w:eastAsia="zh-CN" w:bidi="ar"/>
        </w:rPr>
        <w:t>当年没有</w:t>
      </w:r>
      <w:r>
        <w:rPr>
          <w:rFonts w:hint="eastAsia" w:ascii="仿宋" w:hAnsi="仿宋" w:eastAsia="仿宋" w:cs="仿宋"/>
          <w:color w:val="000000"/>
          <w:sz w:val="32"/>
          <w:szCs w:val="32"/>
          <w:highlight w:val="none"/>
        </w:rPr>
        <w:t>发生公务用车购置经费支出</w:t>
      </w:r>
      <w:r>
        <w:rPr>
          <w:rFonts w:ascii="Times New Roman" w:eastAsia="仿宋_GB2312"/>
          <w:b w:val="0"/>
          <w:sz w:val="32"/>
          <w:szCs w:val="32"/>
        </w:rPr>
        <w:t>；较上年增加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w:t>
      </w:r>
      <w:r>
        <w:rPr>
          <w:rFonts w:hint="eastAsia" w:ascii="仿宋" w:hAnsi="仿宋" w:eastAsia="仿宋" w:cs="仿宋"/>
          <w:color w:val="000000"/>
          <w:kern w:val="0"/>
          <w:sz w:val="32"/>
          <w:szCs w:val="32"/>
          <w:lang w:val="en-US" w:eastAsia="zh-CN" w:bidi="ar"/>
        </w:rPr>
        <w:t>加强了公务车辆出行管理，节约了开支</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b w:val="0"/>
          <w:sz w:val="32"/>
          <w:szCs w:val="32"/>
        </w:rPr>
        <w:t>本部门2024年度单位公务用车保有量0辆，发生运行维护费支出</w:t>
      </w:r>
      <w:r>
        <w:rPr>
          <w:rFonts w:hint="eastAsia" w:ascii="Times New Roman" w:eastAsia="仿宋_GB2312"/>
          <w:b w:val="0"/>
          <w:sz w:val="32"/>
          <w:szCs w:val="32"/>
          <w:lang w:eastAsia="zh-CN"/>
        </w:rPr>
        <w:t>0</w:t>
      </w:r>
      <w:r>
        <w:rPr>
          <w:rFonts w:ascii="Times New Roman" w:eastAsia="仿宋_GB2312"/>
          <w:b w:val="0"/>
          <w:sz w:val="32"/>
          <w:szCs w:val="32"/>
        </w:rPr>
        <w:t>万元。公车运行维护费支出较预算增加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万元，增长0.0%,主要原因是</w:t>
      </w:r>
      <w:r>
        <w:rPr>
          <w:rFonts w:hint="eastAsia" w:ascii="Times New Roman" w:eastAsia="仿宋_GB2312"/>
          <w:b w:val="0"/>
          <w:sz w:val="32"/>
          <w:szCs w:val="32"/>
          <w:lang w:val="en-US" w:eastAsia="zh-CN"/>
        </w:rPr>
        <w:t>当年没有</w:t>
      </w:r>
      <w:r>
        <w:rPr>
          <w:rFonts w:hint="eastAsia" w:ascii="Times New Roman" w:eastAsia="仿宋_GB2312"/>
          <w:b w:val="0"/>
          <w:sz w:val="32"/>
          <w:szCs w:val="32"/>
        </w:rPr>
        <w:t>发生</w:t>
      </w:r>
      <w:r>
        <w:rPr>
          <w:rFonts w:ascii="Times New Roman" w:eastAsia="仿宋_GB2312"/>
          <w:b w:val="0"/>
          <w:sz w:val="32"/>
          <w:szCs w:val="32"/>
        </w:rPr>
        <w:t>运行维护费</w:t>
      </w:r>
      <w:r>
        <w:rPr>
          <w:rFonts w:hint="eastAsia" w:ascii="Times New Roman" w:eastAsia="仿宋_GB2312"/>
          <w:b w:val="0"/>
          <w:sz w:val="32"/>
          <w:szCs w:val="32"/>
        </w:rPr>
        <w:t>经费支出</w:t>
      </w:r>
      <w:r>
        <w:rPr>
          <w:rFonts w:ascii="Times New Roman" w:eastAsia="仿宋_GB2312"/>
          <w:b w:val="0"/>
          <w:sz w:val="32"/>
          <w:szCs w:val="32"/>
        </w:rPr>
        <w:t>；较上年增加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w:t>
      </w:r>
      <w:r>
        <w:rPr>
          <w:rFonts w:hint="eastAsia" w:ascii="Times New Roman" w:eastAsia="仿宋_GB2312"/>
          <w:b w:val="0"/>
          <w:sz w:val="32"/>
          <w:szCs w:val="32"/>
          <w:lang w:val="en-US" w:eastAsia="zh-CN"/>
        </w:rPr>
        <w:t>加强了公务车辆出行管理，节约了开支</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本部门2024年度公务接待费支出预算为0.04万元，支出决算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万元，完成预算的0.0%。公务接待费支出较预算减少0.04万元，降低100.0%,主要原因是</w:t>
      </w:r>
      <w:r>
        <w:rPr>
          <w:rFonts w:hint="eastAsia" w:ascii="Times New Roman" w:eastAsia="仿宋_GB2312"/>
          <w:b w:val="0"/>
          <w:sz w:val="32"/>
          <w:szCs w:val="32"/>
          <w:lang w:val="en-US" w:eastAsia="zh-CN"/>
        </w:rPr>
        <w:t>2024年度无接待事项，无接待费支出</w:t>
      </w:r>
      <w:r>
        <w:rPr>
          <w:rFonts w:ascii="Times New Roman" w:eastAsia="仿宋_GB2312"/>
          <w:b w:val="0"/>
          <w:sz w:val="32"/>
          <w:szCs w:val="32"/>
        </w:rPr>
        <w:t>；较上年度增加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w:t>
      </w:r>
      <w:r>
        <w:rPr>
          <w:rFonts w:hint="eastAsia" w:ascii="Times New Roman" w:eastAsia="仿宋_GB2312"/>
          <w:b w:val="0"/>
          <w:sz w:val="32"/>
          <w:szCs w:val="32"/>
          <w:lang w:val="en-US" w:eastAsia="zh-CN"/>
        </w:rPr>
        <w:t>2023年度和2024年度均无接待事项，无接待费支出</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本部门2024年度机关运行经费支出22.91万元，较2023年度减少0.71万</w:t>
      </w:r>
      <w:r>
        <w:rPr>
          <w:rFonts w:ascii="Times New Roman" w:eastAsia="仿宋_GB2312"/>
          <w:b w:val="0"/>
          <w:sz w:val="32"/>
          <w:szCs w:val="32"/>
          <w:highlight w:val="none"/>
        </w:rPr>
        <w:t>元，降低3.0%</w:t>
      </w:r>
      <w:r>
        <w:rPr>
          <w:rFonts w:hint="eastAsia" w:ascii="Times New Roman" w:eastAsia="仿宋_GB2312"/>
          <w:b w:val="0"/>
          <w:sz w:val="32"/>
          <w:szCs w:val="32"/>
          <w:highlight w:val="none"/>
          <w:lang w:eastAsia="zh-CN"/>
        </w:rPr>
        <w:t>，</w:t>
      </w:r>
      <w:r>
        <w:rPr>
          <w:rFonts w:ascii="Times New Roman" w:eastAsia="仿宋_GB2312"/>
          <w:b w:val="0"/>
          <w:sz w:val="32"/>
          <w:szCs w:val="32"/>
          <w:highlight w:val="none"/>
        </w:rPr>
        <w:t>主要原因是</w:t>
      </w:r>
      <w:r>
        <w:rPr>
          <w:rFonts w:hint="eastAsia" w:ascii="Times New Roman" w:eastAsia="仿宋_GB2312"/>
          <w:b w:val="0"/>
          <w:sz w:val="32"/>
          <w:szCs w:val="32"/>
          <w:highlight w:val="none"/>
          <w:lang w:eastAsia="zh-CN"/>
        </w:rPr>
        <w:t>正常波动</w:t>
      </w:r>
      <w:r>
        <w:rPr>
          <w:rFonts w:ascii="Times New Roman" w:eastAsia="仿宋_GB2312"/>
          <w:b w:val="0"/>
          <w:sz w:val="32"/>
          <w:szCs w:val="32"/>
          <w:highlight w:val="none"/>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本部门2024年度政府采购支出总额15</w:t>
      </w:r>
      <w:r>
        <w:rPr>
          <w:rFonts w:hint="eastAsia" w:ascii="Times New Roman" w:eastAsia="仿宋_GB2312"/>
          <w:b w:val="0"/>
          <w:sz w:val="32"/>
          <w:szCs w:val="32"/>
          <w:lang w:eastAsia="zh-CN"/>
        </w:rPr>
        <w:t>0</w:t>
      </w:r>
      <w:r>
        <w:rPr>
          <w:rFonts w:ascii="Times New Roman" w:eastAsia="仿宋_GB2312"/>
          <w:b w:val="0"/>
          <w:sz w:val="32"/>
          <w:szCs w:val="32"/>
        </w:rPr>
        <w:t>万元，从采购类型来看，政府采购服务支出15</w:t>
      </w:r>
      <w:r>
        <w:rPr>
          <w:rFonts w:hint="eastAsia" w:ascii="Times New Roman" w:eastAsia="仿宋_GB2312"/>
          <w:b w:val="0"/>
          <w:sz w:val="32"/>
          <w:szCs w:val="32"/>
          <w:lang w:eastAsia="zh-CN"/>
        </w:rPr>
        <w:t>0</w:t>
      </w:r>
      <w:r>
        <w:rPr>
          <w:rFonts w:ascii="Times New Roman" w:eastAsia="仿宋_GB2312"/>
          <w:b w:val="0"/>
          <w:sz w:val="32"/>
          <w:szCs w:val="32"/>
        </w:rPr>
        <w:t>万元。授予中小企业合同金额15</w:t>
      </w:r>
      <w:r>
        <w:rPr>
          <w:rFonts w:hint="eastAsia" w:ascii="Times New Roman" w:eastAsia="仿宋_GB2312"/>
          <w:b w:val="0"/>
          <w:sz w:val="32"/>
          <w:szCs w:val="32"/>
          <w:lang w:eastAsia="zh-CN"/>
        </w:rPr>
        <w:t>0</w:t>
      </w:r>
      <w:r>
        <w:rPr>
          <w:rFonts w:ascii="Times New Roman" w:eastAsia="仿宋_GB2312"/>
          <w:b w:val="0"/>
          <w:sz w:val="32"/>
          <w:szCs w:val="32"/>
        </w:rPr>
        <w:t>万元，占政府采购支出总额的100.0%，其中授予小微企业合同金额15</w:t>
      </w:r>
      <w:r>
        <w:rPr>
          <w:rFonts w:hint="eastAsia" w:ascii="Times New Roman" w:eastAsia="仿宋_GB2312"/>
          <w:b w:val="0"/>
          <w:sz w:val="32"/>
          <w:szCs w:val="32"/>
          <w:lang w:eastAsia="zh-CN"/>
        </w:rPr>
        <w:t>0</w:t>
      </w:r>
      <w:r>
        <w:rPr>
          <w:rFonts w:ascii="Times New Roman" w:eastAsia="仿宋_GB2312"/>
          <w:b w:val="0"/>
          <w:sz w:val="32"/>
          <w:szCs w:val="32"/>
        </w:rPr>
        <w:t>万元，占政府采购支出总额的100.0%。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截至2024年12月31日，本部门共有车辆1辆，比上年增加0辆。其中，特种专业技术用车1辆。单位价值100万元（含）以上设备（不含车辆）0台（套）。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highlight w:val="none"/>
        </w:rPr>
      </w:pPr>
      <w:r>
        <w:rPr>
          <w:rFonts w:ascii="Times New Roman" w:eastAsia="仿宋_GB2312"/>
          <w:b w:val="0"/>
          <w:sz w:val="32"/>
          <w:szCs w:val="32"/>
          <w:highlight w:val="none"/>
        </w:rPr>
        <w:t>根据预算绩效管理要求，本部门组织对2024年度本级预算项目支出全面开展绩效自评，共涉及资金万元（决算金额）。其中，一般公共预算项目</w:t>
      </w:r>
      <w:r>
        <w:rPr>
          <w:rFonts w:hint="eastAsia" w:ascii="Times New Roman" w:eastAsia="仿宋_GB2312"/>
          <w:b w:val="0"/>
          <w:sz w:val="32"/>
          <w:szCs w:val="32"/>
          <w:highlight w:val="none"/>
          <w:lang w:val="en-US" w:eastAsia="zh-CN"/>
        </w:rPr>
        <w:t>8</w:t>
      </w:r>
      <w:r>
        <w:rPr>
          <w:rFonts w:ascii="Times New Roman" w:eastAsia="仿宋_GB2312"/>
          <w:b w:val="0"/>
          <w:sz w:val="32"/>
          <w:szCs w:val="32"/>
          <w:highlight w:val="none"/>
        </w:rPr>
        <w:t>个，涉及资金</w:t>
      </w:r>
      <w:r>
        <w:rPr>
          <w:rFonts w:hint="eastAsia" w:ascii="Times New Roman" w:eastAsia="仿宋_GB2312"/>
          <w:b w:val="0"/>
          <w:sz w:val="32"/>
          <w:szCs w:val="32"/>
          <w:highlight w:val="none"/>
          <w:lang w:val="en-US" w:eastAsia="zh-CN"/>
        </w:rPr>
        <w:t>26.44</w:t>
      </w:r>
      <w:r>
        <w:rPr>
          <w:rFonts w:ascii="Times New Roman" w:eastAsia="仿宋_GB2312"/>
          <w:b w:val="0"/>
          <w:sz w:val="32"/>
          <w:szCs w:val="32"/>
          <w:highlight w:val="none"/>
        </w:rPr>
        <w:t>万元，占一般公共预算项目支出总额的</w:t>
      </w:r>
      <w:r>
        <w:rPr>
          <w:rFonts w:hint="eastAsia" w:ascii="Times New Roman" w:eastAsia="仿宋_GB2312"/>
          <w:b w:val="0"/>
          <w:sz w:val="32"/>
          <w:szCs w:val="32"/>
          <w:highlight w:val="none"/>
          <w:lang w:val="en-US" w:eastAsia="zh-CN"/>
        </w:rPr>
        <w:t>100</w:t>
      </w:r>
      <w:r>
        <w:rPr>
          <w:rFonts w:ascii="Times New Roman" w:eastAsia="仿宋_GB2312"/>
          <w:b w:val="0"/>
          <w:sz w:val="32"/>
          <w:szCs w:val="32"/>
          <w:highlight w:val="none"/>
        </w:rPr>
        <w:t>%；政府性基金预算项目</w:t>
      </w:r>
      <w:r>
        <w:rPr>
          <w:rFonts w:hint="eastAsia" w:ascii="Times New Roman" w:eastAsia="仿宋_GB2312"/>
          <w:b w:val="0"/>
          <w:sz w:val="32"/>
          <w:szCs w:val="32"/>
          <w:highlight w:val="none"/>
          <w:lang w:val="en-US" w:eastAsia="zh-CN"/>
        </w:rPr>
        <w:t>13</w:t>
      </w:r>
      <w:r>
        <w:rPr>
          <w:rFonts w:ascii="Times New Roman" w:eastAsia="仿宋_GB2312"/>
          <w:b w:val="0"/>
          <w:sz w:val="32"/>
          <w:szCs w:val="32"/>
          <w:highlight w:val="none"/>
        </w:rPr>
        <w:t>个，涉及资金</w:t>
      </w:r>
      <w:r>
        <w:rPr>
          <w:rFonts w:hint="eastAsia" w:ascii="Times New Roman" w:eastAsia="仿宋_GB2312"/>
          <w:b w:val="0"/>
          <w:sz w:val="32"/>
          <w:szCs w:val="32"/>
          <w:highlight w:val="none"/>
          <w:lang w:val="en-US" w:eastAsia="zh-CN"/>
        </w:rPr>
        <w:t>177809.55</w:t>
      </w:r>
      <w:r>
        <w:rPr>
          <w:rFonts w:ascii="Times New Roman" w:eastAsia="仿宋_GB2312"/>
          <w:b w:val="0"/>
          <w:sz w:val="32"/>
          <w:szCs w:val="32"/>
          <w:highlight w:val="none"/>
        </w:rPr>
        <w:t>万元，占政府性基金预算项目支出总额的</w:t>
      </w:r>
      <w:r>
        <w:rPr>
          <w:rFonts w:hint="eastAsia" w:ascii="Times New Roman" w:eastAsia="仿宋_GB2312"/>
          <w:b w:val="0"/>
          <w:sz w:val="32"/>
          <w:szCs w:val="32"/>
          <w:highlight w:val="none"/>
          <w:lang w:val="en-US" w:eastAsia="zh-CN"/>
        </w:rPr>
        <w:t>100</w:t>
      </w:r>
      <w:r>
        <w:rPr>
          <w:rFonts w:ascii="Times New Roman" w:eastAsia="仿宋_GB2312"/>
          <w:b w:val="0"/>
          <w:sz w:val="32"/>
          <w:szCs w:val="32"/>
          <w:highlight w:val="none"/>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本部门认真开展了预算绩效管理改革开展情况自查，对部门全面规范绩效预算编制、严格预算执行管理、推进绩效评价工作、推进预决算信息公开等方面进行了自评，通过绩效评价与年初绩效目标设定质量情况对比倒查，评价结果为优秀。但尚有提升空间，以后将在以下几方面继续努力：</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第一，加强预算管理。进一步加强预算资金管理，对预算的事前、事中、事后进行全过程控制，加大对预算编制与执行的监督管理力度，提高预算资金使用效率。同时，提高单位人员对预算资金使用效益的认识，把预算资金是否发挥使用效益与各岗位是否履职尽责相结合，充分发挥财政资金的效益。</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第二，强化绩效管理。不断完善制度建设，规范内部管理，坚持建章立制。进一步明确工作职责和岗位标准，不断加强制度建设，进一步建立健全各项规章制度及规范性文件，以制度化促进业务规范化。</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yellow"/>
        </w:rPr>
      </w:pPr>
      <w:r>
        <w:rPr>
          <w:rFonts w:hint="eastAsia" w:ascii="Times New Roman" w:eastAsia="仿宋_GB2312"/>
          <w:b w:val="0"/>
          <w:sz w:val="32"/>
          <w:szCs w:val="32"/>
          <w:highlight w:val="none"/>
        </w:rPr>
        <w:t>第三，重视绩效评价。切实发挥绩效评价结果应用的作用，进一步完善预算项目绩效指标，从实际情况出发，综合考虑，增强指标的可评性，提高财政支出产生的社会效益和经济效益。积极把绩效评价应用与实际工作中，总结经验和教训，强化财政资金管理水平、优化财政支出结构、提高财政资金使用效益，在更高层次上实现财政资源配置的公平性和合理性。</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36F12B1D-868E-4542-A221-76C2B420A18D}"/>
  </w:font>
  <w:font w:name="黑体">
    <w:panose1 w:val="02010609060101010101"/>
    <w:charset w:val="86"/>
    <w:family w:val="auto"/>
    <w:pitch w:val="default"/>
    <w:sig w:usb0="800002BF" w:usb1="38CF7CFA" w:usb2="00000016" w:usb3="00000000" w:csb0="00040001" w:csb1="00000000"/>
    <w:embedRegular r:id="rId2" w:fontKey="{AEE72A53-FEEC-49B9-8FA0-41E9C191497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70C449C7-8A15-4243-8D2A-2C27B0B06C41}"/>
  </w:font>
  <w:font w:name="仿宋">
    <w:panose1 w:val="02010609060101010101"/>
    <w:charset w:val="86"/>
    <w:family w:val="modern"/>
    <w:pitch w:val="default"/>
    <w:sig w:usb0="800002BF" w:usb1="38CF7CFA" w:usb2="00000016" w:usb3="00000000" w:csb0="00040001" w:csb1="00000000"/>
    <w:embedRegular r:id="rId4" w:fontKey="{EF2D6983-7211-452B-9600-611F9DD46E1B}"/>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0" w:usb1="00000000" w:usb2="00000000" w:usb3="00000000" w:csb0="00000000" w:csb1="00000000"/>
    <w:embedRegular r:id="rId5" w:fontKey="{E52217D1-A759-4C36-BB98-72B397D8F1F2}"/>
  </w:font>
  <w:font w:name="方正小标宋_GBK">
    <w:panose1 w:val="02000000000000000000"/>
    <w:charset w:val="86"/>
    <w:family w:val="script"/>
    <w:pitch w:val="default"/>
    <w:sig w:usb0="00000000" w:usb1="00000000" w:usb2="00000000" w:usb3="00000000" w:csb0="00000000" w:csb1="00000000"/>
    <w:embedRegular r:id="rId6" w:fontKey="{6395B8B8-2DC0-4C56-927E-A9497171A2A6}"/>
  </w:font>
  <w:font w:name="仿宋_GB2312">
    <w:panose1 w:val="02010609030101010101"/>
    <w:charset w:val="86"/>
    <w:family w:val="auto"/>
    <w:pitch w:val="default"/>
    <w:sig w:usb0="00000000" w:usb1="00000000" w:usb2="00000000" w:usb3="00000000" w:csb0="00000000" w:csb1="00000000"/>
    <w:embedRegular r:id="rId7" w:fontKey="{6DB72F81-E8F8-4BAE-80D8-DCE49971B453}"/>
  </w:font>
  <w:font w:name="ArialUnicodeMS">
    <w:altName w:val="Malgun Gothic"/>
    <w:panose1 w:val="00000000000000000000"/>
    <w:charset w:val="81"/>
    <w:family w:val="auto"/>
    <w:pitch w:val="default"/>
    <w:sig w:usb0="00000000" w:usb1="00000000" w:usb2="00000010" w:usb3="00000000" w:csb0="00080001" w:csb1="00000000"/>
    <w:embedRegular r:id="rId8" w:fontKey="{3E70AA2D-96A2-44B2-B640-66444F25EF9C}"/>
  </w:font>
  <w:font w:name="方正仿宋_GB2312">
    <w:panose1 w:val="02000000000000000000"/>
    <w:charset w:val="86"/>
    <w:family w:val="auto"/>
    <w:pitch w:val="default"/>
    <w:sig w:usb0="00000000" w:usb1="00000000" w:usb2="00000000" w:usb3="00000000" w:csb0="00000000" w:csb1="00000000"/>
    <w:embedRegular r:id="rId9" w:fontKey="{0F3BBD94-E95D-48FD-910B-1DA5001B9AC8}"/>
  </w:font>
  <w:font w:name="DengXian-Regular">
    <w:altName w:val="宋体"/>
    <w:panose1 w:val="00000000000000000000"/>
    <w:charset w:val="86"/>
    <w:family w:val="auto"/>
    <w:pitch w:val="default"/>
    <w:sig w:usb0="00000000" w:usb1="00000000" w:usb2="00000010" w:usb3="00000000" w:csb0="00040001" w:csb1="00000000"/>
    <w:embedRegular r:id="rId10" w:fontKey="{0AB21779-F756-4FB7-A100-5051FE2DD8F1}"/>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
    <w:nsid w:val="777A29CF"/>
    <w:multiLevelType w:val="singleLevel"/>
    <w:tmpl w:val="777A29CF"/>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32433B"/>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A74F04"/>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9E287C"/>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773CB5"/>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D101BC"/>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6D0888"/>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B07B03"/>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6FC87D72"/>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329179.96</c:v>
                </c:pt>
                <c:pt idx="1">
                  <c:v>335022.48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283884901567798"/>
                  <c:y val="-0.10093497662558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delete val="1"/>
            </c:dLbl>
            <c:dLbl>
              <c:idx val="2"/>
              <c:delete val="1"/>
            </c:dLbl>
            <c:dLbl>
              <c:idx val="3"/>
              <c:delete val="1"/>
            </c:dLbl>
            <c:dLbl>
              <c:idx val="4"/>
              <c:delete val="1"/>
            </c:dLbl>
            <c:dLbl>
              <c:idx val="5"/>
              <c:delete val="1"/>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3350224758.66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delete val="1"/>
            </c:dLbl>
            <c:dLbl>
              <c:idx val="1"/>
              <c:layout>
                <c:manualLayout>
                  <c:x val="0.201623580575018"/>
                  <c:y val="-0.08244793880152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delete val="1"/>
            </c:dLbl>
            <c:dLbl>
              <c:idx val="3"/>
              <c:delete val="1"/>
            </c:dLbl>
            <c:dLbl>
              <c:idx val="4"/>
              <c:delete val="1"/>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229134</c:v>
                </c:pt>
                <c:pt idx="1">
                  <c:v>3349995624.66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329179.96</c:v>
                </c:pt>
                <c:pt idx="1">
                  <c:v>329179.96</c:v>
                </c:pt>
                <c:pt idx="2">
                  <c:v>159479.59</c:v>
                </c:pt>
                <c:pt idx="3">
                  <c:v>159479.59</c:v>
                </c:pt>
                <c:pt idx="4">
                  <c:v>169700.37</c:v>
                </c:pt>
                <c:pt idx="5">
                  <c:v>169700.37</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335022.48</c:v>
                </c:pt>
                <c:pt idx="1">
                  <c:v>335022.48</c:v>
                </c:pt>
                <c:pt idx="2">
                  <c:v>245080.44</c:v>
                </c:pt>
                <c:pt idx="3">
                  <c:v>245080.44</c:v>
                </c:pt>
                <c:pt idx="4">
                  <c:v>89942.03</c:v>
                </c:pt>
                <c:pt idx="5">
                  <c:v>89942.03</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400636.19</c:v>
                </c:pt>
                <c:pt idx="1">
                  <c:v>400636.19</c:v>
                </c:pt>
                <c:pt idx="2">
                  <c:v>228177.03</c:v>
                </c:pt>
                <c:pt idx="3">
                  <c:v>228177.03</c:v>
                </c:pt>
                <c:pt idx="4">
                  <c:v>172459.16</c:v>
                </c:pt>
                <c:pt idx="5">
                  <c:v>172459.16</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335022.48</c:v>
                </c:pt>
                <c:pt idx="1">
                  <c:v>335022.48</c:v>
                </c:pt>
                <c:pt idx="2">
                  <c:v>245080.44</c:v>
                </c:pt>
                <c:pt idx="3">
                  <c:v>245080.44</c:v>
                </c:pt>
                <c:pt idx="4">
                  <c:v>89942.03</c:v>
                </c:pt>
                <c:pt idx="5">
                  <c:v>89942.03</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dLbl>
              <c:idx val="19"/>
              <c:delete val="1"/>
            </c:dLbl>
            <c:dLbl>
              <c:idx val="20"/>
              <c:delete val="1"/>
            </c:dLbl>
            <c:dLbl>
              <c:idx val="21"/>
              <c:delete val="1"/>
            </c:dLbl>
            <c:dLbl>
              <c:idx val="22"/>
              <c:delete val="1"/>
            </c:dLbl>
            <c:dLbl>
              <c:idx val="23"/>
              <c:delete val="1"/>
            </c:dLbl>
            <c:dLbl>
              <c:idx val="24"/>
              <c:delete val="1"/>
            </c:dLbl>
            <c:dLbl>
              <c:idx val="25"/>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226.44</c:v>
                </c:pt>
                <c:pt idx="1">
                  <c:v>0</c:v>
                </c:pt>
                <c:pt idx="2">
                  <c:v>0</c:v>
                </c:pt>
                <c:pt idx="3">
                  <c:v>0</c:v>
                </c:pt>
                <c:pt idx="4">
                  <c:v>0</c:v>
                </c:pt>
                <c:pt idx="5">
                  <c:v>0</c:v>
                </c:pt>
                <c:pt idx="6">
                  <c:v>0</c:v>
                </c:pt>
                <c:pt idx="7">
                  <c:v>0</c:v>
                </c:pt>
                <c:pt idx="8">
                  <c:v>0</c:v>
                </c:pt>
                <c:pt idx="9">
                  <c:v>0</c:v>
                </c:pt>
                <c:pt idx="10">
                  <c:v>63807.07</c:v>
                </c:pt>
                <c:pt idx="11">
                  <c:v>38.1</c:v>
                </c:pt>
                <c:pt idx="12">
                  <c:v>0</c:v>
                </c:pt>
                <c:pt idx="13">
                  <c:v>0</c:v>
                </c:pt>
                <c:pt idx="14">
                  <c:v>0</c:v>
                </c:pt>
                <c:pt idx="15">
                  <c:v>0</c:v>
                </c:pt>
                <c:pt idx="16">
                  <c:v>0</c:v>
                </c:pt>
                <c:pt idx="17">
                  <c:v>77.05</c:v>
                </c:pt>
                <c:pt idx="18">
                  <c:v>0</c:v>
                </c:pt>
                <c:pt idx="19">
                  <c:v>0</c:v>
                </c:pt>
                <c:pt idx="20">
                  <c:v>0</c:v>
                </c:pt>
                <c:pt idx="21">
                  <c:v>98.57</c:v>
                </c:pt>
                <c:pt idx="22">
                  <c:v>239962.74</c:v>
                </c:pt>
                <c:pt idx="23">
                  <c:v>0</c:v>
                </c:pt>
                <c:pt idx="24">
                  <c:v>30812.51</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39</Pages>
  <Words>1989</Words>
  <Characters>2101</Characters>
  <Lines>86</Lines>
  <Paragraphs>24</Paragraphs>
  <TotalTime>2</TotalTime>
  <ScaleCrop>false</ScaleCrop>
  <LinksUpToDate>false</LinksUpToDate>
  <CharactersWithSpaces>2124</CharactersWithSpaces>
  <Application>WPS Office_11.1.0.8840_F1E327BC-269C-435d-A152-05C5408002CA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2025-11-12T07:45:37Z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2052-11.1.0.8840</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eyJoZGlkIjoiNjRlYTIyMTA2NThjZDMzN2VlYWVmMGVlMmRiMTRhOTMiLCJ1c2VySWQiOiIyNzYyNDcwODQifQ==</vt:lpwstr>
  </property>
</Properties>
</file>