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2E83FE">
      <w:pPr>
        <w:pStyle w:val="3"/>
        <w:bidi w:val="0"/>
        <w:rPr>
          <w:rFonts w:hint="eastAsia"/>
        </w:rPr>
      </w:pPr>
      <w:r>
        <w:rPr>
          <w:rFonts w:hint="eastAsia"/>
        </w:rPr>
        <w:t>附件</w:t>
      </w:r>
      <w:r>
        <w:rPr>
          <w:rFonts w:hint="eastAsia"/>
          <w:lang w:val="en-US" w:eastAsia="zh-CN"/>
        </w:rPr>
        <w:t>5</w:t>
      </w:r>
    </w:p>
    <w:p w14:paraId="2E6C61D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55CC03A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政协正定县委员会</w:t>
      </w:r>
    </w:p>
    <w:p w14:paraId="20073CA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17C780B9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1C65CD9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</w:t>
      </w:r>
    </w:p>
    <w:p w14:paraId="62DBFB62">
      <w:pPr>
        <w:spacing w:line="560" w:lineRule="exact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政协正定县委员会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0562690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56D5428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部门概况</w:t>
      </w:r>
    </w:p>
    <w:p w14:paraId="632EF2C3">
      <w:pPr>
        <w:spacing w:line="560" w:lineRule="exact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1、部门职能</w:t>
      </w:r>
    </w:p>
    <w:p w14:paraId="7EE9F92C">
      <w:pPr>
        <w:spacing w:line="560" w:lineRule="exact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根据《政协正定县委员会职能配置、内设机构和人员编制规定》， 政协正定县委员会的主要职责是：</w:t>
      </w:r>
    </w:p>
    <w:p w14:paraId="59B7328B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</w:t>
      </w:r>
      <w:r>
        <w:rPr>
          <w:rFonts w:hint="eastAsia" w:ascii="仿宋" w:hAnsi="仿宋" w:eastAsia="仿宋" w:cs="仿宋"/>
          <w:sz w:val="32"/>
          <w:szCs w:val="32"/>
        </w:rPr>
        <w:t>对县委和政府的大政方针和重要决策进行协商;对政策、法规的实施、国家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</w:t>
      </w:r>
      <w:r>
        <w:rPr>
          <w:rFonts w:hint="eastAsia" w:ascii="仿宋" w:hAnsi="仿宋" w:eastAsia="仿宋" w:cs="仿宋"/>
          <w:sz w:val="32"/>
          <w:szCs w:val="32"/>
        </w:rPr>
        <w:t>关及其工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作人员的工作进行民主监督;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组织</w:t>
      </w:r>
      <w:r>
        <w:rPr>
          <w:rFonts w:hint="eastAsia" w:ascii="仿宋" w:hAnsi="仿宋" w:eastAsia="仿宋" w:cs="仿宋"/>
          <w:sz w:val="32"/>
          <w:szCs w:val="32"/>
        </w:rPr>
        <w:t>委员及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各界人</w:t>
      </w:r>
      <w:r>
        <w:rPr>
          <w:rFonts w:hint="eastAsia" w:ascii="仿宋" w:hAnsi="仿宋" w:eastAsia="仿宋" w:cs="仿宋"/>
          <w:sz w:val="32"/>
          <w:szCs w:val="32"/>
        </w:rPr>
        <w:t>士参政议政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312FB9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、宣传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和贯</w:t>
      </w:r>
      <w:r>
        <w:rPr>
          <w:rFonts w:hint="eastAsia" w:ascii="仿宋" w:hAnsi="仿宋" w:eastAsia="仿宋" w:cs="仿宋"/>
          <w:sz w:val="32"/>
          <w:szCs w:val="32"/>
        </w:rPr>
        <w:t>彻执行国家的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宪法</w:t>
      </w:r>
      <w:r>
        <w:rPr>
          <w:rFonts w:hint="eastAsia" w:ascii="仿宋" w:hAnsi="仿宋" w:eastAsia="仿宋" w:cs="仿宋"/>
          <w:sz w:val="32"/>
          <w:szCs w:val="32"/>
        </w:rPr>
        <w:t>、法律和各项方针、政策，推动社会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力</w:t>
      </w:r>
      <w:r>
        <w:rPr>
          <w:rFonts w:hint="eastAsia" w:ascii="仿宋" w:hAnsi="仿宋" w:eastAsia="仿宋" w:cs="仿宋"/>
          <w:sz w:val="32"/>
          <w:szCs w:val="32"/>
        </w:rPr>
        <w:t>量积极参加两个文明建设。</w:t>
      </w:r>
    </w:p>
    <w:p w14:paraId="7CE8141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、密切联系各方面人士，反映社情民意，协助国家机关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改</w:t>
      </w:r>
      <w:r>
        <w:rPr>
          <w:rFonts w:hint="eastAsia" w:ascii="仿宋" w:hAnsi="仿宋" w:eastAsia="仿宋" w:cs="仿宋"/>
          <w:sz w:val="32"/>
          <w:szCs w:val="32"/>
        </w:rPr>
        <w:t>进工作。</w:t>
      </w:r>
    </w:p>
    <w:p w14:paraId="483737F5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组织委员视察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参观和调查，通过建议案、提案和其他形式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向国</w:t>
      </w:r>
      <w:r>
        <w:rPr>
          <w:rFonts w:hint="eastAsia" w:ascii="仿宋" w:hAnsi="仿宋" w:eastAsia="仿宋" w:cs="仿宋"/>
          <w:sz w:val="32"/>
          <w:szCs w:val="32"/>
        </w:rPr>
        <w:t>家机关和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其</w:t>
      </w:r>
      <w:r>
        <w:rPr>
          <w:rFonts w:hint="eastAsia" w:ascii="仿宋" w:hAnsi="仿宋" w:eastAsia="仿宋" w:cs="仿宋"/>
          <w:sz w:val="32"/>
          <w:szCs w:val="32"/>
        </w:rPr>
        <w:t>他有关组织提出建议和批评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474DD830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组织和推动委员进行理论、业务和科技知识等方面的学习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2CCC9A99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宣传和参与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贯彻</w:t>
      </w:r>
      <w:r>
        <w:rPr>
          <w:rFonts w:hint="eastAsia" w:ascii="仿宋" w:hAnsi="仿宋" w:eastAsia="仿宋" w:cs="仿宋"/>
          <w:sz w:val="32"/>
          <w:szCs w:val="32"/>
        </w:rPr>
        <w:t>执行“一国两制，和平统一”的方针、政策，积极开展同“三胞”的联系。</w:t>
      </w:r>
    </w:p>
    <w:p w14:paraId="54FC222B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宣传和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助贯</w:t>
      </w:r>
      <w:r>
        <w:rPr>
          <w:rFonts w:hint="eastAsia" w:ascii="仿宋" w:hAnsi="仿宋" w:eastAsia="仿宋" w:cs="仿宋"/>
          <w:sz w:val="32"/>
          <w:szCs w:val="32"/>
        </w:rPr>
        <w:t>彻执行党的知识分子政策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36B5CB6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八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宣传和协助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贯彻</w:t>
      </w:r>
      <w:r>
        <w:rPr>
          <w:rFonts w:hint="eastAsia" w:ascii="仿宋" w:hAnsi="仿宋" w:eastAsia="仿宋" w:cs="仿宋"/>
          <w:sz w:val="32"/>
          <w:szCs w:val="32"/>
        </w:rPr>
        <w:t>执行国家的民族、宗教和侨务政策。</w:t>
      </w:r>
    </w:p>
    <w:p w14:paraId="70861645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调整和处理统一战线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内部</w:t>
      </w:r>
      <w:r>
        <w:rPr>
          <w:rFonts w:hint="eastAsia" w:ascii="仿宋" w:hAnsi="仿宋" w:eastAsia="仿宋" w:cs="仿宋"/>
          <w:sz w:val="32"/>
          <w:szCs w:val="32"/>
        </w:rPr>
        <w:t>的关系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53D2DAE">
      <w:pPr>
        <w:widowControl/>
        <w:spacing w:line="580" w:lineRule="exact"/>
        <w:ind w:firstLine="640" w:firstLineChars="200"/>
        <w:rPr>
          <w:rFonts w:ascii="仿宋_GB2312" w:hAnsi="Cambria" w:eastAsia="仿宋_GB2312" w:cs="Arial Black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根据统一战线组织的特点进行关于中国近代史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现代史资料的征集、研究和出版工作。</w:t>
      </w:r>
    </w:p>
    <w:p w14:paraId="1DEA1DB1">
      <w:pPr>
        <w:pStyle w:val="9"/>
        <w:widowControl/>
        <w:wordWrap/>
        <w:autoSpaceDN w:val="0"/>
        <w:adjustRightInd/>
        <w:spacing w:before="0" w:after="0" w:line="336" w:lineRule="auto"/>
        <w:ind w:left="0" w:leftChars="0" w:firstLine="640" w:firstLineChars="200"/>
        <w:outlineLvl w:val="9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2．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机构情况。</w:t>
      </w:r>
    </w:p>
    <w:p w14:paraId="6D732331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根据上述职责，正定县政协设5个内设机构：办公室、经科委、提案委、文史委、农业农村委。</w:t>
      </w:r>
    </w:p>
    <w:p w14:paraId="43AA409A">
      <w:pPr>
        <w:numPr>
          <w:ilvl w:val="0"/>
          <w:numId w:val="2"/>
        </w:num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人员情况。</w:t>
      </w:r>
    </w:p>
    <w:p w14:paraId="6D2A30C6">
      <w:pPr>
        <w:pStyle w:val="9"/>
        <w:widowControl/>
        <w:wordWrap/>
        <w:autoSpaceDN w:val="0"/>
        <w:adjustRightInd/>
        <w:spacing w:before="0" w:after="0" w:line="336" w:lineRule="auto"/>
        <w:ind w:left="0" w:leftChars="0" w:firstLine="640" w:firstLineChars="200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年初在职人员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19人，本年退休2人，调入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增加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3人，年末实有在职人员20人。</w:t>
      </w:r>
    </w:p>
    <w:p w14:paraId="6CF6D02E">
      <w:pPr>
        <w:pStyle w:val="9"/>
        <w:widowControl/>
        <w:wordWrap/>
        <w:autoSpaceDN w:val="0"/>
        <w:adjustRightInd/>
        <w:spacing w:before="0" w:after="0" w:line="336" w:lineRule="auto"/>
        <w:ind w:left="0" w:leftChars="0" w:firstLine="640" w:firstLineChars="200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4、资产基本情况</w:t>
      </w:r>
    </w:p>
    <w:p w14:paraId="04AF7DFF">
      <w:pPr>
        <w:spacing w:line="560" w:lineRule="exact"/>
        <w:ind w:firstLine="640" w:firstLineChars="200"/>
        <w:jc w:val="center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我单位2023</w:t>
      </w:r>
      <w:r>
        <w:rPr>
          <w:rFonts w:hint="eastAsia" w:ascii="仿宋" w:hAnsi="仿宋" w:eastAsia="仿宋"/>
          <w:color w:val="000000"/>
          <w:sz w:val="32"/>
          <w:szCs w:val="32"/>
        </w:rPr>
        <w:t>年年末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资产总计14.29万元，流动资产1.40万元，</w:t>
      </w:r>
      <w:r>
        <w:rPr>
          <w:rFonts w:hint="eastAsia" w:ascii="仿宋" w:hAnsi="仿宋" w:eastAsia="仿宋"/>
          <w:color w:val="000000"/>
          <w:sz w:val="32"/>
          <w:szCs w:val="32"/>
        </w:rPr>
        <w:t>固定资产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净值12.89</w:t>
      </w:r>
      <w:r>
        <w:rPr>
          <w:rFonts w:hint="eastAsia" w:ascii="仿宋" w:hAnsi="仿宋" w:eastAsia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应急保障用车4</w:t>
      </w:r>
      <w:r>
        <w:rPr>
          <w:rFonts w:hint="eastAsia" w:ascii="仿宋" w:hAnsi="仿宋" w:eastAsia="仿宋"/>
          <w:color w:val="000000"/>
          <w:sz w:val="32"/>
          <w:szCs w:val="32"/>
        </w:rPr>
        <w:t>辆，金额为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0.87</w:t>
      </w:r>
    </w:p>
    <w:p w14:paraId="27A71EFE">
      <w:pPr>
        <w:spacing w:line="560" w:lineRule="exact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万元,其他通用及专用设备金额为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10.02</w:t>
      </w:r>
      <w:r>
        <w:rPr>
          <w:rFonts w:hint="eastAsia" w:ascii="仿宋" w:hAnsi="仿宋" w:eastAsia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图书2万元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。资产管理规范，有资产管理内部管理制度;不存在未按内部管理制度和相关资产管理规定执行;出租、出借、处置国有资产规范，相关收入按规定及时足额上缴;资产账与财务账相符。</w:t>
      </w:r>
    </w:p>
    <w:p w14:paraId="5C1C312D"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53BD7DF2">
      <w:pPr>
        <w:spacing w:line="560" w:lineRule="exact"/>
        <w:ind w:firstLine="640" w:firstLineChars="200"/>
        <w:jc w:val="center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2023年政协正定县委员会预算收入590.90万元，其中：一般公共预算收入590.90万元，政府性基金预算收入0万元，财政专户核拨收入0万元，其他来源收入0万元。2023年部门支出预算支出为590.90万元，其中基本支出476.05万元，项目支出114.85万元；项目支出主要包括：政协全会经费30万元，政协委员活动经费3.27万元，省文史重点联系县经费2.6万元，</w:t>
      </w:r>
    </w:p>
    <w:p w14:paraId="69FB8F40">
      <w:pPr>
        <w:spacing w:line="560" w:lineRule="exact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人民政协报订阅经费17.82万元，退休人员统筹外待遇 10.45</w:t>
      </w:r>
    </w:p>
    <w:p w14:paraId="271A897F">
      <w:pPr>
        <w:spacing w:line="560" w:lineRule="exact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万元，退休去世人员丧葬费50.71万元。</w:t>
      </w:r>
    </w:p>
    <w:p w14:paraId="21901E13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2023年决算收入590.90万元，其中：一般公共预算收入590.90万元，政府性基金预算收入0万元，财政专户核拨收入0万元，其他来源收入0万元。2023年部门支出决算为590.90万元，其中基，政协委员活动经费3.27万元，省文史重点联系县经费2.6万元，人民政协报订阅经费17.82万元，退休人员统筹外待遇 10.45万元，退休去世人员丧葬费50.71万元。</w:t>
      </w:r>
    </w:p>
    <w:p w14:paraId="66ECB796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p w14:paraId="1A3588F7">
      <w:pPr>
        <w:pStyle w:val="10"/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  <w:t>政协正定县委员会在中共正定县委的正确领导下，深入学习贯彻习近平新时代中国特色社会主义思想，广泛凝聚政协各参加单位、全体委员、社会各界人士的智慧和力量，牢牢把握团结和民主两大主题，扎实履行政治协商、民主监督、参政议政职能，鼓足干劲，乘势而上，砥砺前进，奋发作为，切实推进政协工作创新，为加快建设富裕美丽正定作出新的更大贡献。</w:t>
      </w:r>
    </w:p>
    <w:p w14:paraId="68F5268B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5084E3DC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24B8BDB4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根据正定县财政局《正定县财政局关于开展2024年绩效自评工作的通知》安排，我单位高度重视，专门成立绩效评价工作领导小组，研究吃透此次绩效自评的工作任务、工作纪律和评价方法，确定评价指标和标准，对政协全会经费使用全过程及其支出的合规性、经济性、效率性和效益性进行客观公正评价，旨在突出成效，强化监督，保证资金的精准性、安全性、规范性和有效性。</w:t>
      </w:r>
    </w:p>
    <w:p w14:paraId="65032362">
      <w:pPr>
        <w:numPr>
          <w:ilvl w:val="0"/>
          <w:numId w:val="5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504993A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绩效自评的方法。建立动态监控机制，时时跟进工作进展及经费的资金拨付情况，及时开展绩效自评，确保工作质量，提高资金使用效益。</w:t>
      </w:r>
    </w:p>
    <w:p w14:paraId="5EE36D27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绩效自评的过程。（1）前期准备。根据正定县财政局《正定县财政局关于开展2024年绩效自评工作的通知》要求，周密部署2023年财政专项资金绩效评价工作，制定了《2023年政协全会项目工作绩效评价工作实施方案》，明确绩效评价的内容和范围；研究制定了评价指标体系，并积极收集相关项目管理制度、资金使用及效果等相关资料，为实施评价工作奠定了基础。（2）组织实施。核实项目资金来源；根据收集的数据、资料进行核对、比较、计算，对项目的实施进行评分。（3）撰写绩效评价报告。对绩效评价情况进行整理、分析，综合评价政协全会工作取得的成效，完成我单位绩效评价报告的撰写工作。</w:t>
      </w:r>
    </w:p>
    <w:p w14:paraId="60AABEFC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3F4226B">
      <w:pPr>
        <w:numPr>
          <w:ilvl w:val="0"/>
          <w:numId w:val="6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22D2115">
      <w:pPr>
        <w:ind w:firstLine="640" w:firstLineChars="200"/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  <w:t>我单位能够按照年初制定绩效目标要求，依据单位职责，依法有效地使用财政资金，提高财政资金使用效率，在完成单位职能目标中合理分配人、财、物，使之达到高的使用效率和实施效果，圆满完成年初制定的绩效目标任务。</w:t>
      </w:r>
    </w:p>
    <w:p w14:paraId="55E4CB3F">
      <w:p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569A231">
      <w:pPr>
        <w:numPr>
          <w:ilvl w:val="0"/>
          <w:numId w:val="7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预算执行情况</w:t>
      </w:r>
    </w:p>
    <w:p w14:paraId="2D6708C7">
      <w:pPr>
        <w:widowControl w:val="0"/>
        <w:wordWrap/>
        <w:adjustRightInd/>
        <w:snapToGrid/>
        <w:spacing w:line="360" w:lineRule="auto"/>
        <w:ind w:firstLine="64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政协委员活动项目、第十六届二次全会项目、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2022年度人民政协报订阅项目、2023年度人民政协报订阅项目、省文史工作重点联系县项目，均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于2023年1月实施并于2023年12月完成。县政协高度重视成立了项目工作领导小组，明确了合理的项目绩效目标、绩效指标。</w:t>
      </w:r>
    </w:p>
    <w:p w14:paraId="758FA77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项目资金由县财政拨付给我单位，2023年度各项目资金到位率和绩效指标完成等情况良好，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预算执行率100%，满分10分，根据预算执行率指标体系评分标准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各项目得分均为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10分。</w:t>
      </w:r>
    </w:p>
    <w:p w14:paraId="40933756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（二）项目产出</w:t>
      </w:r>
    </w:p>
    <w:p w14:paraId="1B3F74C7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协委员活动经费项目产出指标满分40分，根据产出指标体系评分标准计算得分40分。其中：政协委员视察完成情况100%，满分10分，得分10分；圆满完成政协委员视察、调研、协商工作，完成率100%，满分10分，得分10分；该项目本着节约成本，经费未超出本年预算，满分10分，得分10分；该项目工作按时完成100%，满分10分，得分10分。</w:t>
      </w:r>
    </w:p>
    <w:p w14:paraId="1BC78318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第十六届二次全会项目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出指标满分40分，根据产出指标体系评分标准计算得分40分。其中：会议筹备及会务工作完成率100%，满分10分，得分10分；会议圆满完成率较好，满分10分，得分10分；会议按时完成，满分10分，得分10分；会议经费到位率100%，满分10分，得分10分。</w:t>
      </w:r>
    </w:p>
    <w:p w14:paraId="64F79402">
      <w:pPr>
        <w:pStyle w:val="2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度人民政协报订阅项目产出指标满分40分，根据产出指标体系评分标准计算得分39.8分。其中：订阅完成率100%，满分10分，得分10分；发放到位情况良好，满分10分，得分10分；及时送达情况良好，满分10分，得分9.8分；经费到位率100%，满分10分，得分10分。</w:t>
      </w:r>
    </w:p>
    <w:p w14:paraId="7D6CEA12">
      <w:pPr>
        <w:pStyle w:val="2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度人民政协报订阅项目产出指标满分40分，根据产出指标体系评分标准计算得分39.8分。其中：订阅完成率100%，满分10分，得分10分；发放到位情况良好，满分10分，得分10分；及时送达情况良好，满分10分，得分9.8分；经费到位率100%，满分10分，得分10分。</w:t>
      </w:r>
    </w:p>
    <w:p w14:paraId="3AC0F5C0">
      <w:pPr>
        <w:pStyle w:val="2"/>
        <w:ind w:firstLine="640" w:firstLineChars="200"/>
        <w:rPr>
          <w:rFonts w:hint="eastAsia" w:ascii="楷体" w:hAnsi="楷体" w:eastAsia="楷体" w:cs="楷体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省文史工作重点联系县项目产出指标满分40分，根据产出指标体系评分标准计算得分40分。其中:文史交流情况良好,满分10分，得分10分;征集文史资料完成较好,满分10分，得分10分;按计划完成情况良好,满分10分，得分10分;经费到位率100%，满分10分，得分10分。</w:t>
      </w:r>
      <w:r>
        <w:rPr>
          <w:rFonts w:hint="eastAsia" w:ascii="楷体" w:hAnsi="楷体" w:eastAsia="楷体" w:cs="楷体_GB2312"/>
          <w:bCs/>
          <w:color w:val="000000"/>
          <w:sz w:val="32"/>
          <w:szCs w:val="32"/>
          <w:lang w:val="en-US" w:eastAsia="zh-CN"/>
        </w:rPr>
        <w:t xml:space="preserve"> </w:t>
      </w:r>
    </w:p>
    <w:p w14:paraId="1CC4B5E0">
      <w:pPr>
        <w:pStyle w:val="2"/>
        <w:rPr>
          <w:rFonts w:ascii="楷体" w:hAnsi="楷体" w:eastAsia="楷体" w:cs="楷体_GB2312"/>
          <w:bCs/>
          <w:color w:val="000000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_GB2312"/>
          <w:bCs/>
          <w:color w:val="000000"/>
          <w:sz w:val="32"/>
          <w:szCs w:val="32"/>
        </w:rPr>
        <w:t>（三）项目效益</w:t>
      </w:r>
    </w:p>
    <w:p w14:paraId="5298EE86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协委员活动经费项目效益指标40分，根据效益指标体系评分标准计算共计得分38.9分：该项目委员参与率高，推动政协事业发展，满分10分，得分9.8分；提高委员履职能力，满分10分，得分9.7分；能积极主动提出合理化建议，满分10分，得分9.6分；有利于开展工作，满分10分，得分9.8分。</w:t>
      </w:r>
    </w:p>
    <w:p w14:paraId="516CBBF0">
      <w:pPr>
        <w:pStyle w:val="2"/>
        <w:ind w:firstLine="48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第十六届二次全会项目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效益指标满分40分，根据效益指标体系评分标准计算共计得分39.2分：委员参与活动率较高，满分10分，得分9.8分；民主协商作用发挥良好，满分10分，得分9.7分；委员积极建言献策，满分10分，得分9.8分；凝心聚力共促发展得到有效保障，满分10分，得分9.9分。</w:t>
      </w:r>
    </w:p>
    <w:p w14:paraId="04624834">
      <w:pPr>
        <w:pStyle w:val="2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度人民政协报订阅项目效益指标满分40分，根据效益指标体系评分标准计算得分39.7分：有利于政协工作开展，满分10分，得分10分；有效促进政协委员履职能力提高，满分10分，得分9.7分；更好地履行政协委员职能，满分10分，得分10分；促进政协委员更好地了解掌握政策，满分10分，得分10分。</w:t>
      </w:r>
    </w:p>
    <w:p w14:paraId="7F6DD8DB">
      <w:pPr>
        <w:pStyle w:val="2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度人民政协报订阅项目效益指标满分40分，根据效益指标体系评分标准计算得分39.7分：有利于政协工作开展，满分10分，得分10分；有效促进政协委员履职能力提高，满分10分，得分9.7分；更好地履行政协委员职能，满分10分，得分10分；促进政协委员更好地了解掌握政策，满分10分，得分10分。</w:t>
      </w:r>
    </w:p>
    <w:p w14:paraId="5CFF271A">
      <w:pPr>
        <w:pStyle w:val="2"/>
        <w:ind w:firstLine="640" w:firstLineChars="200"/>
        <w:rPr>
          <w:rFonts w:hint="eastAsia" w:ascii="楷体" w:hAnsi="楷体" w:eastAsia="楷体" w:cs="楷体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省文史工作重点联系县项目效益指标满分40分，根据效益指标体系评分标准计算得分38.7分。其中:有效促进文史工作开展,满分10分，得分9.6分;有力提高正定地位,满分10分，得分9.7分;提出意见建议情况良好,满分10分，得分9.6分;持续提高委员履职能力，满分10分，得分9.8分。</w:t>
      </w:r>
      <w:r>
        <w:rPr>
          <w:rFonts w:hint="eastAsia" w:ascii="楷体" w:hAnsi="楷体" w:eastAsia="楷体" w:cs="楷体_GB2312"/>
          <w:bCs/>
          <w:color w:val="000000"/>
          <w:sz w:val="32"/>
          <w:szCs w:val="32"/>
          <w:lang w:val="en-US" w:eastAsia="zh-CN"/>
        </w:rPr>
        <w:t xml:space="preserve"> </w:t>
      </w:r>
    </w:p>
    <w:p w14:paraId="61130B2B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（四）满意度</w:t>
      </w:r>
    </w:p>
    <w:p w14:paraId="38E2B289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政协委员活动经费项目满意度指标满分10分，根据满意度指标体系评分标准计算，政协委员满意率100%，得分10分；</w:t>
      </w:r>
      <w:r>
        <w:rPr>
          <w:rFonts w:hint="eastAsia"/>
          <w:lang w:val="en-US" w:eastAsia="zh-CN"/>
        </w:rPr>
        <w:t xml:space="preserve">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第十六届二次全会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满意度指标满分10分，根据满意度指标体系评分标准计算，参会人员满意率100%，得分10分；2022年度人民政协报订阅项目满意度指标满分10分，根据满意度指标体系评分标准计算，政协委员满意率100%，得分10分；2023年度人民政协报订阅项目满意度指标满分10分，根据满意度指标体系评分标准计算，政协委员满意率100%，得分10分；省文史工作重点联系县项目满意度指标满分10分，根据满意度指标体系评分标准计算，政协委员满意率100%，得分10分。</w:t>
      </w:r>
    </w:p>
    <w:p w14:paraId="39CD950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B3E959B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项目执行情况和项目绩效情况，基本达到了绩效目标要求，取得了良好的社会效益、经济效益。经综合测评，政协委员活动项目绩效总分值为98.9分，综合评价为优秀等次；第十六届二次全会项目绩效总分值为99.2分，综合评价为优秀等次；2022年度人民政协报订阅项目绩效总分值为99.5分，综合评价为优秀等次；2023年度人民政协报订阅项目绩效总分值为99.5分，综合评价为优秀等次；省文史工作重点联系县项目绩效总分值为98.7分，综合评价为优秀等次。</w:t>
      </w:r>
    </w:p>
    <w:p w14:paraId="682F97C9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DB57209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18EA5935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绩效理念稍显薄弱，相关人员业务水平还需再提升。</w:t>
      </w:r>
    </w:p>
    <w:p w14:paraId="08F865F2">
      <w:pPr>
        <w:numPr>
          <w:ilvl w:val="0"/>
          <w:numId w:val="8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3491F22F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下一步，我单位将严格按照上级部门及县财政相关要求，进一步强化绩效管理意识，加强绩效管理文件资料学习，提升各项目管理部门的绩效意识，结合实际工作情况，优化财务、业务和资产绩效的协同管理模式，加强预算绩效管理业务培训，确保绩效自评工作顺利开展。</w:t>
      </w:r>
    </w:p>
    <w:p w14:paraId="2802B218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6"/>
        <w:tblW w:w="887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5" w:type="dxa"/>
          <w:bottom w:w="0" w:type="dxa"/>
          <w:right w:w="15" w:type="dxa"/>
        </w:tblCellMar>
      </w:tblPr>
      <w:tblGrid>
        <w:gridCol w:w="592"/>
        <w:gridCol w:w="973"/>
        <w:gridCol w:w="1110"/>
        <w:gridCol w:w="1836"/>
        <w:gridCol w:w="2762"/>
        <w:gridCol w:w="1602"/>
      </w:tblGrid>
      <w:tr w14:paraId="64FF5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900" w:hRule="atLeast"/>
        </w:trPr>
        <w:tc>
          <w:tcPr>
            <w:tcW w:w="8875" w:type="dxa"/>
            <w:gridSpan w:val="6"/>
            <w:vAlign w:val="center"/>
          </w:tcPr>
          <w:p w14:paraId="09884674">
            <w:pPr>
              <w:autoSpaceDN w:val="0"/>
              <w:jc w:val="center"/>
              <w:textAlignment w:val="center"/>
              <w:rPr>
                <w:rFonts w:hint="default" w:ascii="黑体" w:hAnsi="黑体" w:eastAsia="黑体"/>
                <w:b w:val="0"/>
                <w:i w:val="0"/>
                <w:color w:val="000000"/>
                <w:sz w:val="44"/>
                <w:u w:val="none"/>
                <w:lang w:eastAsia="zh-CN"/>
              </w:rPr>
            </w:pPr>
            <w:r>
              <w:rPr>
                <w:rFonts w:hint="default" w:ascii="黑体" w:hAnsi="黑体" w:eastAsia="黑体"/>
                <w:b w:val="0"/>
                <w:i w:val="0"/>
                <w:color w:val="000000"/>
                <w:sz w:val="44"/>
                <w:u w:val="none"/>
                <w:lang w:eastAsia="zh-CN"/>
              </w:rPr>
              <w:t>绩效评价工作领导小组</w:t>
            </w:r>
          </w:p>
        </w:tc>
      </w:tr>
      <w:tr w14:paraId="1F427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285" w:hRule="atLeast"/>
        </w:trPr>
        <w:tc>
          <w:tcPr>
            <w:tcW w:w="592" w:type="dxa"/>
            <w:vAlign w:val="center"/>
          </w:tcPr>
          <w:p w14:paraId="2EB7F758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973" w:type="dxa"/>
            <w:vAlign w:val="center"/>
          </w:tcPr>
          <w:p w14:paraId="703286E7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1110" w:type="dxa"/>
            <w:vAlign w:val="center"/>
          </w:tcPr>
          <w:p w14:paraId="04F89020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1836" w:type="dxa"/>
            <w:vAlign w:val="center"/>
          </w:tcPr>
          <w:p w14:paraId="1D60241A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2762" w:type="dxa"/>
            <w:vAlign w:val="center"/>
          </w:tcPr>
          <w:p w14:paraId="0CA046C3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1602" w:type="dxa"/>
            <w:vAlign w:val="center"/>
          </w:tcPr>
          <w:p w14:paraId="2BB6F290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48784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C0B56B3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序号</w:t>
            </w:r>
          </w:p>
        </w:tc>
        <w:tc>
          <w:tcPr>
            <w:tcW w:w="97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67B9B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人员类别</w:t>
            </w:r>
          </w:p>
        </w:tc>
        <w:tc>
          <w:tcPr>
            <w:tcW w:w="1110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198F6394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姓 名</w:t>
            </w:r>
          </w:p>
        </w:tc>
        <w:tc>
          <w:tcPr>
            <w:tcW w:w="1836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5D8EBDAF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工作单位</w:t>
            </w:r>
          </w:p>
        </w:tc>
        <w:tc>
          <w:tcPr>
            <w:tcW w:w="2762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2944A49D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职 务</w:t>
            </w:r>
          </w:p>
        </w:tc>
        <w:tc>
          <w:tcPr>
            <w:tcW w:w="1602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7494321B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签 名</w:t>
            </w:r>
          </w:p>
        </w:tc>
      </w:tr>
      <w:tr w14:paraId="529C7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E4DC1D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1</w:t>
            </w:r>
          </w:p>
        </w:tc>
        <w:tc>
          <w:tcPr>
            <w:tcW w:w="973" w:type="dxa"/>
            <w:tcBorders>
              <w:bottom w:val="single" w:color="000000" w:sz="4" w:space="0"/>
            </w:tcBorders>
            <w:vAlign w:val="center"/>
          </w:tcPr>
          <w:p w14:paraId="06F6DA9B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组长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60962D7B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李吉录</w:t>
            </w:r>
          </w:p>
        </w:tc>
        <w:tc>
          <w:tcPr>
            <w:tcW w:w="1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1BDB9B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EBF538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县政协办公室主任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C0111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08537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28088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2</w:t>
            </w:r>
          </w:p>
        </w:tc>
        <w:tc>
          <w:tcPr>
            <w:tcW w:w="973" w:type="dxa"/>
            <w:tcBorders>
              <w:bottom w:val="single" w:color="000000" w:sz="4" w:space="0"/>
            </w:tcBorders>
            <w:vAlign w:val="center"/>
          </w:tcPr>
          <w:p w14:paraId="017F271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副组长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82AA70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宋菊香</w:t>
            </w:r>
          </w:p>
        </w:tc>
        <w:tc>
          <w:tcPr>
            <w:tcW w:w="183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C72B48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12D733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县政协四级调研员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DE05F2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66AA9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1C2BDF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3</w:t>
            </w:r>
          </w:p>
        </w:tc>
        <w:tc>
          <w:tcPr>
            <w:tcW w:w="973" w:type="dxa"/>
            <w:vMerge w:val="restart"/>
            <w:tcBorders>
              <w:bottom w:val="single" w:color="000000" w:sz="4" w:space="0"/>
            </w:tcBorders>
            <w:vAlign w:val="center"/>
          </w:tcPr>
          <w:p w14:paraId="51B8F31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成员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D8C1CE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胡华峰</w:t>
            </w:r>
          </w:p>
        </w:tc>
        <w:tc>
          <w:tcPr>
            <w:tcW w:w="1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F7ED01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C1DEC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县政协农业和农村委主任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06CD36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6D6C9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C5551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4</w:t>
            </w:r>
          </w:p>
        </w:tc>
        <w:tc>
          <w:tcPr>
            <w:tcW w:w="973" w:type="dxa"/>
            <w:vMerge w:val="continue"/>
            <w:tcBorders>
              <w:bottom w:val="single" w:color="000000" w:sz="4" w:space="0"/>
            </w:tcBorders>
            <w:vAlign w:val="center"/>
          </w:tcPr>
          <w:p w14:paraId="22323546"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97A66D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高小宁</w:t>
            </w:r>
          </w:p>
        </w:tc>
        <w:tc>
          <w:tcPr>
            <w:tcW w:w="183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440B32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06E8CD9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县政协职员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830F9B4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02C8B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810F28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5</w:t>
            </w:r>
          </w:p>
        </w:tc>
        <w:tc>
          <w:tcPr>
            <w:tcW w:w="973" w:type="dxa"/>
            <w:vMerge w:val="continue"/>
            <w:tcBorders>
              <w:bottom w:val="single" w:color="000000" w:sz="4" w:space="0"/>
            </w:tcBorders>
            <w:vAlign w:val="center"/>
          </w:tcPr>
          <w:p w14:paraId="2FE54D71"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1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DB26AC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仝月霄</w:t>
            </w:r>
          </w:p>
        </w:tc>
        <w:tc>
          <w:tcPr>
            <w:tcW w:w="1836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7C776B7C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ACE1FE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县政协职员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39B1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</w:tbl>
    <w:p w14:paraId="05520966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Black">
    <w:panose1 w:val="020B0A04020102020204"/>
    <w:charset w:val="00"/>
    <w:family w:val="swiss"/>
    <w:pitch w:val="default"/>
    <w:sig w:usb0="A00002AF" w:usb1="4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B39AC5">
    <w:pPr>
      <w:pStyle w:val="4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0978FE95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6"/>
    <w:multiLevelType w:val="singleLevel"/>
    <w:tmpl w:val="00000006"/>
    <w:lvl w:ilvl="0" w:tentative="0">
      <w:start w:val="3"/>
      <w:numFmt w:val="chineseCounting"/>
      <w:suff w:val="nothing"/>
      <w:lvlText w:val="（%1）"/>
      <w:lvlJc w:val="left"/>
    </w:lvl>
  </w:abstractNum>
  <w:abstractNum w:abstractNumId="1">
    <w:nsid w:val="00000007"/>
    <w:multiLevelType w:val="singleLevel"/>
    <w:tmpl w:val="00000007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00000008"/>
    <w:multiLevelType w:val="singleLevel"/>
    <w:tmpl w:val="00000008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3">
    <w:nsid w:val="00000009"/>
    <w:multiLevelType w:val="singleLevel"/>
    <w:tmpl w:val="00000009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4">
    <w:nsid w:val="0000000A"/>
    <w:multiLevelType w:val="singleLevel"/>
    <w:tmpl w:val="0000000A"/>
    <w:lvl w:ilvl="0" w:tentative="0">
      <w:start w:val="3"/>
      <w:numFmt w:val="decimal"/>
      <w:suff w:val="nothing"/>
      <w:lvlText w:val="%1．"/>
      <w:lvlJc w:val="left"/>
    </w:lvl>
  </w:abstractNum>
  <w:abstractNum w:abstractNumId="5">
    <w:nsid w:val="0000000B"/>
    <w:multiLevelType w:val="singleLevel"/>
    <w:tmpl w:val="0000000B"/>
    <w:lvl w:ilvl="0" w:tentative="0">
      <w:start w:val="2"/>
      <w:numFmt w:val="chineseCounting"/>
      <w:suff w:val="nothing"/>
      <w:lvlText w:val="（%1）"/>
      <w:lvlJc w:val="left"/>
    </w:lvl>
  </w:abstractNum>
  <w:abstractNum w:abstractNumId="6">
    <w:nsid w:val="0000000C"/>
    <w:multiLevelType w:val="singleLevel"/>
    <w:tmpl w:val="0000000C"/>
    <w:lvl w:ilvl="0" w:tentative="0">
      <w:start w:val="2"/>
      <w:numFmt w:val="chineseCounting"/>
      <w:suff w:val="nothing"/>
      <w:lvlText w:val="（%1）"/>
      <w:lvlJc w:val="left"/>
    </w:lvl>
  </w:abstractNum>
  <w:abstractNum w:abstractNumId="7">
    <w:nsid w:val="0000000D"/>
    <w:multiLevelType w:val="singleLevel"/>
    <w:tmpl w:val="0000000D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  <w:b w:val="0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169C77DB"/>
    <w:rsid w:val="1C6012AB"/>
    <w:rsid w:val="21303322"/>
    <w:rsid w:val="22456F79"/>
    <w:rsid w:val="27800A53"/>
    <w:rsid w:val="280478D6"/>
    <w:rsid w:val="2AAC278C"/>
    <w:rsid w:val="3C316AA6"/>
    <w:rsid w:val="51AE0F7E"/>
    <w:rsid w:val="5E7303EE"/>
    <w:rsid w:val="5EF172E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hint="eastAsia" w:ascii="方正仿宋_GBK" w:hAnsi="方正仿宋_GBK" w:eastAsia="方正仿宋_GBK" w:cs="Times New Roman"/>
      <w:color w:val="000000"/>
      <w:sz w:val="24"/>
      <w:szCs w:val="22"/>
      <w:lang w:val="en-US" w:eastAsia="zh-CN" w:bidi="ar-SA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toa heading"/>
    <w:basedOn w:val="1"/>
    <w:next w:val="1"/>
    <w:qFormat/>
    <w:uiPriority w:val="0"/>
    <w:pPr>
      <w:spacing w:before="120" w:beforeAutospacing="0"/>
    </w:pPr>
    <w:rPr>
      <w:rFonts w:ascii="Arial" w:hAnsi="Arial"/>
      <w:sz w:val="24"/>
    </w:rPr>
  </w:style>
  <w:style w:type="paragraph" w:customStyle="1" w:styleId="9">
    <w:name w:val="HTML 地址1"/>
    <w:basedOn w:val="1"/>
    <w:qFormat/>
    <w:uiPriority w:val="0"/>
    <w:rPr>
      <w:sz w:val="24"/>
    </w:rPr>
  </w:style>
  <w:style w:type="paragraph" w:customStyle="1" w:styleId="10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3328</Words>
  <Characters>3636</Characters>
  <Lines>4</Lines>
  <Paragraphs>1</Paragraphs>
  <TotalTime>2</TotalTime>
  <ScaleCrop>false</ScaleCrop>
  <LinksUpToDate>false</LinksUpToDate>
  <CharactersWithSpaces>3680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2020-02-07T19:46:00Z</dcterms:created>
  <dc:creator>欣欣大人</dc:creator>
  <cp:lastModifiedBy>月儿弯弯</cp:lastModifiedBy>
  <cp:lastPrinted>2024-04-28T18:37:00Z</cp:lastPrinted>
  <dcterms:modified xsi:type="dcterms:W3CDTF">2025-11-13T02:48:52Z</dcterms:modified>
  <dc:title>Administrator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eyJoZGlkIjoiNTgzNjcxYzQxMGQ5YjZmZmFlZmQ2YjNkNzMxYWFmNGEiLCJ1c2VySWQiOiIzMzc4NDI5MTIifQ==</vt:lpwstr>
  </property>
</Properties>
</file>