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A1C496B">
      <w:pPr>
        <w:adjustRightInd w:val="0"/>
        <w:snapToGrid w:val="0"/>
        <w:spacing w:line="560" w:lineRule="exact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附件</w:t>
      </w: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5</w:t>
      </w:r>
    </w:p>
    <w:p w14:paraId="6C944541">
      <w:pPr>
        <w:spacing w:line="560" w:lineRule="exact"/>
        <w:jc w:val="center"/>
        <w:rPr>
          <w:rFonts w:ascii="宋体" w:hAnsi="宋体" w:cs="宋体"/>
          <w:b/>
          <w:bCs/>
          <w:sz w:val="44"/>
          <w:szCs w:val="44"/>
        </w:rPr>
      </w:pPr>
    </w:p>
    <w:p w14:paraId="5CBDF47B">
      <w:pPr>
        <w:spacing w:line="560" w:lineRule="exact"/>
        <w:jc w:val="center"/>
        <w:rPr>
          <w:rFonts w:hint="eastAsia" w:ascii="宋体" w:hAnsi="宋体" w:cs="宋体"/>
          <w:b/>
          <w:bCs/>
          <w:sz w:val="44"/>
          <w:szCs w:val="44"/>
          <w:lang w:val="en-US" w:eastAsia="zh-CN"/>
        </w:rPr>
      </w:pPr>
      <w:r>
        <w:rPr>
          <w:rFonts w:hint="eastAsia" w:ascii="宋体" w:hAnsi="宋体" w:cs="宋体"/>
          <w:b/>
          <w:bCs/>
          <w:sz w:val="44"/>
          <w:szCs w:val="44"/>
          <w:lang w:val="en-US" w:eastAsia="zh-CN"/>
        </w:rPr>
        <w:t>政协正定县委员会</w:t>
      </w:r>
    </w:p>
    <w:p w14:paraId="5C0C29DA">
      <w:pPr>
        <w:spacing w:line="560" w:lineRule="exact"/>
        <w:jc w:val="center"/>
        <w:rPr>
          <w:rFonts w:ascii="宋体" w:hAnsi="宋体" w:cs="宋体"/>
          <w:b/>
          <w:bCs/>
          <w:sz w:val="44"/>
          <w:szCs w:val="44"/>
        </w:rPr>
      </w:pPr>
      <w:r>
        <w:rPr>
          <w:rFonts w:hint="eastAsia" w:ascii="宋体" w:hAnsi="宋体" w:cs="宋体"/>
          <w:b/>
          <w:bCs/>
          <w:sz w:val="44"/>
          <w:szCs w:val="44"/>
        </w:rPr>
        <w:t>202</w:t>
      </w:r>
      <w:r>
        <w:rPr>
          <w:rFonts w:hint="eastAsia" w:ascii="宋体" w:hAnsi="宋体" w:cs="宋体"/>
          <w:b/>
          <w:bCs/>
          <w:sz w:val="44"/>
          <w:szCs w:val="44"/>
          <w:lang w:val="en-US" w:eastAsia="zh-CN"/>
        </w:rPr>
        <w:t>4</w:t>
      </w:r>
      <w:r>
        <w:rPr>
          <w:rFonts w:hint="eastAsia" w:ascii="宋体" w:hAnsi="宋体" w:cs="宋体"/>
          <w:b/>
          <w:bCs/>
          <w:sz w:val="44"/>
          <w:szCs w:val="44"/>
        </w:rPr>
        <w:t>年度整体支出绩效自评报告</w:t>
      </w:r>
    </w:p>
    <w:p w14:paraId="06463DDC">
      <w:pPr>
        <w:spacing w:line="560" w:lineRule="exact"/>
        <w:jc w:val="center"/>
        <w:rPr>
          <w:rFonts w:ascii="华文楷体" w:eastAsia="华文楷体"/>
          <w:sz w:val="32"/>
          <w:szCs w:val="32"/>
        </w:rPr>
      </w:pPr>
    </w:p>
    <w:p w14:paraId="62690227">
      <w:pPr>
        <w:spacing w:line="560" w:lineRule="exact"/>
        <w:ind w:firstLine="640"/>
        <w:jc w:val="center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贯彻落实市委市政府《关于全面落实预算绩效管理的实施意见》（石发﹝2019﹞8号）文件精神，遵循“科学性、规范性、</w:t>
      </w:r>
    </w:p>
    <w:p w14:paraId="7F140ADE">
      <w:pPr>
        <w:spacing w:line="560" w:lineRule="exact"/>
        <w:jc w:val="both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客观性和公正性”的原则，对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政协正定县委员会</w:t>
      </w:r>
      <w:r>
        <w:rPr>
          <w:rFonts w:hint="eastAsia" w:ascii="仿宋" w:hAnsi="仿宋" w:eastAsia="仿宋"/>
          <w:sz w:val="32"/>
          <w:szCs w:val="32"/>
        </w:rPr>
        <w:t>202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4</w:t>
      </w:r>
      <w:r>
        <w:rPr>
          <w:rFonts w:hint="eastAsia" w:ascii="仿宋" w:hAnsi="仿宋" w:eastAsia="仿宋"/>
          <w:sz w:val="32"/>
          <w:szCs w:val="32"/>
        </w:rPr>
        <w:t>年整体支出情况实施了财政支出绩效自评价，形成本评价报告。</w:t>
      </w:r>
    </w:p>
    <w:p w14:paraId="59A1D38C">
      <w:pPr>
        <w:adjustRightInd w:val="0"/>
        <w:snapToGrid w:val="0"/>
        <w:spacing w:line="560" w:lineRule="exact"/>
        <w:rPr>
          <w:rFonts w:ascii="黑体" w:hAnsi="黑体" w:eastAsia="黑体"/>
          <w:b/>
          <w:bCs/>
          <w:sz w:val="32"/>
          <w:szCs w:val="36"/>
        </w:rPr>
      </w:pPr>
      <w:r>
        <w:rPr>
          <w:rFonts w:hint="eastAsia" w:ascii="黑体" w:hAnsi="黑体" w:eastAsia="黑体"/>
          <w:sz w:val="32"/>
          <w:szCs w:val="32"/>
        </w:rPr>
        <w:t xml:space="preserve">     一、部门</w:t>
      </w:r>
      <w:r>
        <w:rPr>
          <w:rFonts w:hint="eastAsia" w:ascii="黑体" w:hAnsi="黑体" w:eastAsia="黑体"/>
          <w:sz w:val="32"/>
          <w:szCs w:val="36"/>
        </w:rPr>
        <w:t>基本情况</w:t>
      </w:r>
    </w:p>
    <w:p w14:paraId="28957521">
      <w:pPr>
        <w:numPr>
          <w:ilvl w:val="0"/>
          <w:numId w:val="1"/>
        </w:numPr>
        <w:adjustRightInd w:val="0"/>
        <w:snapToGrid w:val="0"/>
        <w:spacing w:line="560" w:lineRule="exact"/>
        <w:ind w:firstLine="640" w:firstLineChars="200"/>
        <w:rPr>
          <w:rFonts w:hint="eastAsia"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部门概况</w:t>
      </w:r>
    </w:p>
    <w:p w14:paraId="3289A0E7">
      <w:pPr>
        <w:spacing w:line="560" w:lineRule="exact"/>
        <w:jc w:val="both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 xml:space="preserve">    1、部门职能</w:t>
      </w:r>
    </w:p>
    <w:p w14:paraId="6EB8A634">
      <w:pPr>
        <w:spacing w:line="560" w:lineRule="exact"/>
        <w:jc w:val="both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 xml:space="preserve">    根据《政协正定县委员会职能配置、内设机构和人员编制规定》， 政协正定县委员会的主要职责是：</w:t>
      </w:r>
    </w:p>
    <w:p w14:paraId="59B7328B">
      <w:pPr>
        <w:ind w:firstLine="640" w:firstLineChars="200"/>
        <w:rPr>
          <w:rFonts w:hint="eastAsia" w:ascii="仿宋" w:hAnsi="仿宋" w:eastAsia="仿宋" w:cs="仿宋"/>
          <w:sz w:val="32"/>
          <w:szCs w:val="32"/>
          <w:lang w:eastAsia="zh-CN"/>
        </w:rPr>
      </w:pPr>
      <w:bookmarkStart w:id="0" w:name="_GoBack"/>
      <w:bookmarkEnd w:id="0"/>
      <w:r>
        <w:rPr>
          <w:rFonts w:hint="eastAsia" w:ascii="仿宋_GB2312" w:hAnsi="仿宋_GB2312" w:eastAsia="仿宋_GB2312" w:cs="仿宋_GB2312"/>
          <w:sz w:val="32"/>
          <w:szCs w:val="32"/>
        </w:rPr>
        <w:t>一、</w:t>
      </w:r>
      <w:r>
        <w:rPr>
          <w:rFonts w:hint="eastAsia" w:ascii="仿宋" w:hAnsi="仿宋" w:eastAsia="仿宋" w:cs="仿宋"/>
          <w:sz w:val="32"/>
          <w:szCs w:val="32"/>
        </w:rPr>
        <w:t>对县委和政府的大政方针和重要决策进行协商;对政策、法规的实施、国家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机</w:t>
      </w:r>
      <w:r>
        <w:rPr>
          <w:rFonts w:hint="eastAsia" w:ascii="仿宋" w:hAnsi="仿宋" w:eastAsia="仿宋" w:cs="仿宋"/>
          <w:sz w:val="32"/>
          <w:szCs w:val="32"/>
        </w:rPr>
        <w:t>关及其工作人员的工作进行民主监督;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组织</w:t>
      </w:r>
      <w:r>
        <w:rPr>
          <w:rFonts w:hint="eastAsia" w:ascii="仿宋" w:hAnsi="仿宋" w:eastAsia="仿宋" w:cs="仿宋"/>
          <w:sz w:val="32"/>
          <w:szCs w:val="32"/>
        </w:rPr>
        <w:t>委员及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各界人</w:t>
      </w:r>
      <w:r>
        <w:rPr>
          <w:rFonts w:hint="eastAsia" w:ascii="仿宋" w:hAnsi="仿宋" w:eastAsia="仿宋" w:cs="仿宋"/>
          <w:sz w:val="32"/>
          <w:szCs w:val="32"/>
        </w:rPr>
        <w:t>士参政议政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。</w:t>
      </w:r>
    </w:p>
    <w:p w14:paraId="7312FB99">
      <w:pPr>
        <w:ind w:firstLine="640" w:firstLineChars="20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二</w:t>
      </w:r>
      <w:r>
        <w:rPr>
          <w:rFonts w:hint="eastAsia" w:ascii="仿宋" w:hAnsi="仿宋" w:eastAsia="仿宋" w:cs="仿宋"/>
          <w:sz w:val="32"/>
          <w:szCs w:val="32"/>
        </w:rPr>
        <w:t>、宣传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和贯</w:t>
      </w:r>
      <w:r>
        <w:rPr>
          <w:rFonts w:hint="eastAsia" w:ascii="仿宋" w:hAnsi="仿宋" w:eastAsia="仿宋" w:cs="仿宋"/>
          <w:sz w:val="32"/>
          <w:szCs w:val="32"/>
        </w:rPr>
        <w:t>彻执行国家的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宪法</w:t>
      </w:r>
      <w:r>
        <w:rPr>
          <w:rFonts w:hint="eastAsia" w:ascii="仿宋" w:hAnsi="仿宋" w:eastAsia="仿宋" w:cs="仿宋"/>
          <w:sz w:val="32"/>
          <w:szCs w:val="32"/>
        </w:rPr>
        <w:t>、法律和各项方针、政策，推动社会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力</w:t>
      </w:r>
      <w:r>
        <w:rPr>
          <w:rFonts w:hint="eastAsia" w:ascii="仿宋" w:hAnsi="仿宋" w:eastAsia="仿宋" w:cs="仿宋"/>
          <w:sz w:val="32"/>
          <w:szCs w:val="32"/>
        </w:rPr>
        <w:t>量积极参加两个文明建设。</w:t>
      </w:r>
    </w:p>
    <w:p w14:paraId="7CE8141A">
      <w:pPr>
        <w:ind w:firstLine="640" w:firstLineChars="20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三</w:t>
      </w:r>
      <w:r>
        <w:rPr>
          <w:rFonts w:hint="eastAsia" w:ascii="仿宋" w:hAnsi="仿宋" w:eastAsia="仿宋" w:cs="仿宋"/>
          <w:sz w:val="32"/>
          <w:szCs w:val="32"/>
        </w:rPr>
        <w:t>、密切联系各方面人士，反映社情民意，协助国家机关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改</w:t>
      </w:r>
      <w:r>
        <w:rPr>
          <w:rFonts w:hint="eastAsia" w:ascii="仿宋" w:hAnsi="仿宋" w:eastAsia="仿宋" w:cs="仿宋"/>
          <w:sz w:val="32"/>
          <w:szCs w:val="32"/>
        </w:rPr>
        <w:t>进工作。</w:t>
      </w:r>
    </w:p>
    <w:p w14:paraId="483737F5">
      <w:pPr>
        <w:numPr>
          <w:ilvl w:val="0"/>
          <w:numId w:val="0"/>
        </w:numPr>
        <w:ind w:firstLine="640" w:firstLineChars="20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四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、</w:t>
      </w:r>
      <w:r>
        <w:rPr>
          <w:rFonts w:hint="eastAsia" w:ascii="仿宋" w:hAnsi="仿宋" w:eastAsia="仿宋" w:cs="仿宋"/>
          <w:sz w:val="32"/>
          <w:szCs w:val="32"/>
        </w:rPr>
        <w:t>组织委员视察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、</w:t>
      </w:r>
      <w:r>
        <w:rPr>
          <w:rFonts w:hint="eastAsia" w:ascii="仿宋" w:hAnsi="仿宋" w:eastAsia="仿宋" w:cs="仿宋"/>
          <w:sz w:val="32"/>
          <w:szCs w:val="32"/>
        </w:rPr>
        <w:t>参观和调查，通过建议案、提案和其他形式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向国</w:t>
      </w:r>
      <w:r>
        <w:rPr>
          <w:rFonts w:hint="eastAsia" w:ascii="仿宋" w:hAnsi="仿宋" w:eastAsia="仿宋" w:cs="仿宋"/>
          <w:sz w:val="32"/>
          <w:szCs w:val="32"/>
        </w:rPr>
        <w:t>家机关和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其</w:t>
      </w:r>
      <w:r>
        <w:rPr>
          <w:rFonts w:hint="eastAsia" w:ascii="仿宋" w:hAnsi="仿宋" w:eastAsia="仿宋" w:cs="仿宋"/>
          <w:sz w:val="32"/>
          <w:szCs w:val="32"/>
        </w:rPr>
        <w:t>他有关组织提出建议和批评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。</w:t>
      </w:r>
    </w:p>
    <w:p w14:paraId="474DD830">
      <w:pPr>
        <w:numPr>
          <w:ilvl w:val="0"/>
          <w:numId w:val="0"/>
        </w:numPr>
        <w:ind w:firstLine="640" w:firstLineChars="20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五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、</w:t>
      </w:r>
      <w:r>
        <w:rPr>
          <w:rFonts w:hint="eastAsia" w:ascii="仿宋" w:hAnsi="仿宋" w:eastAsia="仿宋" w:cs="仿宋"/>
          <w:sz w:val="32"/>
          <w:szCs w:val="32"/>
        </w:rPr>
        <w:t>组织和推动委员进行理论、业务和科技知识等方面的学习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。</w:t>
      </w:r>
    </w:p>
    <w:p w14:paraId="2CCC9A99">
      <w:pPr>
        <w:numPr>
          <w:ilvl w:val="0"/>
          <w:numId w:val="0"/>
        </w:numPr>
        <w:ind w:firstLine="640" w:firstLineChars="20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六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、</w:t>
      </w:r>
      <w:r>
        <w:rPr>
          <w:rFonts w:hint="eastAsia" w:ascii="仿宋" w:hAnsi="仿宋" w:eastAsia="仿宋" w:cs="仿宋"/>
          <w:sz w:val="32"/>
          <w:szCs w:val="32"/>
        </w:rPr>
        <w:t>宣传和参与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贯彻</w:t>
      </w:r>
      <w:r>
        <w:rPr>
          <w:rFonts w:hint="eastAsia" w:ascii="仿宋" w:hAnsi="仿宋" w:eastAsia="仿宋" w:cs="仿宋"/>
          <w:sz w:val="32"/>
          <w:szCs w:val="32"/>
        </w:rPr>
        <w:t>执行“一国两制，和平统一”的方针、政策，积极开展同“三胞”的联系。</w:t>
      </w:r>
    </w:p>
    <w:p w14:paraId="54FC222B">
      <w:pPr>
        <w:numPr>
          <w:ilvl w:val="0"/>
          <w:numId w:val="0"/>
        </w:numPr>
        <w:ind w:firstLine="640" w:firstLineChars="200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七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、</w:t>
      </w:r>
      <w:r>
        <w:rPr>
          <w:rFonts w:hint="eastAsia" w:ascii="仿宋" w:hAnsi="仿宋" w:eastAsia="仿宋" w:cs="仿宋"/>
          <w:sz w:val="32"/>
          <w:szCs w:val="32"/>
        </w:rPr>
        <w:t>宣传和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协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助贯</w:t>
      </w:r>
      <w:r>
        <w:rPr>
          <w:rFonts w:hint="eastAsia" w:ascii="仿宋" w:hAnsi="仿宋" w:eastAsia="仿宋" w:cs="仿宋"/>
          <w:sz w:val="32"/>
          <w:szCs w:val="32"/>
        </w:rPr>
        <w:t>彻执行党的知识分子政策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。</w:t>
      </w:r>
    </w:p>
    <w:p w14:paraId="336B5CB6">
      <w:pPr>
        <w:numPr>
          <w:ilvl w:val="0"/>
          <w:numId w:val="0"/>
        </w:numPr>
        <w:ind w:firstLine="640" w:firstLineChars="20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八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、</w:t>
      </w:r>
      <w:r>
        <w:rPr>
          <w:rFonts w:hint="eastAsia" w:ascii="仿宋" w:hAnsi="仿宋" w:eastAsia="仿宋" w:cs="仿宋"/>
          <w:sz w:val="32"/>
          <w:szCs w:val="32"/>
        </w:rPr>
        <w:t>宣传和协助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贯彻</w:t>
      </w:r>
      <w:r>
        <w:rPr>
          <w:rFonts w:hint="eastAsia" w:ascii="仿宋" w:hAnsi="仿宋" w:eastAsia="仿宋" w:cs="仿宋"/>
          <w:sz w:val="32"/>
          <w:szCs w:val="32"/>
        </w:rPr>
        <w:t>执行国家的民族、宗教和侨务政策。</w:t>
      </w:r>
    </w:p>
    <w:p w14:paraId="70861645">
      <w:pPr>
        <w:numPr>
          <w:ilvl w:val="0"/>
          <w:numId w:val="0"/>
        </w:numPr>
        <w:ind w:firstLine="640" w:firstLineChars="20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九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、</w:t>
      </w:r>
      <w:r>
        <w:rPr>
          <w:rFonts w:hint="eastAsia" w:ascii="仿宋" w:hAnsi="仿宋" w:eastAsia="仿宋" w:cs="仿宋"/>
          <w:sz w:val="32"/>
          <w:szCs w:val="32"/>
        </w:rPr>
        <w:t>调整和处理统一战线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内部</w:t>
      </w:r>
      <w:r>
        <w:rPr>
          <w:rFonts w:hint="eastAsia" w:ascii="仿宋" w:hAnsi="仿宋" w:eastAsia="仿宋" w:cs="仿宋"/>
          <w:sz w:val="32"/>
          <w:szCs w:val="32"/>
        </w:rPr>
        <w:t>的关系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。</w:t>
      </w:r>
    </w:p>
    <w:p w14:paraId="353D2DAE">
      <w:pPr>
        <w:widowControl/>
        <w:spacing w:line="580" w:lineRule="exact"/>
        <w:ind w:firstLine="640" w:firstLineChars="200"/>
        <w:rPr>
          <w:rFonts w:ascii="仿宋_GB2312" w:hAnsi="Cambria" w:eastAsia="仿宋_GB2312" w:cs="Arial Black"/>
          <w:kern w:val="0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十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、</w:t>
      </w:r>
      <w:r>
        <w:rPr>
          <w:rFonts w:hint="eastAsia" w:ascii="仿宋" w:hAnsi="仿宋" w:eastAsia="仿宋" w:cs="仿宋"/>
          <w:sz w:val="32"/>
          <w:szCs w:val="32"/>
        </w:rPr>
        <w:t>根据统一战线组织的特点进行关于中国近代史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、</w:t>
      </w:r>
      <w:r>
        <w:rPr>
          <w:rFonts w:hint="eastAsia" w:ascii="仿宋" w:hAnsi="仿宋" w:eastAsia="仿宋" w:cs="仿宋"/>
          <w:sz w:val="32"/>
          <w:szCs w:val="32"/>
        </w:rPr>
        <w:t>现代史资料的征集、研究和出版工作。</w:t>
      </w:r>
    </w:p>
    <w:p w14:paraId="3B042315">
      <w:pPr>
        <w:pStyle w:val="10"/>
        <w:widowControl/>
        <w:wordWrap/>
        <w:autoSpaceDN w:val="0"/>
        <w:adjustRightInd/>
        <w:spacing w:before="0" w:after="0" w:line="336" w:lineRule="auto"/>
        <w:ind w:left="0" w:leftChars="0" w:firstLine="640" w:firstLineChars="200"/>
        <w:outlineLvl w:val="9"/>
        <w:rPr>
          <w:rFonts w:hint="eastAsia" w:ascii="仿宋" w:hAnsi="仿宋" w:eastAsia="仿宋" w:cs="仿宋"/>
          <w:color w:val="auto"/>
          <w:sz w:val="32"/>
          <w:szCs w:val="32"/>
        </w:rPr>
      </w:pPr>
      <w:r>
        <w:rPr>
          <w:rFonts w:hint="eastAsia" w:ascii="仿宋_GB2312" w:hAnsi="仿宋" w:eastAsia="仿宋_GB2312"/>
          <w:sz w:val="32"/>
          <w:szCs w:val="32"/>
        </w:rPr>
        <w:t>2．</w:t>
      </w:r>
      <w:r>
        <w:rPr>
          <w:rFonts w:hint="eastAsia" w:ascii="仿宋" w:hAnsi="仿宋" w:eastAsia="仿宋" w:cs="仿宋"/>
          <w:color w:val="auto"/>
          <w:sz w:val="32"/>
          <w:szCs w:val="32"/>
        </w:rPr>
        <w:t>机构情况。</w:t>
      </w:r>
    </w:p>
    <w:p w14:paraId="3262AEEE">
      <w:pPr>
        <w:rPr>
          <w:rFonts w:hint="default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 xml:space="preserve">    </w:t>
      </w:r>
      <w:r>
        <w:rPr>
          <w:rFonts w:hint="eastAsia" w:ascii="仿宋" w:hAnsi="仿宋" w:eastAsia="仿宋"/>
          <w:sz w:val="32"/>
          <w:szCs w:val="32"/>
        </w:rPr>
        <w:t>根据上述职责，正定县政协设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6</w:t>
      </w:r>
      <w:r>
        <w:rPr>
          <w:rFonts w:hint="eastAsia" w:ascii="仿宋" w:hAnsi="仿宋" w:eastAsia="仿宋"/>
          <w:sz w:val="32"/>
          <w:szCs w:val="32"/>
        </w:rPr>
        <w:t>个内设机构：办公室、经科委、提案委、文史委、农业农村委</w:t>
      </w:r>
      <w:r>
        <w:rPr>
          <w:rFonts w:hint="eastAsia" w:ascii="仿宋" w:hAnsi="仿宋" w:eastAsia="仿宋"/>
          <w:sz w:val="32"/>
          <w:szCs w:val="32"/>
          <w:lang w:eastAsia="zh-CN"/>
        </w:rPr>
        <w:t>、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政协委员服务中心。</w:t>
      </w:r>
    </w:p>
    <w:p w14:paraId="4EA856F8">
      <w:pPr>
        <w:numPr>
          <w:ilvl w:val="0"/>
          <w:numId w:val="2"/>
        </w:numPr>
        <w:snapToGrid w:val="0"/>
        <w:spacing w:line="520" w:lineRule="exact"/>
        <w:ind w:firstLine="640" w:firstLineChars="200"/>
        <w:rPr>
          <w:rFonts w:hint="eastAsia" w:ascii="仿宋_GB2312" w:hAnsi="仿宋" w:eastAsia="仿宋_GB2312"/>
          <w:sz w:val="32"/>
          <w:szCs w:val="32"/>
        </w:rPr>
      </w:pPr>
      <w:r>
        <w:rPr>
          <w:rFonts w:hint="eastAsia" w:ascii="仿宋_GB2312" w:hAnsi="仿宋" w:eastAsia="仿宋_GB2312"/>
          <w:sz w:val="32"/>
          <w:szCs w:val="32"/>
        </w:rPr>
        <w:t>人员情况。</w:t>
      </w:r>
    </w:p>
    <w:p w14:paraId="0C6A4251">
      <w:pPr>
        <w:pStyle w:val="10"/>
        <w:widowControl/>
        <w:wordWrap/>
        <w:autoSpaceDN w:val="0"/>
        <w:adjustRightInd/>
        <w:spacing w:before="0" w:after="0" w:line="336" w:lineRule="auto"/>
        <w:ind w:left="0" w:leftChars="0" w:firstLine="640" w:firstLineChars="200"/>
        <w:outlineLvl w:val="9"/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color w:val="auto"/>
          <w:sz w:val="32"/>
          <w:szCs w:val="32"/>
          <w:lang w:eastAsia="zh-CN"/>
        </w:rPr>
        <w:t>年初在职人员</w:t>
      </w:r>
      <w:r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  <w:t>20人，调入</w:t>
      </w:r>
      <w:r>
        <w:rPr>
          <w:rFonts w:hint="eastAsia" w:ascii="仿宋" w:hAnsi="仿宋" w:eastAsia="仿宋" w:cs="仿宋"/>
          <w:color w:val="auto"/>
          <w:sz w:val="32"/>
          <w:szCs w:val="32"/>
          <w:lang w:eastAsia="zh-CN"/>
        </w:rPr>
        <w:t>增加</w:t>
      </w:r>
      <w:r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  <w:t>4人，调出1人，年末实有在职人员23人。</w:t>
      </w:r>
    </w:p>
    <w:p w14:paraId="35EC0936">
      <w:pPr>
        <w:pStyle w:val="10"/>
        <w:widowControl/>
        <w:wordWrap/>
        <w:autoSpaceDN w:val="0"/>
        <w:adjustRightInd/>
        <w:spacing w:before="0" w:after="0" w:line="336" w:lineRule="auto"/>
        <w:ind w:left="0" w:leftChars="0" w:firstLine="640" w:firstLineChars="200"/>
        <w:outlineLvl w:val="9"/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  <w:t>4、资产基本情况</w:t>
      </w:r>
    </w:p>
    <w:p w14:paraId="56EE45B4">
      <w:pPr>
        <w:spacing w:line="560" w:lineRule="exact"/>
        <w:ind w:firstLine="640" w:firstLineChars="200"/>
        <w:jc w:val="center"/>
        <w:rPr>
          <w:rFonts w:hint="eastAsia" w:ascii="仿宋" w:hAnsi="仿宋" w:eastAsia="仿宋"/>
          <w:color w:val="000000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color w:val="000000"/>
          <w:sz w:val="32"/>
          <w:szCs w:val="32"/>
          <w:lang w:val="en-US" w:eastAsia="zh-CN"/>
        </w:rPr>
        <w:t>我单位2024</w:t>
      </w:r>
      <w:r>
        <w:rPr>
          <w:rFonts w:hint="eastAsia" w:ascii="仿宋" w:hAnsi="仿宋" w:eastAsia="仿宋"/>
          <w:color w:val="000000"/>
          <w:sz w:val="32"/>
          <w:szCs w:val="32"/>
        </w:rPr>
        <w:t>年年末</w:t>
      </w:r>
      <w:r>
        <w:rPr>
          <w:rFonts w:hint="eastAsia" w:ascii="仿宋" w:hAnsi="仿宋" w:eastAsia="仿宋"/>
          <w:color w:val="000000"/>
          <w:sz w:val="32"/>
          <w:szCs w:val="32"/>
          <w:lang w:val="en-US" w:eastAsia="zh-CN"/>
        </w:rPr>
        <w:t>资产总计12.65万元，流动资产0.88万元，</w:t>
      </w:r>
      <w:r>
        <w:rPr>
          <w:rFonts w:hint="eastAsia" w:ascii="仿宋" w:hAnsi="仿宋" w:eastAsia="仿宋"/>
          <w:color w:val="000000"/>
          <w:sz w:val="32"/>
          <w:szCs w:val="32"/>
        </w:rPr>
        <w:t>固定资产</w:t>
      </w:r>
      <w:r>
        <w:rPr>
          <w:rFonts w:hint="eastAsia" w:ascii="仿宋" w:hAnsi="仿宋" w:eastAsia="仿宋"/>
          <w:color w:val="000000"/>
          <w:sz w:val="32"/>
          <w:szCs w:val="32"/>
          <w:lang w:val="en-US" w:eastAsia="zh-CN"/>
        </w:rPr>
        <w:t>净值11.62</w:t>
      </w:r>
      <w:r>
        <w:rPr>
          <w:rFonts w:hint="eastAsia" w:ascii="仿宋" w:hAnsi="仿宋" w:eastAsia="仿宋"/>
          <w:color w:val="000000"/>
          <w:sz w:val="32"/>
          <w:szCs w:val="32"/>
        </w:rPr>
        <w:t>万元</w:t>
      </w:r>
      <w:r>
        <w:rPr>
          <w:rFonts w:hint="eastAsia" w:ascii="仿宋" w:hAnsi="仿宋" w:eastAsia="仿宋"/>
          <w:color w:val="000000"/>
          <w:sz w:val="32"/>
          <w:szCs w:val="32"/>
          <w:lang w:eastAsia="zh-CN"/>
        </w:rPr>
        <w:t>（</w:t>
      </w:r>
      <w:r>
        <w:rPr>
          <w:rFonts w:hint="eastAsia" w:ascii="仿宋" w:hAnsi="仿宋" w:eastAsia="仿宋"/>
          <w:color w:val="000000"/>
          <w:sz w:val="32"/>
          <w:szCs w:val="32"/>
          <w:lang w:val="en-US" w:eastAsia="zh-CN"/>
        </w:rPr>
        <w:t>应急保障用车2</w:t>
      </w:r>
      <w:r>
        <w:rPr>
          <w:rFonts w:hint="eastAsia" w:ascii="仿宋" w:hAnsi="仿宋" w:eastAsia="仿宋"/>
          <w:color w:val="000000"/>
          <w:sz w:val="32"/>
          <w:szCs w:val="32"/>
        </w:rPr>
        <w:t>辆，金额为</w:t>
      </w:r>
      <w:r>
        <w:rPr>
          <w:rFonts w:hint="eastAsia" w:ascii="仿宋" w:hAnsi="仿宋" w:eastAsia="仿宋"/>
          <w:color w:val="000000"/>
          <w:sz w:val="32"/>
          <w:szCs w:val="32"/>
          <w:lang w:val="en-US" w:eastAsia="zh-CN"/>
        </w:rPr>
        <w:t>0</w:t>
      </w:r>
    </w:p>
    <w:p w14:paraId="71C2A407">
      <w:pPr>
        <w:spacing w:line="560" w:lineRule="exact"/>
        <w:jc w:val="both"/>
        <w:rPr>
          <w:rFonts w:hint="eastAsia" w:ascii="仿宋" w:hAnsi="仿宋" w:eastAsia="仿宋"/>
          <w:color w:val="000000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color w:val="000000"/>
          <w:sz w:val="32"/>
          <w:szCs w:val="32"/>
        </w:rPr>
        <w:t>万元,其他通用及专用设备金额为</w:t>
      </w:r>
      <w:r>
        <w:rPr>
          <w:rFonts w:hint="eastAsia" w:ascii="仿宋" w:hAnsi="仿宋" w:eastAsia="仿宋"/>
          <w:color w:val="000000"/>
          <w:sz w:val="32"/>
          <w:szCs w:val="32"/>
          <w:lang w:val="en-US" w:eastAsia="zh-CN"/>
        </w:rPr>
        <w:t>9.62</w:t>
      </w:r>
      <w:r>
        <w:rPr>
          <w:rFonts w:hint="eastAsia" w:ascii="仿宋" w:hAnsi="仿宋" w:eastAsia="仿宋"/>
          <w:color w:val="000000"/>
          <w:sz w:val="32"/>
          <w:szCs w:val="32"/>
        </w:rPr>
        <w:t>万元</w:t>
      </w:r>
      <w:r>
        <w:rPr>
          <w:rFonts w:hint="eastAsia" w:ascii="仿宋" w:hAnsi="仿宋" w:eastAsia="仿宋"/>
          <w:color w:val="000000"/>
          <w:sz w:val="32"/>
          <w:szCs w:val="32"/>
          <w:lang w:eastAsia="zh-CN"/>
        </w:rPr>
        <w:t>，</w:t>
      </w:r>
      <w:r>
        <w:rPr>
          <w:rFonts w:hint="eastAsia" w:ascii="仿宋" w:hAnsi="仿宋" w:eastAsia="仿宋"/>
          <w:color w:val="000000"/>
          <w:sz w:val="32"/>
          <w:szCs w:val="32"/>
          <w:lang w:val="en-US" w:eastAsia="zh-CN"/>
        </w:rPr>
        <w:t>图书2万元</w:t>
      </w:r>
      <w:r>
        <w:rPr>
          <w:rFonts w:hint="eastAsia" w:ascii="仿宋" w:hAnsi="仿宋" w:eastAsia="仿宋"/>
          <w:color w:val="000000"/>
          <w:sz w:val="32"/>
          <w:szCs w:val="32"/>
          <w:lang w:eastAsia="zh-CN"/>
        </w:rPr>
        <w:t>）</w:t>
      </w:r>
      <w:r>
        <w:rPr>
          <w:rFonts w:hint="eastAsia" w:ascii="仿宋" w:hAnsi="仿宋" w:eastAsia="仿宋"/>
          <w:color w:val="000000"/>
          <w:sz w:val="32"/>
          <w:szCs w:val="32"/>
          <w:lang w:val="en-US" w:eastAsia="zh-CN"/>
        </w:rPr>
        <w:t>。资产管理规范，有资产管理内部管理制度;不存在未按内部管理制度和相关资产管理规定执行;出租、出借、处置国有资产规范，相关收入按规定及时足额上缴;资产账与财务账相符。</w:t>
      </w:r>
    </w:p>
    <w:p w14:paraId="3B0DE75B">
      <w:pPr>
        <w:numPr>
          <w:ilvl w:val="0"/>
          <w:numId w:val="3"/>
        </w:numPr>
        <w:adjustRightInd w:val="0"/>
        <w:snapToGrid w:val="0"/>
        <w:spacing w:line="560" w:lineRule="exact"/>
        <w:ind w:firstLine="640" w:firstLineChars="200"/>
        <w:rPr>
          <w:rFonts w:hint="eastAsia"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部门收支预决算情况</w:t>
      </w:r>
    </w:p>
    <w:p w14:paraId="030361D6">
      <w:pPr>
        <w:spacing w:line="560" w:lineRule="exact"/>
        <w:ind w:firstLine="640" w:firstLineChars="200"/>
        <w:jc w:val="both"/>
        <w:rPr>
          <w:rFonts w:hint="eastAsia" w:ascii="仿宋" w:hAnsi="仿宋" w:eastAsia="仿宋"/>
          <w:color w:val="000000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color w:val="000000"/>
          <w:sz w:val="32"/>
          <w:szCs w:val="32"/>
          <w:lang w:val="en-US" w:eastAsia="zh-CN"/>
        </w:rPr>
        <w:t>2024年政协正定县委员会预算收入655.50万元，其中：一般公共预算收入655.50万元，政府性基金预算收入0万元，财政专户核拨收入0万元，其他来源收入0万元。2024年部门支出预算支出为655.50万元，其中基本支出584.07万元，项目支出71.43万元；项目支出主要包括：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政协委员活动经费4.33万元；2023年政协委员活动经费1.06万元；省文史工作重点联系县经费2.60万元；人民政协报订阅经费8.88万元；</w:t>
      </w:r>
      <w:r>
        <w:rPr>
          <w:rFonts w:hint="eastAsia" w:ascii="仿宋_GB2312" w:hAnsi="仿宋_GB2312" w:eastAsia="仿宋_GB2312" w:cs="仿宋_GB2312"/>
          <w:sz w:val="32"/>
          <w:szCs w:val="32"/>
        </w:rPr>
        <w:t>第十六届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四</w:t>
      </w:r>
      <w:r>
        <w:rPr>
          <w:rFonts w:hint="eastAsia" w:ascii="仿宋_GB2312" w:hAnsi="仿宋_GB2312" w:eastAsia="仿宋_GB2312" w:cs="仿宋_GB2312"/>
          <w:sz w:val="32"/>
          <w:szCs w:val="32"/>
        </w:rPr>
        <w:t>次全会经费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30万元；《古圃》出版印刷经费10万元；残疾人保障金4.08万元；古城宣传印刷费8.80万元；云视频服务费1.68万元</w:t>
      </w:r>
      <w:r>
        <w:rPr>
          <w:rFonts w:hint="eastAsia" w:ascii="仿宋" w:hAnsi="仿宋" w:eastAsia="仿宋"/>
          <w:color w:val="000000"/>
          <w:sz w:val="32"/>
          <w:szCs w:val="32"/>
          <w:lang w:val="en-US" w:eastAsia="zh-CN"/>
        </w:rPr>
        <w:t>。</w:t>
      </w:r>
    </w:p>
    <w:p w14:paraId="2455C423">
      <w:pPr>
        <w:numPr>
          <w:ilvl w:val="0"/>
          <w:numId w:val="4"/>
        </w:numPr>
        <w:adjustRightInd w:val="0"/>
        <w:snapToGrid w:val="0"/>
        <w:spacing w:line="560" w:lineRule="exact"/>
        <w:ind w:firstLine="640" w:firstLineChars="200"/>
        <w:rPr>
          <w:rFonts w:hint="eastAsia"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部门整体支出绩效目标、指标</w:t>
      </w:r>
    </w:p>
    <w:p w14:paraId="4D58AC5C">
      <w:pPr>
        <w:pStyle w:val="11"/>
        <w:rPr>
          <w:rFonts w:hint="eastAsia" w:ascii="仿宋" w:hAnsi="仿宋" w:eastAsia="仿宋" w:cs="黑体"/>
          <w:color w:val="000000"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黑体"/>
          <w:color w:val="000000"/>
          <w:kern w:val="2"/>
          <w:sz w:val="32"/>
          <w:szCs w:val="32"/>
          <w:lang w:val="en-US" w:eastAsia="zh-CN" w:bidi="ar-SA"/>
        </w:rPr>
        <w:t>政协正定县委员会在中共正定县委的正确领导下，深入学习贯彻习近平新时代中国特色社会主义思想，广泛凝聚政协各参加单位、全体委员、社会各界人士的智慧和力量，牢牢把握团结和民主两大主题，扎实履行政治协商、民主监督、参政议政职能，鼓足干劲，乘势而上，砥砺前进，奋发作为，切实推进政协工作创新，为加快建设富裕美丽正定作出新的更大贡献。</w:t>
      </w:r>
    </w:p>
    <w:p w14:paraId="701B4B9A">
      <w:pPr>
        <w:adjustRightInd w:val="0"/>
        <w:snapToGrid w:val="0"/>
        <w:spacing w:line="560" w:lineRule="exact"/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二、自评工作开展情况</w:t>
      </w:r>
    </w:p>
    <w:p w14:paraId="237D3FCB">
      <w:pPr>
        <w:spacing w:line="560" w:lineRule="exact"/>
        <w:rPr>
          <w:rFonts w:ascii="楷体" w:hAnsi="楷体" w:eastAsia="楷体" w:cs="楷体_GB2312"/>
          <w:sz w:val="32"/>
          <w:szCs w:val="32"/>
        </w:rPr>
      </w:pPr>
      <w:r>
        <w:rPr>
          <w:rFonts w:hint="eastAsia" w:ascii="仿宋" w:hAnsi="仿宋" w:eastAsia="仿宋" w:cs="楷体_GB2312"/>
          <w:b/>
          <w:bCs/>
          <w:sz w:val="32"/>
          <w:szCs w:val="32"/>
        </w:rPr>
        <w:t xml:space="preserve">    </w:t>
      </w:r>
      <w:r>
        <w:rPr>
          <w:rFonts w:hint="eastAsia" w:ascii="楷体" w:hAnsi="楷体" w:eastAsia="楷体" w:cs="楷体_GB2312"/>
          <w:bCs/>
          <w:sz w:val="32"/>
          <w:szCs w:val="32"/>
        </w:rPr>
        <w:t>（一）自评的组织工作</w:t>
      </w:r>
    </w:p>
    <w:p w14:paraId="04947EF4">
      <w:pPr>
        <w:spacing w:line="560" w:lineRule="exact"/>
        <w:ind w:firstLine="640" w:firstLineChars="200"/>
        <w:jc w:val="both"/>
        <w:rPr>
          <w:rFonts w:hint="eastAsia" w:ascii="仿宋" w:hAnsi="仿宋" w:eastAsia="仿宋"/>
          <w:color w:val="000000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color w:val="000000"/>
          <w:sz w:val="32"/>
          <w:szCs w:val="32"/>
          <w:lang w:val="en-US" w:eastAsia="zh-CN"/>
        </w:rPr>
        <w:t>根据正定县财政局《正定县财政局关于开展2025年绩效自评工作的通知》安排，我单位高度重视，专门成立绩效评价工作领导小组，研究吃透此次绩效自评的工作任务、工作纪律和评价方法，确定评价指标和标准，对委员活动经费使用全过程及其支出的合规性、经济性、效率性和效益性进行客观公正评价，旨在突出成效，强化监督，保证资金的精准性、安全性、规范性和有效性。</w:t>
      </w:r>
    </w:p>
    <w:p w14:paraId="6A8DB871">
      <w:pPr>
        <w:numPr>
          <w:ilvl w:val="0"/>
          <w:numId w:val="5"/>
        </w:numPr>
        <w:spacing w:line="560" w:lineRule="exact"/>
        <w:rPr>
          <w:rFonts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自评的方法和过程</w:t>
      </w:r>
    </w:p>
    <w:p w14:paraId="16CF5940">
      <w:pPr>
        <w:spacing w:line="560" w:lineRule="exact"/>
        <w:ind w:firstLine="640" w:firstLineChars="200"/>
        <w:jc w:val="both"/>
        <w:rPr>
          <w:rFonts w:hint="eastAsia" w:ascii="仿宋" w:hAnsi="仿宋" w:eastAsia="仿宋"/>
          <w:color w:val="000000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color w:val="000000"/>
          <w:sz w:val="32"/>
          <w:szCs w:val="32"/>
          <w:lang w:val="en-US" w:eastAsia="zh-CN"/>
        </w:rPr>
        <w:t>绩效自评的方法。建立动态监控机制，时时跟进工作进展及经费的资金拨付情况，及时开展绩效自评，确保工作质量，提高资金使用效益。</w:t>
      </w:r>
    </w:p>
    <w:p w14:paraId="75B61DEA">
      <w:pPr>
        <w:spacing w:line="560" w:lineRule="exact"/>
        <w:ind w:firstLine="640" w:firstLineChars="200"/>
        <w:jc w:val="both"/>
        <w:rPr>
          <w:rFonts w:hint="eastAsia" w:ascii="仿宋" w:hAnsi="仿宋" w:eastAsia="仿宋"/>
          <w:color w:val="000000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color w:val="000000"/>
          <w:sz w:val="32"/>
          <w:szCs w:val="32"/>
          <w:lang w:val="en-US" w:eastAsia="zh-CN"/>
        </w:rPr>
        <w:t>绩效自评的过程。（1）前期准备。根据正定县财政局《正定县财政局关于开展2025年绩效自评工作的通知》要求，周密部署2024年财政专项资金绩效评价工作，制定了《2024年政协全会项目工作绩效评价工作实施方案》，明确绩效评价的内容和范围；研究制定了评价指标体系，并积极收集相关项目管理制度、资金使用及效果等相关资料，为实施评价工作奠定了基础。（2）组织实施。核实项目资金来源；根据收集的数据、资料进行核对、比较、计算，对项目的实施进行评分。（3）撰写绩效评价报告。对绩效评价情况进行整理、分析，综合评价政协委员活动工作取得的成效，完成我单位绩效评价报告的撰写工作。</w:t>
      </w:r>
    </w:p>
    <w:p w14:paraId="11F91D29">
      <w:pPr>
        <w:spacing w:line="560" w:lineRule="exact"/>
        <w:rPr>
          <w:rFonts w:ascii="黑体" w:hAnsi="黑体" w:eastAsia="黑体"/>
          <w:b/>
          <w:bCs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 xml:space="preserve">    三、部门整体支出绩效目标实现情况及指标分析</w:t>
      </w:r>
    </w:p>
    <w:p w14:paraId="46D2C00A">
      <w:pPr>
        <w:numPr>
          <w:ilvl w:val="0"/>
          <w:numId w:val="6"/>
        </w:numPr>
        <w:spacing w:line="560" w:lineRule="exact"/>
        <w:ind w:firstLine="640" w:firstLineChars="200"/>
        <w:rPr>
          <w:rFonts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总体绩效目标实现情况</w:t>
      </w:r>
    </w:p>
    <w:p w14:paraId="38174752">
      <w:pPr>
        <w:ind w:firstLine="640" w:firstLineChars="200"/>
        <w:rPr>
          <w:rFonts w:hint="eastAsia" w:ascii="仿宋" w:hAnsi="仿宋" w:eastAsia="仿宋" w:cs="黑体"/>
          <w:color w:val="000000"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黑体"/>
          <w:color w:val="000000"/>
          <w:kern w:val="2"/>
          <w:sz w:val="32"/>
          <w:szCs w:val="32"/>
          <w:lang w:val="en-US" w:eastAsia="zh-CN" w:bidi="ar-SA"/>
        </w:rPr>
        <w:t>我单位能够按照年初制定绩效目标要求，依据单位职责，依法有效地使用财政资金，提高财政资金使用效率，在完成单位职能目标中合理分配人、财、物，使之达到高的使用效率和实施效果，圆满完成年初制定的绩效目标任务。</w:t>
      </w:r>
    </w:p>
    <w:p w14:paraId="1179C885">
      <w:pPr>
        <w:numPr>
          <w:ilvl w:val="0"/>
          <w:numId w:val="6"/>
        </w:numPr>
        <w:spacing w:line="560" w:lineRule="exact"/>
        <w:ind w:left="0" w:leftChars="0" w:firstLine="640" w:firstLineChars="200"/>
        <w:rPr>
          <w:rFonts w:hint="eastAsia"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分项绩效目标实现情况及指标分析</w:t>
      </w:r>
    </w:p>
    <w:p w14:paraId="56B365F2">
      <w:pPr>
        <w:pStyle w:val="1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bidi w:val="0"/>
        <w:snapToGrid w:val="0"/>
        <w:spacing w:before="0" w:beforeAutospacing="0" w:after="0" w:afterAutospacing="0" w:line="580" w:lineRule="exact"/>
        <w:ind w:right="0" w:rightChars="0" w:firstLine="640" w:firstLineChars="200"/>
        <w:outlineLvl w:val="9"/>
        <w:rPr>
          <w:rStyle w:val="12"/>
          <w:rFonts w:hint="eastAsia" w:ascii="仿宋" w:hAnsi="仿宋" w:eastAsia="仿宋"/>
          <w:color w:val="D92142"/>
          <w:sz w:val="32"/>
          <w:szCs w:val="32"/>
          <w:lang w:val="en-US" w:eastAsia="zh-CN"/>
        </w:rPr>
      </w:pPr>
      <w:r>
        <w:rPr>
          <w:rFonts w:hint="eastAsia" w:ascii="仿宋" w:hAnsi="仿宋" w:eastAsia="仿宋" w:cs="黑体"/>
          <w:color w:val="000000"/>
          <w:kern w:val="2"/>
          <w:sz w:val="32"/>
          <w:szCs w:val="32"/>
          <w:lang w:val="en-US" w:eastAsia="zh-CN" w:bidi="ar-SA"/>
        </w:rPr>
        <w:t>政治协商：</w:t>
      </w:r>
      <w:r>
        <w:rPr>
          <w:rFonts w:hint="eastAsia" w:ascii="仿宋" w:hAnsi="仿宋" w:eastAsia="仿宋" w:cs="仿宋"/>
          <w:sz w:val="32"/>
          <w:szCs w:val="32"/>
        </w:rPr>
        <w:t>深刻把握新时代统一战线特点规律，尊重差异、包容体谅、求同存异，着力把凝聚共识工作融入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政协</w:t>
      </w:r>
      <w:r>
        <w:rPr>
          <w:rFonts w:hint="eastAsia" w:ascii="仿宋" w:hAnsi="仿宋" w:eastAsia="仿宋" w:cs="仿宋"/>
          <w:sz w:val="32"/>
          <w:szCs w:val="32"/>
        </w:rPr>
        <w:t>各项履职活动，巩固拓展凝心聚力工作矩阵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，</w:t>
      </w:r>
      <w:r>
        <w:rPr>
          <w:rFonts w:hint="eastAsia" w:ascii="仿宋" w:hAnsi="仿宋" w:eastAsia="仿宋" w:cs="仿宋"/>
          <w:sz w:val="32"/>
          <w:szCs w:val="32"/>
        </w:rPr>
        <w:t>在精诚合作中画出最大同心圆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。</w:t>
      </w:r>
      <w:r>
        <w:rPr>
          <w:rFonts w:hint="eastAsia" w:ascii="仿宋" w:hAnsi="仿宋" w:eastAsia="仿宋" w:cs="仿宋"/>
          <w:sz w:val="32"/>
          <w:szCs w:val="32"/>
        </w:rPr>
        <w:t>注重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大力</w:t>
      </w:r>
      <w:r>
        <w:rPr>
          <w:rFonts w:hint="eastAsia" w:ascii="仿宋" w:hAnsi="仿宋" w:eastAsia="仿宋" w:cs="仿宋"/>
          <w:sz w:val="32"/>
          <w:szCs w:val="32"/>
        </w:rPr>
        <w:t>营造协商文化，让更多意见被充分表达出来，真正通过协商出办法、出共识、出感情、出团结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，</w:t>
      </w:r>
      <w:r>
        <w:rPr>
          <w:rFonts w:hint="eastAsia" w:ascii="仿宋" w:hAnsi="仿宋" w:eastAsia="仿宋" w:cs="仿宋"/>
          <w:sz w:val="32"/>
          <w:szCs w:val="32"/>
        </w:rPr>
        <w:t>在以文化人中凝聚正能量，在拓宽渠道中找到最大公约数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。</w:t>
      </w:r>
      <w:r>
        <w:rPr>
          <w:rFonts w:hint="eastAsia" w:ascii="仿宋" w:hAnsi="仿宋" w:eastAsia="仿宋" w:cs="仿宋"/>
          <w:sz w:val="32"/>
          <w:szCs w:val="32"/>
        </w:rPr>
        <w:t>围绕改革发展重点任务、社会关注热点问题，解疑释惑、正面引导，团结委员向中心聚焦、为大局出力，放大协同叠加效应。</w:t>
      </w:r>
      <w:r>
        <w:rPr>
          <w:rFonts w:hint="eastAsia" w:ascii="仿宋" w:hAnsi="仿宋" w:eastAsia="仿宋"/>
          <w:sz w:val="32"/>
          <w:szCs w:val="32"/>
        </w:rPr>
        <w:t>充分发挥专门协商机构作用，聚焦中心大局选准议题，扎实开展调查研究、协商议政、监督落实，</w:t>
      </w:r>
      <w:r>
        <w:rPr>
          <w:rFonts w:hint="eastAsia" w:ascii="仿宋_GB2312" w:hAnsi="仿宋_GB2312" w:eastAsia="仿宋_GB2312"/>
          <w:color w:val="000000"/>
          <w:sz w:val="32"/>
          <w:szCs w:val="32"/>
          <w:lang w:val="en-US" w:eastAsia="zh-CN"/>
        </w:rPr>
        <w:t>积极组织协商、视察、调研活动，</w:t>
      </w:r>
      <w:r>
        <w:rPr>
          <w:rFonts w:hint="eastAsia" w:ascii="仿宋" w:hAnsi="仿宋" w:eastAsia="仿宋"/>
          <w:sz w:val="32"/>
          <w:szCs w:val="32"/>
        </w:rPr>
        <w:t>为助推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县域</w:t>
      </w:r>
      <w:r>
        <w:rPr>
          <w:rFonts w:hint="eastAsia" w:ascii="仿宋" w:hAnsi="仿宋" w:eastAsia="仿宋"/>
          <w:sz w:val="32"/>
          <w:szCs w:val="32"/>
        </w:rPr>
        <w:t>高质量发展蓄势赋能。聚焦重点领域和关键环节，对在建重点项目、寄宿制学校管理、农业种植结构调整、“四好农村路”建设、现代物流产业发展、利民实事完成情况等组织专题视察，从多个角度提出意见建议。</w:t>
      </w:r>
      <w:r>
        <w:rPr>
          <w:rFonts w:hint="eastAsia" w:ascii="仿宋_GB2312" w:hAnsi="仿宋_GB2312" w:eastAsia="仿宋_GB2312"/>
          <w:color w:val="000000"/>
          <w:sz w:val="32"/>
          <w:szCs w:val="32"/>
          <w:lang w:val="en-US" w:eastAsia="zh-CN"/>
        </w:rPr>
        <w:t>围绕改善农村人居环境、推进生物医药产业发展，坚持问题导向，深入实际、了解实情，形成了内容详实的调研报告。</w:t>
      </w:r>
      <w:r>
        <w:rPr>
          <w:rFonts w:hint="eastAsia" w:ascii="仿宋" w:hAnsi="仿宋" w:eastAsia="仿宋"/>
          <w:sz w:val="32"/>
          <w:szCs w:val="32"/>
        </w:rPr>
        <w:t>全年高质量完成了5项重点协商任务，形成大会发言材料1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4</w:t>
      </w:r>
      <w:r>
        <w:rPr>
          <w:rFonts w:hint="eastAsia" w:ascii="仿宋" w:hAnsi="仿宋" w:eastAsia="仿宋"/>
          <w:sz w:val="32"/>
          <w:szCs w:val="32"/>
        </w:rPr>
        <w:t>篇，助力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推动全县高质量发展</w:t>
      </w:r>
      <w:r>
        <w:rPr>
          <w:rFonts w:hint="eastAsia" w:ascii="仿宋" w:hAnsi="仿宋" w:eastAsia="仿宋"/>
          <w:sz w:val="32"/>
          <w:szCs w:val="32"/>
        </w:rPr>
        <w:t>。</w:t>
      </w:r>
      <w:r>
        <w:rPr>
          <w:rStyle w:val="12"/>
          <w:rFonts w:hint="eastAsia" w:ascii="仿宋" w:hAnsi="仿宋" w:eastAsia="仿宋"/>
          <w:color w:val="D92142"/>
          <w:sz w:val="32"/>
          <w:szCs w:val="32"/>
          <w:lang w:val="en-US" w:eastAsia="zh-CN"/>
        </w:rPr>
        <w:t xml:space="preserve"> </w:t>
      </w:r>
    </w:p>
    <w:p w14:paraId="0DE728C1">
      <w:pPr>
        <w:pStyle w:val="5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bidi w:val="0"/>
        <w:adjustRightInd w:val="0"/>
        <w:snapToGrid w:val="0"/>
        <w:spacing w:before="0" w:beforeAutospacing="0" w:after="0" w:afterAutospacing="0" w:line="560" w:lineRule="exact"/>
        <w:ind w:left="0" w:leftChars="0" w:right="0" w:rightChars="0"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民主监</w:t>
      </w:r>
      <w:r>
        <w:rPr>
          <w:rFonts w:hint="eastAsia" w:ascii="仿宋_GB2312" w:hAnsi="仿宋_GB2312" w:eastAsia="仿宋_GB2312"/>
          <w:color w:val="000000"/>
          <w:sz w:val="32"/>
          <w:szCs w:val="32"/>
          <w:lang w:val="en-US" w:eastAsia="zh-CN"/>
        </w:rPr>
        <w:t>督：政协民主监督是协商式监督，坚持平等协商、坦诚相见、畅所欲言、尊重不同意见表达是其重要原则。在加强民主监督制度机制建设中，自觉将协商民主贯穿于监督全过程，并在监督中广泛凝聚共识、智慧及力量，不断完善人民政协民主监督制度机制。通过民主监督方式，把跟踪落实事关人民群众切身利益实际问题的解决成效作为切入口，采用议题监督小组自主调研与应邀参加主责部门调研、集体调研与委员个人调研相结合等监督方式，将监督内容进一步与县政协年度协商计划对接，从多个方面有效增强政协民主监督的力度、广度与深度。</w:t>
      </w:r>
      <w:r>
        <w:rPr>
          <w:rFonts w:hint="eastAsia" w:ascii="仿宋" w:hAnsi="仿宋" w:eastAsia="仿宋" w:cs="仿宋"/>
          <w:sz w:val="32"/>
          <w:szCs w:val="32"/>
        </w:rPr>
        <w:t>重点关注就业、教育、医疗、养老、生态保护、社会保障等民生问题，强化协商式监督实践，以精准把脉问诊、精确监督建言体现政协温情，推动利民政策落到实处、惠民问题得到解决。</w:t>
      </w:r>
    </w:p>
    <w:p w14:paraId="456EA596">
      <w:pPr>
        <w:pStyle w:val="1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bidi w:val="0"/>
        <w:snapToGrid w:val="0"/>
        <w:spacing w:before="0" w:beforeAutospacing="0" w:after="0" w:afterAutospacing="0" w:line="580" w:lineRule="exact"/>
        <w:ind w:right="0" w:rightChars="0" w:firstLine="640" w:firstLineChars="200"/>
        <w:outlineLvl w:val="9"/>
        <w:rPr>
          <w:rStyle w:val="12"/>
          <w:rFonts w:hint="eastAsia" w:ascii="仿宋" w:hAnsi="仿宋" w:eastAsia="仿宋"/>
          <w:color w:val="D9214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/>
          <w:color w:val="000000"/>
          <w:sz w:val="32"/>
          <w:szCs w:val="32"/>
          <w:lang w:val="en-US" w:eastAsia="zh-CN"/>
        </w:rPr>
        <w:t>参政议政：聚</w:t>
      </w:r>
      <w:r>
        <w:rPr>
          <w:rFonts w:hint="eastAsia" w:ascii="仿宋" w:hAnsi="仿宋" w:eastAsia="仿宋"/>
          <w:sz w:val="32"/>
          <w:szCs w:val="32"/>
        </w:rPr>
        <w:t>焦拼经济、抓发展，把党政工作取向作为政协工作指向</w:t>
      </w:r>
      <w:r>
        <w:rPr>
          <w:rFonts w:hint="eastAsia" w:ascii="仿宋" w:hAnsi="仿宋" w:eastAsia="仿宋"/>
          <w:sz w:val="32"/>
          <w:szCs w:val="32"/>
          <w:lang w:eastAsia="zh-CN"/>
        </w:rPr>
        <w:t>，</w:t>
      </w:r>
      <w:r>
        <w:rPr>
          <w:rFonts w:hint="eastAsia" w:ascii="仿宋" w:hAnsi="仿宋" w:eastAsia="仿宋"/>
          <w:sz w:val="32"/>
          <w:szCs w:val="32"/>
        </w:rPr>
        <w:t>着眼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重点</w:t>
      </w:r>
      <w:r>
        <w:rPr>
          <w:rFonts w:hint="eastAsia" w:ascii="仿宋" w:hAnsi="仿宋" w:eastAsia="仿宋"/>
          <w:sz w:val="32"/>
          <w:szCs w:val="32"/>
        </w:rPr>
        <w:t>项目建设，开展常委会视察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已</w:t>
      </w:r>
      <w:r>
        <w:rPr>
          <w:rFonts w:hint="eastAsia" w:ascii="仿宋" w:hAnsi="仿宋" w:eastAsia="仿宋"/>
          <w:sz w:val="32"/>
          <w:szCs w:val="32"/>
        </w:rPr>
        <w:t>成为一项工作机制，引导政协常委汇聚力量，共同助推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县</w:t>
      </w:r>
      <w:r>
        <w:rPr>
          <w:rFonts w:hint="eastAsia" w:ascii="仿宋" w:hAnsi="仿宋" w:eastAsia="仿宋"/>
          <w:sz w:val="32"/>
          <w:szCs w:val="32"/>
        </w:rPr>
        <w:t>委、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县</w:t>
      </w:r>
      <w:r>
        <w:rPr>
          <w:rFonts w:hint="eastAsia" w:ascii="仿宋" w:hAnsi="仿宋" w:eastAsia="仿宋"/>
          <w:sz w:val="32"/>
          <w:szCs w:val="32"/>
        </w:rPr>
        <w:t>政府重大项目攻坚。围绕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优化营商环境</w:t>
      </w:r>
      <w:r>
        <w:rPr>
          <w:rFonts w:hint="eastAsia" w:ascii="仿宋" w:hAnsi="仿宋" w:eastAsia="仿宋"/>
          <w:sz w:val="32"/>
          <w:szCs w:val="32"/>
        </w:rPr>
        <w:t>、生态文明建设、乡村全面振兴</w:t>
      </w:r>
      <w:r>
        <w:rPr>
          <w:rFonts w:hint="eastAsia" w:ascii="仿宋" w:hAnsi="仿宋" w:eastAsia="仿宋"/>
          <w:sz w:val="32"/>
          <w:szCs w:val="32"/>
          <w:lang w:eastAsia="zh-CN"/>
        </w:rPr>
        <w:t>、</w:t>
      </w:r>
      <w:r>
        <w:rPr>
          <w:rFonts w:hint="eastAsia" w:ascii="仿宋" w:hAnsi="仿宋" w:eastAsia="仿宋"/>
          <w:sz w:val="32"/>
          <w:szCs w:val="32"/>
        </w:rPr>
        <w:t>基层社会治理等攸关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全县</w:t>
      </w:r>
      <w:r>
        <w:rPr>
          <w:rFonts w:hint="eastAsia" w:ascii="仿宋" w:hAnsi="仿宋" w:eastAsia="仿宋"/>
          <w:sz w:val="32"/>
          <w:szCs w:val="32"/>
        </w:rPr>
        <w:t>发展的综合性重大议题，以协商促改进、以监督助落实，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积极</w:t>
      </w:r>
      <w:r>
        <w:rPr>
          <w:rFonts w:hint="eastAsia" w:ascii="仿宋" w:hAnsi="仿宋" w:eastAsia="仿宋"/>
          <w:sz w:val="32"/>
          <w:szCs w:val="32"/>
        </w:rPr>
        <w:t>为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县</w:t>
      </w:r>
      <w:r>
        <w:rPr>
          <w:rFonts w:hint="eastAsia" w:ascii="仿宋" w:hAnsi="仿宋" w:eastAsia="仿宋"/>
          <w:sz w:val="32"/>
          <w:szCs w:val="32"/>
        </w:rPr>
        <w:t>委、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县</w:t>
      </w:r>
      <w:r>
        <w:rPr>
          <w:rFonts w:hint="eastAsia" w:ascii="仿宋" w:hAnsi="仿宋" w:eastAsia="仿宋"/>
          <w:sz w:val="32"/>
          <w:szCs w:val="32"/>
        </w:rPr>
        <w:t>政府决策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提供</w:t>
      </w:r>
      <w:r>
        <w:rPr>
          <w:rFonts w:hint="eastAsia" w:ascii="仿宋" w:hAnsi="仿宋" w:eastAsia="仿宋"/>
          <w:sz w:val="32"/>
          <w:szCs w:val="32"/>
        </w:rPr>
        <w:t>参考</w:t>
      </w:r>
      <w:r>
        <w:rPr>
          <w:rFonts w:hint="eastAsia" w:ascii="仿宋" w:hAnsi="仿宋" w:eastAsia="仿宋"/>
          <w:sz w:val="32"/>
          <w:szCs w:val="32"/>
          <w:lang w:eastAsia="zh-CN"/>
        </w:rPr>
        <w:t>，</w:t>
      </w:r>
      <w:r>
        <w:rPr>
          <w:rFonts w:hint="eastAsia" w:ascii="仿宋" w:hAnsi="仿宋" w:eastAsia="仿宋"/>
          <w:sz w:val="32"/>
          <w:szCs w:val="32"/>
        </w:rPr>
        <w:t>发挥“协商+监督”作用，让政协履职饱含民生温度。</w:t>
      </w:r>
      <w:r>
        <w:rPr>
          <w:rFonts w:hint="eastAsia" w:ascii="仿宋_GB2312" w:hAnsi="仿宋_GB2312" w:eastAsia="仿宋_GB2312"/>
          <w:color w:val="000000"/>
          <w:sz w:val="32"/>
          <w:szCs w:val="32"/>
          <w:lang w:val="en-US" w:eastAsia="zh-CN"/>
        </w:rPr>
        <w:t>紧盯重点环节，通过“小切口”发力，针对农村饮水安全、城内小区管理运行、学校食堂经营管理及食品安全组织视察协商，不断增进人民群众的获得感、幸福感、安全感。</w:t>
      </w:r>
      <w:r>
        <w:rPr>
          <w:rStyle w:val="12"/>
          <w:rFonts w:hint="eastAsia" w:ascii="仿宋" w:hAnsi="仿宋" w:eastAsia="仿宋"/>
          <w:color w:val="D92142"/>
          <w:sz w:val="32"/>
          <w:szCs w:val="32"/>
          <w:lang w:val="en-US" w:eastAsia="zh-CN"/>
        </w:rPr>
        <w:t xml:space="preserve"> </w:t>
      </w:r>
    </w:p>
    <w:p w14:paraId="3900C2BD">
      <w:pPr>
        <w:pStyle w:val="5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bidi w:val="0"/>
        <w:adjustRightInd w:val="0"/>
        <w:snapToGrid w:val="0"/>
        <w:spacing w:before="0" w:beforeAutospacing="0" w:after="0" w:afterAutospacing="0" w:line="560" w:lineRule="exact"/>
        <w:ind w:left="0" w:leftChars="0" w:right="0" w:rightChars="0" w:firstLine="640" w:firstLineChars="200"/>
        <w:textAlignment w:val="auto"/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政协事务管理：</w:t>
      </w:r>
      <w:r>
        <w:rPr>
          <w:rFonts w:hint="default" w:ascii="仿宋" w:hAnsi="仿宋" w:eastAsia="仿宋" w:cs="仿宋"/>
          <w:sz w:val="32"/>
          <w:szCs w:val="32"/>
        </w:rPr>
        <w:t>健全完善深度协商互动、意见充分表达、广泛凝聚共识机制，反映社情民意、联系群众、服务人民机制，民主监督和协商成果采纳、落实、反馈机制等，持续加强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县</w:t>
      </w:r>
      <w:r>
        <w:rPr>
          <w:rFonts w:hint="default" w:ascii="仿宋" w:hAnsi="仿宋" w:eastAsia="仿宋" w:cs="仿宋"/>
          <w:sz w:val="32"/>
          <w:szCs w:val="32"/>
        </w:rPr>
        <w:t>政协常委会、专委会、界别建设，更加注重委员履职能力培训，不断提高建言“靶向性”、增强资政“含金量”。持续加强机关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建设</w:t>
      </w:r>
      <w:r>
        <w:rPr>
          <w:rFonts w:hint="default" w:ascii="仿宋" w:hAnsi="仿宋" w:eastAsia="仿宋" w:cs="仿宋"/>
          <w:sz w:val="32"/>
          <w:szCs w:val="32"/>
        </w:rPr>
        <w:t>管理，提高工作效能和服务保障水平，真正把政协机关建成委员之家、民主之家、团结之家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/>
          <w:color w:val="000000"/>
          <w:sz w:val="32"/>
          <w:szCs w:val="32"/>
          <w:lang w:val="en-US" w:eastAsia="zh-CN"/>
        </w:rPr>
        <w:t>全力打造忠诚、干净、担当的政协机关干部队伍，营造干事创业的良好氛围</w:t>
      </w:r>
      <w:r>
        <w:rPr>
          <w:rFonts w:hint="default" w:ascii="仿宋" w:hAnsi="仿宋" w:eastAsia="仿宋" w:cs="仿宋"/>
          <w:sz w:val="32"/>
          <w:szCs w:val="32"/>
        </w:rPr>
        <w:t>，</w:t>
      </w:r>
      <w:r>
        <w:rPr>
          <w:rFonts w:hint="eastAsia" w:ascii="仿宋" w:hAnsi="仿宋" w:eastAsia="仿宋" w:cs="仿宋"/>
          <w:sz w:val="32"/>
          <w:szCs w:val="32"/>
        </w:rPr>
        <w:t>助力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推动全县高质量发展</w:t>
      </w:r>
      <w:r>
        <w:rPr>
          <w:rFonts w:hint="eastAsia" w:ascii="仿宋" w:hAnsi="仿宋" w:eastAsia="仿宋" w:cs="仿宋"/>
          <w:sz w:val="32"/>
          <w:szCs w:val="32"/>
        </w:rPr>
        <w:t>。</w:t>
      </w:r>
      <w:r>
        <w:rPr>
          <w:rStyle w:val="8"/>
          <w:rFonts w:hint="eastAsia" w:ascii="仿宋" w:hAnsi="仿宋" w:eastAsia="仿宋" w:cs="仿宋"/>
          <w:color w:val="D92142"/>
          <w:sz w:val="32"/>
          <w:szCs w:val="32"/>
          <w:lang w:val="en-US" w:eastAsia="zh-CN"/>
        </w:rPr>
        <w:t xml:space="preserve"> </w:t>
      </w:r>
    </w:p>
    <w:p w14:paraId="0CB179E5">
      <w:pPr>
        <w:spacing w:line="560" w:lineRule="exact"/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四、评价结论和评价等级</w:t>
      </w:r>
    </w:p>
    <w:p w14:paraId="7C735CEF">
      <w:pPr>
        <w:spacing w:line="560" w:lineRule="exact"/>
        <w:ind w:firstLine="640" w:firstLineChars="200"/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2024年度各项目执行情况和项目绩效情况运行良好，均达到了绩效目标要求，取得了良好的社会效益、经济效益。经综合测评，各项目</w:t>
      </w:r>
      <w:r>
        <w:rPr>
          <w:rFonts w:hint="eastAsia" w:ascii="仿宋" w:hAnsi="仿宋" w:eastAsia="仿宋" w:cs="仿宋"/>
          <w:color w:val="auto"/>
          <w:kern w:val="2"/>
          <w:sz w:val="32"/>
          <w:szCs w:val="32"/>
          <w:lang w:val="en-US" w:eastAsia="zh-CN" w:bidi="ar-SA"/>
        </w:rPr>
        <w:t>绩效评价等级均为优秀。</w:t>
      </w:r>
    </w:p>
    <w:p w14:paraId="300599C4">
      <w:pPr>
        <w:spacing w:line="560" w:lineRule="exact"/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五、存在的问题及改进措施</w:t>
      </w:r>
    </w:p>
    <w:p w14:paraId="2D60F73D">
      <w:pPr>
        <w:spacing w:line="560" w:lineRule="exact"/>
        <w:ind w:firstLine="640" w:firstLineChars="200"/>
        <w:rPr>
          <w:rFonts w:hint="eastAsia" w:ascii="楷体" w:hAnsi="楷体" w:eastAsia="楷体"/>
          <w:bCs/>
          <w:sz w:val="32"/>
          <w:szCs w:val="32"/>
        </w:rPr>
      </w:pPr>
      <w:r>
        <w:rPr>
          <w:rFonts w:hint="eastAsia" w:ascii="楷体" w:hAnsi="楷体" w:eastAsia="楷体"/>
          <w:bCs/>
          <w:sz w:val="32"/>
          <w:szCs w:val="32"/>
        </w:rPr>
        <w:t>（一）存在的主要问题</w:t>
      </w:r>
    </w:p>
    <w:p w14:paraId="212D68F4">
      <w:pPr>
        <w:spacing w:line="560" w:lineRule="exact"/>
        <w:ind w:firstLine="640" w:firstLineChars="200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绩效理念稍显薄弱，绩效评价工作水平还需再提升。</w:t>
      </w:r>
    </w:p>
    <w:p w14:paraId="11374E3C">
      <w:pPr>
        <w:numPr>
          <w:ilvl w:val="0"/>
          <w:numId w:val="7"/>
        </w:numPr>
        <w:spacing w:line="560" w:lineRule="exact"/>
        <w:ind w:firstLine="640" w:firstLineChars="200"/>
        <w:rPr>
          <w:rFonts w:hint="eastAsia" w:ascii="楷体" w:hAnsi="楷体" w:eastAsia="楷体"/>
          <w:bCs/>
          <w:sz w:val="32"/>
          <w:szCs w:val="32"/>
        </w:rPr>
      </w:pPr>
      <w:r>
        <w:rPr>
          <w:rFonts w:hint="eastAsia" w:ascii="楷体" w:hAnsi="楷体" w:eastAsia="楷体"/>
          <w:bCs/>
          <w:sz w:val="32"/>
          <w:szCs w:val="32"/>
        </w:rPr>
        <w:t>针对问题提出具体的改进措施或建议</w:t>
      </w:r>
    </w:p>
    <w:p w14:paraId="7775ACE8">
      <w:pPr>
        <w:spacing w:line="560" w:lineRule="exact"/>
        <w:ind w:firstLine="640" w:firstLineChars="200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下一步，我单位将严格按照上级部门及县财政相关要求，深入推进部门整体绩效自评工作，提高部门履职效能和公共服务质量，建立健全绩效评价常态机制，提高绩效评价质量，不断改进绩效评价工作方式，提升预算绩效管理水平，切实提高财政资金使用效益。</w:t>
      </w:r>
    </w:p>
    <w:p w14:paraId="6A01929A">
      <w:pPr>
        <w:adjustRightInd w:val="0"/>
        <w:snapToGrid w:val="0"/>
        <w:spacing w:line="560" w:lineRule="exact"/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六、评价工作组人员名单及签字（姓名、工作单位、职务、职称）</w:t>
      </w:r>
    </w:p>
    <w:tbl>
      <w:tblPr>
        <w:tblStyle w:val="6"/>
        <w:tblW w:w="8875" w:type="dxa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5" w:type="dxa"/>
          <w:bottom w:w="0" w:type="dxa"/>
          <w:right w:w="15" w:type="dxa"/>
        </w:tblCellMar>
      </w:tblPr>
      <w:tblGrid>
        <w:gridCol w:w="592"/>
        <w:gridCol w:w="973"/>
        <w:gridCol w:w="1110"/>
        <w:gridCol w:w="1836"/>
        <w:gridCol w:w="2762"/>
        <w:gridCol w:w="1602"/>
      </w:tblGrid>
      <w:tr w14:paraId="41C6E6C6">
        <w:tblPrEx>
          <w:tblCellMar>
            <w:top w:w="0" w:type="dxa"/>
            <w:left w:w="15" w:type="dxa"/>
            <w:bottom w:w="0" w:type="dxa"/>
            <w:right w:w="15" w:type="dxa"/>
          </w:tblCellMar>
        </w:tblPrEx>
        <w:trPr>
          <w:trHeight w:val="900" w:hRule="atLeast"/>
        </w:trPr>
        <w:tc>
          <w:tcPr>
            <w:tcW w:w="8875" w:type="dxa"/>
            <w:gridSpan w:val="6"/>
            <w:vAlign w:val="center"/>
          </w:tcPr>
          <w:p w14:paraId="48BC6A4C">
            <w:pPr>
              <w:autoSpaceDN w:val="0"/>
              <w:jc w:val="center"/>
              <w:textAlignment w:val="center"/>
              <w:rPr>
                <w:rFonts w:hint="default" w:ascii="黑体" w:hAnsi="黑体" w:eastAsia="黑体"/>
                <w:b w:val="0"/>
                <w:i w:val="0"/>
                <w:color w:val="000000"/>
                <w:sz w:val="44"/>
                <w:u w:val="none"/>
                <w:lang w:eastAsia="zh-CN"/>
              </w:rPr>
            </w:pPr>
            <w:r>
              <w:rPr>
                <w:rFonts w:hint="default" w:ascii="黑体" w:hAnsi="黑体" w:eastAsia="黑体"/>
                <w:b w:val="0"/>
                <w:i w:val="0"/>
                <w:color w:val="000000"/>
                <w:sz w:val="44"/>
                <w:u w:val="none"/>
                <w:lang w:eastAsia="zh-CN"/>
              </w:rPr>
              <w:t>绩效评价工作领导小组</w:t>
            </w:r>
          </w:p>
        </w:tc>
      </w:tr>
      <w:tr w14:paraId="20D7923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5" w:type="dxa"/>
            <w:bottom w:w="0" w:type="dxa"/>
            <w:right w:w="15" w:type="dxa"/>
          </w:tblCellMar>
        </w:tblPrEx>
        <w:trPr>
          <w:trHeight w:val="285" w:hRule="atLeast"/>
        </w:trPr>
        <w:tc>
          <w:tcPr>
            <w:tcW w:w="592" w:type="dxa"/>
            <w:vAlign w:val="center"/>
          </w:tcPr>
          <w:p w14:paraId="2B255C37">
            <w:pPr>
              <w:autoSpaceDN w:val="0"/>
              <w:jc w:val="left"/>
              <w:textAlignment w:val="center"/>
              <w:rPr>
                <w:rFonts w:hint="default" w:ascii="宋体" w:hAnsi="宋体" w:eastAsia="宋体"/>
                <w:b w:val="0"/>
                <w:i w:val="0"/>
                <w:color w:val="000000"/>
                <w:sz w:val="24"/>
                <w:u w:val="none"/>
                <w:lang w:eastAsia="zh-CN"/>
              </w:rPr>
            </w:pPr>
          </w:p>
        </w:tc>
        <w:tc>
          <w:tcPr>
            <w:tcW w:w="973" w:type="dxa"/>
            <w:vAlign w:val="center"/>
          </w:tcPr>
          <w:p w14:paraId="3BC9827F">
            <w:pPr>
              <w:autoSpaceDN w:val="0"/>
              <w:jc w:val="left"/>
              <w:textAlignment w:val="center"/>
              <w:rPr>
                <w:rFonts w:hint="default" w:ascii="宋体" w:hAnsi="宋体" w:eastAsia="宋体"/>
                <w:b w:val="0"/>
                <w:i w:val="0"/>
                <w:color w:val="000000"/>
                <w:sz w:val="24"/>
                <w:u w:val="none"/>
                <w:lang w:eastAsia="zh-CN"/>
              </w:rPr>
            </w:pPr>
          </w:p>
        </w:tc>
        <w:tc>
          <w:tcPr>
            <w:tcW w:w="1110" w:type="dxa"/>
            <w:vAlign w:val="center"/>
          </w:tcPr>
          <w:p w14:paraId="35D3686F">
            <w:pPr>
              <w:autoSpaceDN w:val="0"/>
              <w:jc w:val="left"/>
              <w:textAlignment w:val="center"/>
              <w:rPr>
                <w:rFonts w:hint="default" w:ascii="宋体" w:hAnsi="宋体" w:eastAsia="宋体"/>
                <w:b w:val="0"/>
                <w:i w:val="0"/>
                <w:color w:val="000000"/>
                <w:sz w:val="24"/>
                <w:u w:val="none"/>
                <w:lang w:eastAsia="zh-CN"/>
              </w:rPr>
            </w:pPr>
          </w:p>
        </w:tc>
        <w:tc>
          <w:tcPr>
            <w:tcW w:w="1836" w:type="dxa"/>
            <w:vAlign w:val="center"/>
          </w:tcPr>
          <w:p w14:paraId="07DF09F2">
            <w:pPr>
              <w:autoSpaceDN w:val="0"/>
              <w:jc w:val="left"/>
              <w:textAlignment w:val="center"/>
              <w:rPr>
                <w:rFonts w:hint="default" w:ascii="宋体" w:hAnsi="宋体" w:eastAsia="宋体"/>
                <w:b w:val="0"/>
                <w:i w:val="0"/>
                <w:color w:val="000000"/>
                <w:sz w:val="24"/>
                <w:u w:val="none"/>
                <w:lang w:eastAsia="zh-CN"/>
              </w:rPr>
            </w:pPr>
          </w:p>
        </w:tc>
        <w:tc>
          <w:tcPr>
            <w:tcW w:w="2762" w:type="dxa"/>
            <w:vAlign w:val="center"/>
          </w:tcPr>
          <w:p w14:paraId="2D9A098C">
            <w:pPr>
              <w:autoSpaceDN w:val="0"/>
              <w:jc w:val="left"/>
              <w:textAlignment w:val="center"/>
              <w:rPr>
                <w:rFonts w:hint="default" w:ascii="宋体" w:hAnsi="宋体" w:eastAsia="宋体"/>
                <w:b w:val="0"/>
                <w:i w:val="0"/>
                <w:color w:val="000000"/>
                <w:sz w:val="24"/>
                <w:u w:val="none"/>
                <w:lang w:eastAsia="zh-CN"/>
              </w:rPr>
            </w:pPr>
          </w:p>
        </w:tc>
        <w:tc>
          <w:tcPr>
            <w:tcW w:w="1602" w:type="dxa"/>
            <w:vAlign w:val="center"/>
          </w:tcPr>
          <w:p w14:paraId="389F14BB">
            <w:pPr>
              <w:autoSpaceDN w:val="0"/>
              <w:jc w:val="left"/>
              <w:textAlignment w:val="center"/>
              <w:rPr>
                <w:rFonts w:hint="default" w:ascii="宋体" w:hAnsi="宋体" w:eastAsia="宋体"/>
                <w:b w:val="0"/>
                <w:i w:val="0"/>
                <w:color w:val="000000"/>
                <w:sz w:val="24"/>
                <w:u w:val="none"/>
                <w:lang w:eastAsia="zh-CN"/>
              </w:rPr>
            </w:pPr>
          </w:p>
        </w:tc>
      </w:tr>
      <w:tr w14:paraId="728D134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5" w:type="dxa"/>
            <w:bottom w:w="0" w:type="dxa"/>
            <w:right w:w="15" w:type="dxa"/>
          </w:tblCellMar>
        </w:tblPrEx>
        <w:trPr>
          <w:trHeight w:val="690" w:hRule="atLeast"/>
        </w:trPr>
        <w:tc>
          <w:tcPr>
            <w:tcW w:w="592" w:type="dxa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vAlign w:val="center"/>
          </w:tcPr>
          <w:p w14:paraId="20C723EF">
            <w:pPr>
              <w:autoSpaceDN w:val="0"/>
              <w:jc w:val="center"/>
              <w:textAlignment w:val="center"/>
              <w:rPr>
                <w:rFonts w:hint="default" w:ascii="仿宋" w:hAnsi="仿宋" w:eastAsia="仿宋"/>
                <w:b w:val="0"/>
                <w:i w:val="0"/>
                <w:color w:val="000000"/>
                <w:sz w:val="24"/>
                <w:u w:val="none"/>
                <w:lang w:eastAsia="zh-CN"/>
              </w:rPr>
            </w:pPr>
            <w:r>
              <w:rPr>
                <w:rFonts w:hint="default" w:ascii="仿宋" w:hAnsi="仿宋" w:eastAsia="仿宋"/>
                <w:b w:val="0"/>
                <w:i w:val="0"/>
                <w:color w:val="000000"/>
                <w:sz w:val="24"/>
                <w:u w:val="none"/>
                <w:lang w:eastAsia="zh-CN"/>
              </w:rPr>
              <w:t>序号</w:t>
            </w:r>
          </w:p>
        </w:tc>
        <w:tc>
          <w:tcPr>
            <w:tcW w:w="973" w:type="dxa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CB4CD5B">
            <w:pPr>
              <w:autoSpaceDN w:val="0"/>
              <w:jc w:val="center"/>
              <w:textAlignment w:val="center"/>
              <w:rPr>
                <w:rFonts w:hint="default" w:ascii="仿宋" w:hAnsi="仿宋" w:eastAsia="仿宋"/>
                <w:b w:val="0"/>
                <w:i w:val="0"/>
                <w:color w:val="000000"/>
                <w:sz w:val="24"/>
                <w:u w:val="none"/>
                <w:lang w:eastAsia="zh-CN"/>
              </w:rPr>
            </w:pPr>
            <w:r>
              <w:rPr>
                <w:rFonts w:hint="default" w:ascii="仿宋" w:hAnsi="仿宋" w:eastAsia="仿宋"/>
                <w:b w:val="0"/>
                <w:i w:val="0"/>
                <w:color w:val="000000"/>
                <w:sz w:val="24"/>
                <w:u w:val="none"/>
                <w:lang w:eastAsia="zh-CN"/>
              </w:rPr>
              <w:t>人员类别</w:t>
            </w:r>
          </w:p>
        </w:tc>
        <w:tc>
          <w:tcPr>
            <w:tcW w:w="1110" w:type="dxa"/>
            <w:tcBorders>
              <w:top w:val="single" w:color="000000" w:sz="4" w:space="0"/>
              <w:right w:val="single" w:color="000000" w:sz="4" w:space="0"/>
            </w:tcBorders>
            <w:vAlign w:val="center"/>
          </w:tcPr>
          <w:p w14:paraId="54D90C2E">
            <w:pPr>
              <w:autoSpaceDN w:val="0"/>
              <w:jc w:val="center"/>
              <w:textAlignment w:val="center"/>
              <w:rPr>
                <w:rFonts w:hint="default" w:ascii="仿宋" w:hAnsi="仿宋" w:eastAsia="仿宋"/>
                <w:b w:val="0"/>
                <w:i w:val="0"/>
                <w:color w:val="000000"/>
                <w:sz w:val="24"/>
                <w:u w:val="none"/>
                <w:lang w:eastAsia="zh-CN"/>
              </w:rPr>
            </w:pPr>
            <w:r>
              <w:rPr>
                <w:rFonts w:hint="default" w:ascii="仿宋" w:hAnsi="仿宋" w:eastAsia="仿宋"/>
                <w:b w:val="0"/>
                <w:i w:val="0"/>
                <w:color w:val="000000"/>
                <w:sz w:val="24"/>
                <w:u w:val="none"/>
                <w:lang w:eastAsia="zh-CN"/>
              </w:rPr>
              <w:t>姓 名</w:t>
            </w:r>
          </w:p>
        </w:tc>
        <w:tc>
          <w:tcPr>
            <w:tcW w:w="1836" w:type="dxa"/>
            <w:tcBorders>
              <w:top w:val="single" w:color="000000" w:sz="4" w:space="0"/>
              <w:right w:val="single" w:color="000000" w:sz="4" w:space="0"/>
            </w:tcBorders>
            <w:vAlign w:val="center"/>
          </w:tcPr>
          <w:p w14:paraId="3091BA6C">
            <w:pPr>
              <w:autoSpaceDN w:val="0"/>
              <w:jc w:val="center"/>
              <w:textAlignment w:val="center"/>
              <w:rPr>
                <w:rFonts w:hint="default" w:ascii="仿宋" w:hAnsi="仿宋" w:eastAsia="仿宋"/>
                <w:b w:val="0"/>
                <w:i w:val="0"/>
                <w:color w:val="000000"/>
                <w:sz w:val="24"/>
                <w:u w:val="none"/>
                <w:lang w:eastAsia="zh-CN"/>
              </w:rPr>
            </w:pPr>
            <w:r>
              <w:rPr>
                <w:rFonts w:hint="default" w:ascii="仿宋" w:hAnsi="仿宋" w:eastAsia="仿宋"/>
                <w:b w:val="0"/>
                <w:i w:val="0"/>
                <w:color w:val="000000"/>
                <w:sz w:val="24"/>
                <w:u w:val="none"/>
                <w:lang w:eastAsia="zh-CN"/>
              </w:rPr>
              <w:t>工作单位</w:t>
            </w:r>
          </w:p>
        </w:tc>
        <w:tc>
          <w:tcPr>
            <w:tcW w:w="2762" w:type="dxa"/>
            <w:tcBorders>
              <w:top w:val="single" w:color="000000" w:sz="4" w:space="0"/>
              <w:right w:val="single" w:color="000000" w:sz="4" w:space="0"/>
            </w:tcBorders>
            <w:vAlign w:val="center"/>
          </w:tcPr>
          <w:p w14:paraId="2B4985F2">
            <w:pPr>
              <w:autoSpaceDN w:val="0"/>
              <w:jc w:val="center"/>
              <w:textAlignment w:val="center"/>
              <w:rPr>
                <w:rFonts w:hint="default" w:ascii="仿宋" w:hAnsi="仿宋" w:eastAsia="仿宋"/>
                <w:b w:val="0"/>
                <w:i w:val="0"/>
                <w:color w:val="000000"/>
                <w:sz w:val="24"/>
                <w:u w:val="none"/>
                <w:lang w:eastAsia="zh-CN"/>
              </w:rPr>
            </w:pPr>
            <w:r>
              <w:rPr>
                <w:rFonts w:hint="default" w:ascii="仿宋" w:hAnsi="仿宋" w:eastAsia="仿宋"/>
                <w:b w:val="0"/>
                <w:i w:val="0"/>
                <w:color w:val="000000"/>
                <w:sz w:val="24"/>
                <w:u w:val="none"/>
                <w:lang w:eastAsia="zh-CN"/>
              </w:rPr>
              <w:t>职 务</w:t>
            </w:r>
          </w:p>
        </w:tc>
        <w:tc>
          <w:tcPr>
            <w:tcW w:w="1602" w:type="dxa"/>
            <w:tcBorders>
              <w:top w:val="single" w:color="000000" w:sz="4" w:space="0"/>
              <w:right w:val="single" w:color="000000" w:sz="4" w:space="0"/>
            </w:tcBorders>
            <w:vAlign w:val="center"/>
          </w:tcPr>
          <w:p w14:paraId="775CCF4C">
            <w:pPr>
              <w:autoSpaceDN w:val="0"/>
              <w:jc w:val="center"/>
              <w:textAlignment w:val="center"/>
              <w:rPr>
                <w:rFonts w:hint="default" w:ascii="仿宋" w:hAnsi="仿宋" w:eastAsia="仿宋"/>
                <w:b w:val="0"/>
                <w:i w:val="0"/>
                <w:color w:val="000000"/>
                <w:sz w:val="24"/>
                <w:u w:val="none"/>
                <w:lang w:eastAsia="zh-CN"/>
              </w:rPr>
            </w:pPr>
            <w:r>
              <w:rPr>
                <w:rFonts w:hint="default" w:ascii="仿宋" w:hAnsi="仿宋" w:eastAsia="仿宋"/>
                <w:b w:val="0"/>
                <w:i w:val="0"/>
                <w:color w:val="000000"/>
                <w:sz w:val="24"/>
                <w:u w:val="none"/>
                <w:lang w:eastAsia="zh-CN"/>
              </w:rPr>
              <w:t>签 名</w:t>
            </w:r>
          </w:p>
        </w:tc>
      </w:tr>
      <w:tr w14:paraId="52D6663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5" w:type="dxa"/>
            <w:bottom w:w="0" w:type="dxa"/>
            <w:right w:w="15" w:type="dxa"/>
          </w:tblCellMar>
        </w:tblPrEx>
        <w:trPr>
          <w:trHeight w:val="690" w:hRule="atLeast"/>
        </w:trPr>
        <w:tc>
          <w:tcPr>
            <w:tcW w:w="5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A21FB67">
            <w:pPr>
              <w:autoSpaceDN w:val="0"/>
              <w:jc w:val="center"/>
              <w:textAlignment w:val="center"/>
              <w:rPr>
                <w:rFonts w:hint="default" w:ascii="仿宋" w:hAnsi="仿宋" w:eastAsia="仿宋"/>
                <w:b w:val="0"/>
                <w:i w:val="0"/>
                <w:color w:val="000000"/>
                <w:sz w:val="24"/>
                <w:u w:val="none"/>
                <w:lang w:eastAsia="zh-CN"/>
              </w:rPr>
            </w:pPr>
            <w:r>
              <w:rPr>
                <w:rFonts w:hint="default" w:ascii="仿宋" w:hAnsi="仿宋" w:eastAsia="仿宋"/>
                <w:b w:val="0"/>
                <w:i w:val="0"/>
                <w:color w:val="000000"/>
                <w:sz w:val="24"/>
                <w:u w:val="none"/>
                <w:lang w:eastAsia="zh-CN"/>
              </w:rPr>
              <w:t>1</w:t>
            </w:r>
          </w:p>
        </w:tc>
        <w:tc>
          <w:tcPr>
            <w:tcW w:w="973" w:type="dxa"/>
            <w:tcBorders>
              <w:bottom w:val="single" w:color="000000" w:sz="4" w:space="0"/>
            </w:tcBorders>
            <w:vAlign w:val="center"/>
          </w:tcPr>
          <w:p w14:paraId="077A4E79">
            <w:pPr>
              <w:autoSpaceDN w:val="0"/>
              <w:jc w:val="center"/>
              <w:textAlignment w:val="center"/>
              <w:rPr>
                <w:rFonts w:hint="default" w:ascii="仿宋" w:hAnsi="仿宋" w:eastAsia="仿宋"/>
                <w:b w:val="0"/>
                <w:i w:val="0"/>
                <w:color w:val="000000"/>
                <w:sz w:val="24"/>
                <w:u w:val="none"/>
                <w:lang w:eastAsia="zh-CN"/>
              </w:rPr>
            </w:pPr>
            <w:r>
              <w:rPr>
                <w:rFonts w:hint="default" w:ascii="仿宋" w:hAnsi="仿宋" w:eastAsia="仿宋"/>
                <w:b w:val="0"/>
                <w:i w:val="0"/>
                <w:color w:val="000000"/>
                <w:sz w:val="24"/>
                <w:u w:val="none"/>
                <w:lang w:eastAsia="zh-CN"/>
              </w:rPr>
              <w:t>组长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vAlign w:val="center"/>
          </w:tcPr>
          <w:p w14:paraId="5507B0B1">
            <w:pPr>
              <w:autoSpaceDN w:val="0"/>
              <w:jc w:val="center"/>
              <w:textAlignment w:val="center"/>
              <w:rPr>
                <w:rFonts w:hint="default" w:ascii="仿宋" w:hAnsi="仿宋" w:eastAsia="仿宋"/>
                <w:b w:val="0"/>
                <w:i w:val="0"/>
                <w:color w:val="000000"/>
                <w:sz w:val="24"/>
                <w:u w:val="none"/>
                <w:lang w:val="en-US" w:eastAsia="zh-CN"/>
              </w:rPr>
            </w:pPr>
            <w:r>
              <w:rPr>
                <w:rFonts w:hint="eastAsia" w:ascii="仿宋" w:hAnsi="仿宋" w:eastAsia="仿宋"/>
                <w:b w:val="0"/>
                <w:i w:val="0"/>
                <w:color w:val="000000"/>
                <w:sz w:val="24"/>
                <w:u w:val="none"/>
                <w:lang w:val="en-US" w:eastAsia="zh-CN"/>
              </w:rPr>
              <w:t>吉庆伟</w:t>
            </w:r>
          </w:p>
        </w:tc>
        <w:tc>
          <w:tcPr>
            <w:tcW w:w="18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B6DFA66">
            <w:pPr>
              <w:autoSpaceDN w:val="0"/>
              <w:jc w:val="center"/>
              <w:textAlignment w:val="center"/>
              <w:rPr>
                <w:rFonts w:hint="default" w:ascii="仿宋" w:hAnsi="仿宋" w:eastAsia="仿宋"/>
                <w:b w:val="0"/>
                <w:i w:val="0"/>
                <w:color w:val="000000"/>
                <w:sz w:val="24"/>
                <w:u w:val="none"/>
                <w:lang w:eastAsia="zh-CN"/>
              </w:rPr>
            </w:pPr>
            <w:r>
              <w:rPr>
                <w:rFonts w:hint="default" w:ascii="仿宋" w:hAnsi="仿宋" w:eastAsia="仿宋"/>
                <w:b w:val="0"/>
                <w:i w:val="0"/>
                <w:color w:val="000000"/>
                <w:sz w:val="24"/>
                <w:u w:val="none"/>
                <w:lang w:eastAsia="zh-CN"/>
              </w:rPr>
              <w:t>政协正定县委员会</w:t>
            </w:r>
          </w:p>
        </w:tc>
        <w:tc>
          <w:tcPr>
            <w:tcW w:w="27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7601193">
            <w:pPr>
              <w:autoSpaceDN w:val="0"/>
              <w:jc w:val="center"/>
              <w:textAlignment w:val="center"/>
              <w:rPr>
                <w:rFonts w:hint="default" w:ascii="仿宋" w:hAnsi="仿宋" w:eastAsia="仿宋"/>
                <w:b w:val="0"/>
                <w:i w:val="0"/>
                <w:color w:val="000000"/>
                <w:sz w:val="24"/>
                <w:u w:val="none"/>
                <w:lang w:eastAsia="zh-CN"/>
              </w:rPr>
            </w:pPr>
            <w:r>
              <w:rPr>
                <w:rFonts w:hint="default" w:ascii="仿宋" w:hAnsi="仿宋" w:eastAsia="仿宋"/>
                <w:b w:val="0"/>
                <w:i w:val="0"/>
                <w:color w:val="000000"/>
                <w:sz w:val="24"/>
                <w:u w:val="none"/>
                <w:lang w:eastAsia="zh-CN"/>
              </w:rPr>
              <w:t>县政协办公室主任</w:t>
            </w:r>
          </w:p>
        </w:tc>
        <w:tc>
          <w:tcPr>
            <w:tcW w:w="16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A8F3CD7">
            <w:pPr>
              <w:autoSpaceDN w:val="0"/>
              <w:jc w:val="center"/>
              <w:textAlignment w:val="center"/>
              <w:rPr>
                <w:rFonts w:hint="default" w:ascii="仿宋" w:hAnsi="仿宋" w:eastAsia="仿宋"/>
                <w:b w:val="0"/>
                <w:i w:val="0"/>
                <w:color w:val="000000"/>
                <w:sz w:val="24"/>
                <w:u w:val="none"/>
                <w:lang w:eastAsia="zh-CN"/>
              </w:rPr>
            </w:pPr>
          </w:p>
        </w:tc>
      </w:tr>
      <w:tr w14:paraId="0A92E10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5" w:type="dxa"/>
            <w:bottom w:w="0" w:type="dxa"/>
            <w:right w:w="15" w:type="dxa"/>
          </w:tblCellMar>
        </w:tblPrEx>
        <w:trPr>
          <w:trHeight w:val="690" w:hRule="atLeast"/>
        </w:trPr>
        <w:tc>
          <w:tcPr>
            <w:tcW w:w="5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984AC36">
            <w:pPr>
              <w:autoSpaceDN w:val="0"/>
              <w:jc w:val="center"/>
              <w:textAlignment w:val="center"/>
              <w:rPr>
                <w:rFonts w:hint="default" w:ascii="仿宋" w:hAnsi="仿宋" w:eastAsia="仿宋"/>
                <w:b w:val="0"/>
                <w:i w:val="0"/>
                <w:color w:val="000000"/>
                <w:sz w:val="24"/>
                <w:u w:val="none"/>
                <w:lang w:eastAsia="zh-CN"/>
              </w:rPr>
            </w:pPr>
            <w:r>
              <w:rPr>
                <w:rFonts w:hint="default" w:ascii="仿宋" w:hAnsi="仿宋" w:eastAsia="仿宋"/>
                <w:b w:val="0"/>
                <w:i w:val="0"/>
                <w:color w:val="000000"/>
                <w:sz w:val="24"/>
                <w:u w:val="none"/>
                <w:lang w:eastAsia="zh-CN"/>
              </w:rPr>
              <w:t>2</w:t>
            </w:r>
          </w:p>
        </w:tc>
        <w:tc>
          <w:tcPr>
            <w:tcW w:w="973" w:type="dxa"/>
            <w:tcBorders>
              <w:bottom w:val="single" w:color="000000" w:sz="4" w:space="0"/>
            </w:tcBorders>
            <w:vAlign w:val="center"/>
          </w:tcPr>
          <w:p w14:paraId="7EE4ED37">
            <w:pPr>
              <w:autoSpaceDN w:val="0"/>
              <w:jc w:val="center"/>
              <w:textAlignment w:val="center"/>
              <w:rPr>
                <w:rFonts w:hint="default" w:ascii="仿宋" w:hAnsi="仿宋" w:eastAsia="仿宋"/>
                <w:b w:val="0"/>
                <w:i w:val="0"/>
                <w:color w:val="000000"/>
                <w:sz w:val="24"/>
                <w:u w:val="none"/>
                <w:lang w:eastAsia="zh-CN"/>
              </w:rPr>
            </w:pPr>
            <w:r>
              <w:rPr>
                <w:rFonts w:hint="default" w:ascii="仿宋" w:hAnsi="仿宋" w:eastAsia="仿宋"/>
                <w:b w:val="0"/>
                <w:i w:val="0"/>
                <w:color w:val="000000"/>
                <w:sz w:val="24"/>
                <w:u w:val="none"/>
                <w:lang w:eastAsia="zh-CN"/>
              </w:rPr>
              <w:t>副组长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6729AEB">
            <w:pPr>
              <w:autoSpaceDN w:val="0"/>
              <w:jc w:val="center"/>
              <w:textAlignment w:val="center"/>
              <w:rPr>
                <w:rFonts w:hint="default" w:ascii="仿宋" w:hAnsi="仿宋" w:eastAsia="仿宋"/>
                <w:b w:val="0"/>
                <w:i w:val="0"/>
                <w:color w:val="000000"/>
                <w:sz w:val="24"/>
                <w:u w:val="none"/>
                <w:lang w:eastAsia="zh-CN"/>
              </w:rPr>
            </w:pPr>
            <w:r>
              <w:rPr>
                <w:rFonts w:hint="default" w:ascii="仿宋" w:hAnsi="仿宋" w:eastAsia="仿宋"/>
                <w:b w:val="0"/>
                <w:i w:val="0"/>
                <w:color w:val="000000"/>
                <w:sz w:val="24"/>
                <w:u w:val="none"/>
                <w:lang w:eastAsia="zh-CN"/>
              </w:rPr>
              <w:t>宋菊香</w:t>
            </w:r>
          </w:p>
        </w:tc>
        <w:tc>
          <w:tcPr>
            <w:tcW w:w="1836" w:type="dxa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B9C9C30">
            <w:pPr>
              <w:autoSpaceDN w:val="0"/>
              <w:jc w:val="center"/>
              <w:textAlignment w:val="center"/>
              <w:rPr>
                <w:rFonts w:hint="default" w:ascii="仿宋" w:hAnsi="仿宋" w:eastAsia="仿宋"/>
                <w:b w:val="0"/>
                <w:i w:val="0"/>
                <w:color w:val="000000"/>
                <w:sz w:val="24"/>
                <w:u w:val="none"/>
                <w:lang w:eastAsia="zh-CN"/>
              </w:rPr>
            </w:pPr>
            <w:r>
              <w:rPr>
                <w:rFonts w:hint="default" w:ascii="仿宋" w:hAnsi="仿宋" w:eastAsia="仿宋"/>
                <w:b w:val="0"/>
                <w:i w:val="0"/>
                <w:color w:val="000000"/>
                <w:sz w:val="24"/>
                <w:u w:val="none"/>
                <w:lang w:eastAsia="zh-CN"/>
              </w:rPr>
              <w:t>政协正定县委员会</w:t>
            </w:r>
          </w:p>
        </w:tc>
        <w:tc>
          <w:tcPr>
            <w:tcW w:w="2762" w:type="dxa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EB66261">
            <w:pPr>
              <w:autoSpaceDN w:val="0"/>
              <w:jc w:val="center"/>
              <w:textAlignment w:val="center"/>
              <w:rPr>
                <w:rFonts w:hint="default" w:ascii="仿宋" w:hAnsi="仿宋" w:eastAsia="仿宋"/>
                <w:b w:val="0"/>
                <w:i w:val="0"/>
                <w:color w:val="000000"/>
                <w:sz w:val="24"/>
                <w:u w:val="none"/>
                <w:lang w:eastAsia="zh-CN"/>
              </w:rPr>
            </w:pPr>
            <w:r>
              <w:rPr>
                <w:rFonts w:hint="default" w:ascii="仿宋" w:hAnsi="仿宋" w:eastAsia="仿宋"/>
                <w:b w:val="0"/>
                <w:i w:val="0"/>
                <w:color w:val="000000"/>
                <w:sz w:val="24"/>
                <w:u w:val="none"/>
                <w:lang w:eastAsia="zh-CN"/>
              </w:rPr>
              <w:t>县政协四级调研员</w:t>
            </w:r>
          </w:p>
        </w:tc>
        <w:tc>
          <w:tcPr>
            <w:tcW w:w="16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8FCBD8F">
            <w:pPr>
              <w:autoSpaceDN w:val="0"/>
              <w:jc w:val="center"/>
              <w:textAlignment w:val="center"/>
              <w:rPr>
                <w:rFonts w:hint="default" w:ascii="仿宋" w:hAnsi="仿宋" w:eastAsia="仿宋"/>
                <w:b w:val="0"/>
                <w:i w:val="0"/>
                <w:color w:val="000000"/>
                <w:sz w:val="24"/>
                <w:u w:val="none"/>
                <w:lang w:eastAsia="zh-CN"/>
              </w:rPr>
            </w:pPr>
          </w:p>
        </w:tc>
      </w:tr>
      <w:tr w14:paraId="28FFA34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5" w:type="dxa"/>
            <w:bottom w:w="0" w:type="dxa"/>
            <w:right w:w="15" w:type="dxa"/>
          </w:tblCellMar>
        </w:tblPrEx>
        <w:trPr>
          <w:trHeight w:val="690" w:hRule="atLeast"/>
        </w:trPr>
        <w:tc>
          <w:tcPr>
            <w:tcW w:w="5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5255A1F">
            <w:pPr>
              <w:autoSpaceDN w:val="0"/>
              <w:jc w:val="center"/>
              <w:textAlignment w:val="center"/>
              <w:rPr>
                <w:rFonts w:hint="default" w:ascii="仿宋" w:hAnsi="仿宋" w:eastAsia="仿宋"/>
                <w:b w:val="0"/>
                <w:i w:val="0"/>
                <w:color w:val="000000"/>
                <w:sz w:val="24"/>
                <w:u w:val="none"/>
                <w:lang w:eastAsia="zh-CN"/>
              </w:rPr>
            </w:pPr>
            <w:r>
              <w:rPr>
                <w:rFonts w:hint="default" w:ascii="仿宋" w:hAnsi="仿宋" w:eastAsia="仿宋"/>
                <w:b w:val="0"/>
                <w:i w:val="0"/>
                <w:color w:val="000000"/>
                <w:sz w:val="24"/>
                <w:u w:val="none"/>
                <w:lang w:eastAsia="zh-CN"/>
              </w:rPr>
              <w:t>3</w:t>
            </w:r>
          </w:p>
        </w:tc>
        <w:tc>
          <w:tcPr>
            <w:tcW w:w="973" w:type="dxa"/>
            <w:vMerge w:val="restart"/>
            <w:tcBorders>
              <w:bottom w:val="single" w:color="000000" w:sz="4" w:space="0"/>
            </w:tcBorders>
            <w:vAlign w:val="center"/>
          </w:tcPr>
          <w:p w14:paraId="02C2C5A0">
            <w:pPr>
              <w:autoSpaceDN w:val="0"/>
              <w:jc w:val="center"/>
              <w:textAlignment w:val="center"/>
              <w:rPr>
                <w:rFonts w:hint="default" w:ascii="仿宋" w:hAnsi="仿宋" w:eastAsia="仿宋"/>
                <w:b w:val="0"/>
                <w:i w:val="0"/>
                <w:color w:val="000000"/>
                <w:sz w:val="24"/>
                <w:u w:val="none"/>
                <w:lang w:eastAsia="zh-CN"/>
              </w:rPr>
            </w:pPr>
            <w:r>
              <w:rPr>
                <w:rFonts w:hint="default" w:ascii="仿宋" w:hAnsi="仿宋" w:eastAsia="仿宋"/>
                <w:b w:val="0"/>
                <w:i w:val="0"/>
                <w:color w:val="000000"/>
                <w:sz w:val="24"/>
                <w:u w:val="none"/>
                <w:lang w:eastAsia="zh-CN"/>
              </w:rPr>
              <w:t>成员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194C653">
            <w:pPr>
              <w:autoSpaceDN w:val="0"/>
              <w:jc w:val="center"/>
              <w:textAlignment w:val="center"/>
              <w:rPr>
                <w:rFonts w:hint="default" w:ascii="仿宋" w:hAnsi="仿宋" w:eastAsia="仿宋"/>
                <w:b w:val="0"/>
                <w:i w:val="0"/>
                <w:color w:val="000000"/>
                <w:sz w:val="24"/>
                <w:u w:val="none"/>
                <w:lang w:eastAsia="zh-CN"/>
              </w:rPr>
            </w:pPr>
            <w:r>
              <w:rPr>
                <w:rFonts w:hint="default" w:ascii="仿宋" w:hAnsi="仿宋" w:eastAsia="仿宋"/>
                <w:b w:val="0"/>
                <w:i w:val="0"/>
                <w:color w:val="000000"/>
                <w:sz w:val="24"/>
                <w:u w:val="none"/>
                <w:lang w:eastAsia="zh-CN"/>
              </w:rPr>
              <w:t>胡华峰</w:t>
            </w:r>
          </w:p>
        </w:tc>
        <w:tc>
          <w:tcPr>
            <w:tcW w:w="18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80DAEDE">
            <w:pPr>
              <w:autoSpaceDN w:val="0"/>
              <w:jc w:val="center"/>
              <w:textAlignment w:val="center"/>
              <w:rPr>
                <w:rFonts w:hint="default" w:ascii="仿宋" w:hAnsi="仿宋" w:eastAsia="仿宋"/>
                <w:b w:val="0"/>
                <w:i w:val="0"/>
                <w:color w:val="000000"/>
                <w:sz w:val="24"/>
                <w:u w:val="none"/>
                <w:lang w:eastAsia="zh-CN"/>
              </w:rPr>
            </w:pPr>
            <w:r>
              <w:rPr>
                <w:rFonts w:hint="default" w:ascii="仿宋" w:hAnsi="仿宋" w:eastAsia="仿宋"/>
                <w:b w:val="0"/>
                <w:i w:val="0"/>
                <w:color w:val="000000"/>
                <w:sz w:val="24"/>
                <w:u w:val="none"/>
                <w:lang w:eastAsia="zh-CN"/>
              </w:rPr>
              <w:t>政协正定县委员会</w:t>
            </w:r>
          </w:p>
        </w:tc>
        <w:tc>
          <w:tcPr>
            <w:tcW w:w="27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3A3CB69">
            <w:pPr>
              <w:autoSpaceDN w:val="0"/>
              <w:jc w:val="center"/>
              <w:textAlignment w:val="center"/>
              <w:rPr>
                <w:rFonts w:hint="default" w:ascii="仿宋" w:hAnsi="仿宋" w:eastAsia="仿宋"/>
                <w:b w:val="0"/>
                <w:i w:val="0"/>
                <w:color w:val="000000"/>
                <w:sz w:val="24"/>
                <w:u w:val="none"/>
                <w:lang w:eastAsia="zh-CN"/>
              </w:rPr>
            </w:pPr>
            <w:r>
              <w:rPr>
                <w:rFonts w:hint="default" w:ascii="仿宋" w:hAnsi="仿宋" w:eastAsia="仿宋"/>
                <w:b w:val="0"/>
                <w:i w:val="0"/>
                <w:color w:val="000000"/>
                <w:sz w:val="24"/>
                <w:u w:val="none"/>
                <w:lang w:eastAsia="zh-CN"/>
              </w:rPr>
              <w:t>县政协农业和农村委主任</w:t>
            </w:r>
          </w:p>
        </w:tc>
        <w:tc>
          <w:tcPr>
            <w:tcW w:w="1602" w:type="dxa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vAlign w:val="center"/>
          </w:tcPr>
          <w:p w14:paraId="5222E4D2">
            <w:pPr>
              <w:autoSpaceDN w:val="0"/>
              <w:jc w:val="center"/>
              <w:textAlignment w:val="center"/>
              <w:rPr>
                <w:rFonts w:hint="default" w:ascii="仿宋" w:hAnsi="仿宋" w:eastAsia="仿宋"/>
                <w:b w:val="0"/>
                <w:i w:val="0"/>
                <w:color w:val="000000"/>
                <w:sz w:val="24"/>
                <w:u w:val="none"/>
                <w:lang w:eastAsia="zh-CN"/>
              </w:rPr>
            </w:pPr>
          </w:p>
        </w:tc>
      </w:tr>
      <w:tr w14:paraId="6C57E2B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5" w:type="dxa"/>
            <w:bottom w:w="0" w:type="dxa"/>
            <w:right w:w="15" w:type="dxa"/>
          </w:tblCellMar>
        </w:tblPrEx>
        <w:trPr>
          <w:trHeight w:val="690" w:hRule="atLeast"/>
        </w:trPr>
        <w:tc>
          <w:tcPr>
            <w:tcW w:w="5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45CB409">
            <w:pPr>
              <w:autoSpaceDN w:val="0"/>
              <w:jc w:val="center"/>
              <w:textAlignment w:val="center"/>
              <w:rPr>
                <w:rFonts w:hint="default" w:ascii="仿宋" w:hAnsi="仿宋" w:eastAsia="仿宋"/>
                <w:b w:val="0"/>
                <w:i w:val="0"/>
                <w:color w:val="000000"/>
                <w:sz w:val="24"/>
                <w:u w:val="none"/>
                <w:lang w:eastAsia="zh-CN"/>
              </w:rPr>
            </w:pPr>
            <w:r>
              <w:rPr>
                <w:rFonts w:hint="default" w:ascii="仿宋" w:hAnsi="仿宋" w:eastAsia="仿宋"/>
                <w:b w:val="0"/>
                <w:i w:val="0"/>
                <w:color w:val="000000"/>
                <w:sz w:val="24"/>
                <w:u w:val="none"/>
                <w:lang w:eastAsia="zh-CN"/>
              </w:rPr>
              <w:t>4</w:t>
            </w:r>
          </w:p>
        </w:tc>
        <w:tc>
          <w:tcPr>
            <w:tcW w:w="973" w:type="dxa"/>
            <w:vMerge w:val="continue"/>
            <w:tcBorders>
              <w:bottom w:val="single" w:color="000000" w:sz="4" w:space="0"/>
            </w:tcBorders>
            <w:vAlign w:val="center"/>
          </w:tcPr>
          <w:p w14:paraId="736E0CF3">
            <w:pPr>
              <w:rPr>
                <w:rFonts w:hint="default" w:ascii="宋体" w:hAnsi="宋体"/>
                <w:sz w:val="24"/>
              </w:rPr>
            </w:pP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CEA1F32">
            <w:pPr>
              <w:autoSpaceDN w:val="0"/>
              <w:jc w:val="center"/>
              <w:textAlignment w:val="center"/>
              <w:rPr>
                <w:rFonts w:hint="default" w:ascii="仿宋" w:hAnsi="仿宋" w:eastAsia="仿宋"/>
                <w:b w:val="0"/>
                <w:i w:val="0"/>
                <w:color w:val="000000"/>
                <w:sz w:val="24"/>
                <w:u w:val="none"/>
                <w:lang w:val="en-US" w:eastAsia="zh-CN"/>
              </w:rPr>
            </w:pPr>
            <w:r>
              <w:rPr>
                <w:rFonts w:hint="eastAsia" w:ascii="仿宋" w:hAnsi="仿宋" w:eastAsia="仿宋"/>
                <w:b w:val="0"/>
                <w:i w:val="0"/>
                <w:color w:val="000000"/>
                <w:sz w:val="24"/>
                <w:u w:val="none"/>
                <w:lang w:val="en-US" w:eastAsia="zh-CN"/>
              </w:rPr>
              <w:t>仝月霄</w:t>
            </w:r>
          </w:p>
        </w:tc>
        <w:tc>
          <w:tcPr>
            <w:tcW w:w="1836" w:type="dxa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4178CA6">
            <w:pPr>
              <w:autoSpaceDN w:val="0"/>
              <w:jc w:val="center"/>
              <w:textAlignment w:val="center"/>
              <w:rPr>
                <w:rFonts w:hint="default" w:ascii="仿宋" w:hAnsi="仿宋" w:eastAsia="仿宋"/>
                <w:b w:val="0"/>
                <w:i w:val="0"/>
                <w:color w:val="000000"/>
                <w:sz w:val="24"/>
                <w:u w:val="none"/>
                <w:lang w:eastAsia="zh-CN"/>
              </w:rPr>
            </w:pPr>
            <w:r>
              <w:rPr>
                <w:rFonts w:hint="default" w:ascii="仿宋" w:hAnsi="仿宋" w:eastAsia="仿宋"/>
                <w:b w:val="0"/>
                <w:i w:val="0"/>
                <w:color w:val="000000"/>
                <w:sz w:val="24"/>
                <w:u w:val="none"/>
                <w:lang w:eastAsia="zh-CN"/>
              </w:rPr>
              <w:t>政协正定县委员会</w:t>
            </w:r>
          </w:p>
        </w:tc>
        <w:tc>
          <w:tcPr>
            <w:tcW w:w="2762" w:type="dxa"/>
            <w:tcBorders>
              <w:top w:val="single" w:color="000000" w:sz="4" w:space="0"/>
              <w:right w:val="single" w:color="000000" w:sz="4" w:space="0"/>
            </w:tcBorders>
            <w:vAlign w:val="center"/>
          </w:tcPr>
          <w:p w14:paraId="63008453">
            <w:pPr>
              <w:autoSpaceDN w:val="0"/>
              <w:jc w:val="center"/>
              <w:textAlignment w:val="center"/>
              <w:rPr>
                <w:rFonts w:hint="default" w:ascii="仿宋" w:hAnsi="仿宋" w:eastAsia="仿宋"/>
                <w:b w:val="0"/>
                <w:i w:val="0"/>
                <w:color w:val="000000"/>
                <w:sz w:val="24"/>
                <w:u w:val="none"/>
                <w:lang w:eastAsia="zh-CN"/>
              </w:rPr>
            </w:pPr>
            <w:r>
              <w:rPr>
                <w:rFonts w:hint="default" w:ascii="仿宋" w:hAnsi="仿宋" w:eastAsia="仿宋"/>
                <w:b w:val="0"/>
                <w:i w:val="0"/>
                <w:color w:val="000000"/>
                <w:sz w:val="24"/>
                <w:u w:val="none"/>
                <w:lang w:eastAsia="zh-CN"/>
              </w:rPr>
              <w:t>县政协职员</w:t>
            </w:r>
          </w:p>
        </w:tc>
        <w:tc>
          <w:tcPr>
            <w:tcW w:w="1602" w:type="dxa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vAlign w:val="center"/>
          </w:tcPr>
          <w:p w14:paraId="4C329F5A">
            <w:pPr>
              <w:autoSpaceDN w:val="0"/>
              <w:jc w:val="center"/>
              <w:textAlignment w:val="center"/>
              <w:rPr>
                <w:rFonts w:hint="default" w:ascii="仿宋" w:hAnsi="仿宋" w:eastAsia="仿宋"/>
                <w:b w:val="0"/>
                <w:i w:val="0"/>
                <w:color w:val="000000"/>
                <w:sz w:val="24"/>
                <w:u w:val="none"/>
                <w:lang w:eastAsia="zh-CN"/>
              </w:rPr>
            </w:pPr>
          </w:p>
        </w:tc>
      </w:tr>
      <w:tr w14:paraId="6E8B81C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5" w:type="dxa"/>
            <w:bottom w:w="0" w:type="dxa"/>
            <w:right w:w="15" w:type="dxa"/>
          </w:tblCellMar>
        </w:tblPrEx>
        <w:trPr>
          <w:trHeight w:val="690" w:hRule="atLeast"/>
        </w:trPr>
        <w:tc>
          <w:tcPr>
            <w:tcW w:w="5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E4CD52D">
            <w:pPr>
              <w:autoSpaceDN w:val="0"/>
              <w:jc w:val="center"/>
              <w:textAlignment w:val="center"/>
              <w:rPr>
                <w:rFonts w:hint="default" w:ascii="仿宋" w:hAnsi="仿宋" w:eastAsia="仿宋"/>
                <w:b w:val="0"/>
                <w:i w:val="0"/>
                <w:color w:val="000000"/>
                <w:sz w:val="24"/>
                <w:u w:val="none"/>
                <w:lang w:eastAsia="zh-CN"/>
              </w:rPr>
            </w:pPr>
            <w:r>
              <w:rPr>
                <w:rFonts w:hint="default" w:ascii="仿宋" w:hAnsi="仿宋" w:eastAsia="仿宋"/>
                <w:b w:val="0"/>
                <w:i w:val="0"/>
                <w:color w:val="000000"/>
                <w:sz w:val="24"/>
                <w:u w:val="none"/>
                <w:lang w:eastAsia="zh-CN"/>
              </w:rPr>
              <w:t>5</w:t>
            </w:r>
          </w:p>
        </w:tc>
        <w:tc>
          <w:tcPr>
            <w:tcW w:w="973" w:type="dxa"/>
            <w:vMerge w:val="continue"/>
            <w:tcBorders>
              <w:bottom w:val="single" w:color="000000" w:sz="4" w:space="0"/>
            </w:tcBorders>
            <w:vAlign w:val="center"/>
          </w:tcPr>
          <w:p w14:paraId="2321BD2F">
            <w:pPr>
              <w:rPr>
                <w:rFonts w:hint="default" w:ascii="宋体" w:hAnsi="宋体"/>
                <w:sz w:val="24"/>
              </w:rPr>
            </w:pPr>
          </w:p>
        </w:tc>
        <w:tc>
          <w:tcPr>
            <w:tcW w:w="1110" w:type="dxa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3DD11D3">
            <w:pPr>
              <w:autoSpaceDN w:val="0"/>
              <w:jc w:val="center"/>
              <w:textAlignment w:val="center"/>
              <w:rPr>
                <w:rFonts w:hint="default" w:ascii="仿宋" w:hAnsi="仿宋" w:eastAsia="仿宋"/>
                <w:b w:val="0"/>
                <w:i w:val="0"/>
                <w:color w:val="000000"/>
                <w:sz w:val="24"/>
                <w:u w:val="none"/>
                <w:lang w:val="en-US" w:eastAsia="zh-CN"/>
              </w:rPr>
            </w:pPr>
            <w:r>
              <w:rPr>
                <w:rFonts w:hint="eastAsia" w:ascii="仿宋" w:hAnsi="仿宋" w:eastAsia="仿宋"/>
                <w:b w:val="0"/>
                <w:i w:val="0"/>
                <w:color w:val="000000"/>
                <w:sz w:val="24"/>
                <w:u w:val="none"/>
                <w:lang w:val="en-US" w:eastAsia="zh-CN"/>
              </w:rPr>
              <w:t>王冠杰</w:t>
            </w:r>
          </w:p>
        </w:tc>
        <w:tc>
          <w:tcPr>
            <w:tcW w:w="1836" w:type="dxa"/>
            <w:tcBorders>
              <w:bottom w:val="single" w:color="000000" w:sz="4" w:space="0"/>
              <w:right w:val="single" w:color="000000" w:sz="4" w:space="0"/>
            </w:tcBorders>
            <w:vAlign w:val="center"/>
          </w:tcPr>
          <w:p w14:paraId="1188368C">
            <w:pPr>
              <w:autoSpaceDN w:val="0"/>
              <w:jc w:val="center"/>
              <w:textAlignment w:val="center"/>
              <w:rPr>
                <w:rFonts w:hint="default" w:ascii="仿宋" w:hAnsi="仿宋" w:eastAsia="仿宋"/>
                <w:b w:val="0"/>
                <w:i w:val="0"/>
                <w:color w:val="000000"/>
                <w:sz w:val="24"/>
                <w:u w:val="none"/>
                <w:lang w:eastAsia="zh-CN"/>
              </w:rPr>
            </w:pPr>
            <w:r>
              <w:rPr>
                <w:rFonts w:hint="default" w:ascii="仿宋" w:hAnsi="仿宋" w:eastAsia="仿宋"/>
                <w:b w:val="0"/>
                <w:i w:val="0"/>
                <w:color w:val="000000"/>
                <w:sz w:val="24"/>
                <w:u w:val="none"/>
                <w:lang w:eastAsia="zh-CN"/>
              </w:rPr>
              <w:t>政协正定县委员会</w:t>
            </w:r>
          </w:p>
        </w:tc>
        <w:tc>
          <w:tcPr>
            <w:tcW w:w="2762" w:type="dxa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9ED7E79">
            <w:pPr>
              <w:autoSpaceDN w:val="0"/>
              <w:jc w:val="center"/>
              <w:textAlignment w:val="center"/>
              <w:rPr>
                <w:rFonts w:hint="default" w:ascii="仿宋" w:hAnsi="仿宋" w:eastAsia="仿宋"/>
                <w:b w:val="0"/>
                <w:i w:val="0"/>
                <w:color w:val="000000"/>
                <w:sz w:val="24"/>
                <w:u w:val="none"/>
                <w:lang w:eastAsia="zh-CN"/>
              </w:rPr>
            </w:pPr>
            <w:r>
              <w:rPr>
                <w:rFonts w:hint="default" w:ascii="仿宋" w:hAnsi="仿宋" w:eastAsia="仿宋"/>
                <w:b w:val="0"/>
                <w:i w:val="0"/>
                <w:color w:val="000000"/>
                <w:sz w:val="24"/>
                <w:u w:val="none"/>
                <w:lang w:eastAsia="zh-CN"/>
              </w:rPr>
              <w:t>县政协职员</w:t>
            </w:r>
          </w:p>
        </w:tc>
        <w:tc>
          <w:tcPr>
            <w:tcW w:w="16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CCC07ED">
            <w:pPr>
              <w:autoSpaceDN w:val="0"/>
              <w:jc w:val="center"/>
              <w:textAlignment w:val="center"/>
              <w:rPr>
                <w:rFonts w:hint="default" w:ascii="仿宋" w:hAnsi="仿宋" w:eastAsia="仿宋"/>
                <w:b w:val="0"/>
                <w:i w:val="0"/>
                <w:color w:val="000000"/>
                <w:sz w:val="24"/>
                <w:u w:val="none"/>
                <w:lang w:eastAsia="zh-CN"/>
              </w:rPr>
            </w:pPr>
          </w:p>
        </w:tc>
      </w:tr>
    </w:tbl>
    <w:p w14:paraId="264C71A3">
      <w:pPr>
        <w:spacing w:line="560" w:lineRule="exact"/>
        <w:rPr>
          <w:rFonts w:ascii="仿宋" w:hAnsi="仿宋" w:eastAsia="仿宋"/>
        </w:rPr>
      </w:pPr>
    </w:p>
    <w:sectPr>
      <w:footerReference r:id="rId3" w:type="default"/>
      <w:pgSz w:w="11906" w:h="16838"/>
      <w:pgMar w:top="1440" w:right="1474" w:bottom="1440" w:left="1587" w:header="851" w:footer="992" w:gutter="0"/>
      <w:pgNumType w:fmt="numberInDash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仿宋_GBK">
    <w:altName w:val="微软雅黑"/>
    <w:panose1 w:val="03000509000000000000"/>
    <w:charset w:val="86"/>
    <w:family w:val="auto"/>
    <w:pitch w:val="default"/>
    <w:sig w:usb0="00000000" w:usb1="00000000" w:usb2="00000000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华文楷体">
    <w:altName w:val="宋体"/>
    <w:panose1 w:val="02010600040101010101"/>
    <w:charset w:val="86"/>
    <w:family w:val="auto"/>
    <w:pitch w:val="default"/>
    <w:sig w:usb0="00000000" w:usb1="00000000" w:usb2="00000000" w:usb3="00000000" w:csb0="0004009F" w:csb1="DFD7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_GB2312">
    <w:altName w:val="楷体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Arial Black">
    <w:panose1 w:val="020B0A04020102020204"/>
    <w:charset w:val="00"/>
    <w:family w:val="swiss"/>
    <w:pitch w:val="default"/>
    <w:sig w:usb0="A00002AF" w:usb1="400078FB" w:usb2="00000000" w:usb3="00000000" w:csb0="6000009F" w:csb1="DFD7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3E94782">
    <w:pPr>
      <w:pStyle w:val="3"/>
    </w:pPr>
    <w:r>
      <w:rPr>
        <w:rFonts w:ascii="Calibri" w:hAnsi="Calibri" w:eastAsia="宋体" w:cs="黑体"/>
        <w:kern w:val="2"/>
        <w:sz w:val="18"/>
        <w:szCs w:val="22"/>
        <w:lang w:val="en-US" w:eastAsia="zh-CN" w:bidi="ar-SA"/>
      </w:rPr>
      <w:pict>
        <v:shape id="Quad Arrow 3073" o:spid="_x0000_s4097" o:spt="202" type="#_x0000_t202" style="position:absolute;left:0pt;margin-top:0pt;height:144pt;width:144pt;mso-position-horizontal:center;mso-position-horizontal-relative:margin;mso-wrap-style:none;z-index:251659264;mso-width-relative:page;mso-height-relative:page;" fillcolor="#FFFFFF" filled="f" o:preferrelative="t" stroked="f" coordsize="21600,21600">
          <v:path/>
          <v:fill on="f" color2="#FFFFFF" focussize="0,0"/>
          <v:stroke on="f"/>
          <v:imagedata gain="65536f" blacklevel="0f" gamma="0" o:title=""/>
          <o:lock v:ext="edit" position="f" selection="f" grouping="f" rotation="f" cropping="f" text="f" aspectratio="f"/>
          <v:textbox inset="0mm,0mm,0mm,0mm" style="mso-fit-shape-to-text:t;">
            <w:txbxContent>
              <w:p w14:paraId="319839C8">
                <w:pPr>
                  <w:snapToGrid w:val="0"/>
                  <w:rPr>
                    <w:sz w:val="18"/>
                  </w:rPr>
                </w:pPr>
                <w:r>
                  <w:rPr>
                    <w:rFonts w:hint="eastAsia"/>
                    <w:sz w:val="18"/>
                  </w:rPr>
                  <w:fldChar w:fldCharType="begin"/>
                </w:r>
                <w:r>
                  <w:rPr>
                    <w:rFonts w:hint="eastAsia"/>
                    <w:sz w:val="18"/>
                  </w:rPr>
                  <w:instrText xml:space="preserve"> PAGE  \* MERGEFORMAT </w:instrText>
                </w:r>
                <w:r>
                  <w:rPr>
                    <w:rFonts w:hint="eastAsia"/>
                    <w:sz w:val="18"/>
                  </w:rPr>
                  <w:fldChar w:fldCharType="separate"/>
                </w:r>
                <w:r>
                  <w:t>- 1 -</w:t>
                </w:r>
                <w:r>
                  <w:rPr>
                    <w:rFonts w:hint="eastAsia"/>
                    <w:sz w:val="18"/>
                  </w:rPr>
                  <w:fldChar w:fldCharType="end"/>
                </w:r>
              </w:p>
            </w:txbxContent>
          </v:textbox>
        </v:shape>
      </w:pic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0000005"/>
    <w:multiLevelType w:val="singleLevel"/>
    <w:tmpl w:val="00000005"/>
    <w:lvl w:ilvl="0" w:tentative="0">
      <w:start w:val="3"/>
      <w:numFmt w:val="chineseCounting"/>
      <w:suff w:val="nothing"/>
      <w:lvlText w:val="（%1）"/>
      <w:lvlJc w:val="left"/>
    </w:lvl>
  </w:abstractNum>
  <w:abstractNum w:abstractNumId="1">
    <w:nsid w:val="00000006"/>
    <w:multiLevelType w:val="singleLevel"/>
    <w:tmpl w:val="00000006"/>
    <w:lvl w:ilvl="0" w:tentative="0">
      <w:start w:val="1"/>
      <w:numFmt w:val="chineseCounting"/>
      <w:suff w:val="nothing"/>
      <w:lvlText w:val="（%1）"/>
      <w:lvlJc w:val="left"/>
    </w:lvl>
  </w:abstractNum>
  <w:abstractNum w:abstractNumId="2">
    <w:nsid w:val="00000007"/>
    <w:multiLevelType w:val="singleLevel"/>
    <w:tmpl w:val="00000007"/>
    <w:lvl w:ilvl="0" w:tentative="0">
      <w:start w:val="1"/>
      <w:numFmt w:val="chineseCounting"/>
      <w:suff w:val="nothing"/>
      <w:lvlText w:val="（%1）"/>
      <w:lvlJc w:val="left"/>
      <w:rPr>
        <w:rFonts w:ascii="楷体" w:hAnsi="楷体" w:eastAsia="楷体"/>
      </w:rPr>
    </w:lvl>
  </w:abstractNum>
  <w:abstractNum w:abstractNumId="3">
    <w:nsid w:val="0000000A"/>
    <w:multiLevelType w:val="singleLevel"/>
    <w:tmpl w:val="0000000A"/>
    <w:lvl w:ilvl="0" w:tentative="0">
      <w:start w:val="2"/>
      <w:numFmt w:val="chineseCounting"/>
      <w:suff w:val="nothing"/>
      <w:lvlText w:val="（%1）"/>
      <w:lvlJc w:val="left"/>
      <w:pPr>
        <w:ind w:left="642" w:firstLine="0"/>
      </w:pPr>
      <w:rPr>
        <w:rFonts w:hint="eastAsia"/>
      </w:rPr>
    </w:lvl>
  </w:abstractNum>
  <w:abstractNum w:abstractNumId="4">
    <w:nsid w:val="0000000B"/>
    <w:multiLevelType w:val="singleLevel"/>
    <w:tmpl w:val="0000000B"/>
    <w:lvl w:ilvl="0" w:tentative="0">
      <w:start w:val="3"/>
      <w:numFmt w:val="decimal"/>
      <w:suff w:val="nothing"/>
      <w:lvlText w:val="%1．"/>
      <w:lvlJc w:val="left"/>
    </w:lvl>
  </w:abstractNum>
  <w:abstractNum w:abstractNumId="5">
    <w:nsid w:val="0000000C"/>
    <w:multiLevelType w:val="singleLevel"/>
    <w:tmpl w:val="0000000C"/>
    <w:lvl w:ilvl="0" w:tentative="0">
      <w:start w:val="2"/>
      <w:numFmt w:val="chineseCounting"/>
      <w:suff w:val="nothing"/>
      <w:lvlText w:val="（%1）"/>
      <w:lvlJc w:val="left"/>
    </w:lvl>
  </w:abstractNum>
  <w:abstractNum w:abstractNumId="6">
    <w:nsid w:val="0000000D"/>
    <w:multiLevelType w:val="singleLevel"/>
    <w:tmpl w:val="0000000D"/>
    <w:lvl w:ilvl="0" w:tentative="0">
      <w:start w:val="2"/>
      <w:numFmt w:val="chineseCounting"/>
      <w:suff w:val="nothing"/>
      <w:lvlText w:val="（%1）"/>
      <w:lvlJc w:val="left"/>
    </w:lvl>
  </w:abstractNum>
  <w:num w:numId="1">
    <w:abstractNumId w:val="1"/>
  </w:num>
  <w:num w:numId="2">
    <w:abstractNumId w:val="4"/>
  </w:num>
  <w:num w:numId="3">
    <w:abstractNumId w:val="5"/>
  </w:num>
  <w:num w:numId="4">
    <w:abstractNumId w:val="0"/>
  </w:num>
  <w:num w:numId="5">
    <w:abstractNumId w:val="3"/>
  </w:num>
  <w:num w:numId="6">
    <w:abstractNumId w:val="2"/>
  </w:num>
  <w:num w:numId="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hdrShapeDefaults>
    <o:shapelayout v:ext="edit">
      <o:idmap v:ext="edit" data="3,4"/>
    </o:shapelayout>
  </w:hdrShapeDefaults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000000"/>
    <w:rsid w:val="01987FE8"/>
    <w:rsid w:val="02052599"/>
    <w:rsid w:val="05143E2A"/>
    <w:rsid w:val="095E6352"/>
    <w:rsid w:val="09630EDC"/>
    <w:rsid w:val="0A5847B8"/>
    <w:rsid w:val="0BBC2E0F"/>
    <w:rsid w:val="0CA91BE5"/>
    <w:rsid w:val="0CCF6888"/>
    <w:rsid w:val="0D841421"/>
    <w:rsid w:val="0D961154"/>
    <w:rsid w:val="0DBF06AB"/>
    <w:rsid w:val="0F5F2145"/>
    <w:rsid w:val="104A6951"/>
    <w:rsid w:val="11AD1ABA"/>
    <w:rsid w:val="13357765"/>
    <w:rsid w:val="13EE1CEA"/>
    <w:rsid w:val="14150C68"/>
    <w:rsid w:val="18D317EA"/>
    <w:rsid w:val="197762DD"/>
    <w:rsid w:val="19BE215E"/>
    <w:rsid w:val="1BE7599C"/>
    <w:rsid w:val="1C183DA8"/>
    <w:rsid w:val="1CFD2DEB"/>
    <w:rsid w:val="1FEB79A2"/>
    <w:rsid w:val="215533A8"/>
    <w:rsid w:val="21C347B6"/>
    <w:rsid w:val="23D44908"/>
    <w:rsid w:val="248A0C32"/>
    <w:rsid w:val="259A7F88"/>
    <w:rsid w:val="296F5223"/>
    <w:rsid w:val="2A1470AB"/>
    <w:rsid w:val="2B32787F"/>
    <w:rsid w:val="2B981596"/>
    <w:rsid w:val="2C8E3C12"/>
    <w:rsid w:val="2CE51A84"/>
    <w:rsid w:val="2D9B2143"/>
    <w:rsid w:val="2E905A1F"/>
    <w:rsid w:val="2EDC2A13"/>
    <w:rsid w:val="30073ABF"/>
    <w:rsid w:val="3034687E"/>
    <w:rsid w:val="31662A68"/>
    <w:rsid w:val="31D75713"/>
    <w:rsid w:val="32C339C2"/>
    <w:rsid w:val="33291F9F"/>
    <w:rsid w:val="342C7F98"/>
    <w:rsid w:val="344E43B3"/>
    <w:rsid w:val="362D624A"/>
    <w:rsid w:val="37667C65"/>
    <w:rsid w:val="37CD1A92"/>
    <w:rsid w:val="3922196A"/>
    <w:rsid w:val="39B051C8"/>
    <w:rsid w:val="39CE38A0"/>
    <w:rsid w:val="3A543DA5"/>
    <w:rsid w:val="3B8561E0"/>
    <w:rsid w:val="3C805325"/>
    <w:rsid w:val="3C973D25"/>
    <w:rsid w:val="3CB50CFF"/>
    <w:rsid w:val="3E6E11AD"/>
    <w:rsid w:val="3F631D44"/>
    <w:rsid w:val="3F982986"/>
    <w:rsid w:val="40864ED4"/>
    <w:rsid w:val="41CD2721"/>
    <w:rsid w:val="42051E29"/>
    <w:rsid w:val="4597548E"/>
    <w:rsid w:val="45AD2F03"/>
    <w:rsid w:val="48435459"/>
    <w:rsid w:val="486420C6"/>
    <w:rsid w:val="487F4B81"/>
    <w:rsid w:val="4B7F49FA"/>
    <w:rsid w:val="4BB87F0C"/>
    <w:rsid w:val="4E893D4F"/>
    <w:rsid w:val="4E9823FF"/>
    <w:rsid w:val="51883B1A"/>
    <w:rsid w:val="519870A2"/>
    <w:rsid w:val="52B753C1"/>
    <w:rsid w:val="52EF6909"/>
    <w:rsid w:val="53025ED5"/>
    <w:rsid w:val="532F31A9"/>
    <w:rsid w:val="54F975CB"/>
    <w:rsid w:val="55A734CB"/>
    <w:rsid w:val="55D5564F"/>
    <w:rsid w:val="55F26763"/>
    <w:rsid w:val="5765719A"/>
    <w:rsid w:val="58922210"/>
    <w:rsid w:val="59084281"/>
    <w:rsid w:val="5A137381"/>
    <w:rsid w:val="5B3C6463"/>
    <w:rsid w:val="5D5A7075"/>
    <w:rsid w:val="5EC24ED2"/>
    <w:rsid w:val="5F0B0627"/>
    <w:rsid w:val="5F97010C"/>
    <w:rsid w:val="5FF63C6E"/>
    <w:rsid w:val="618B1EF3"/>
    <w:rsid w:val="63730E90"/>
    <w:rsid w:val="640F0BB9"/>
    <w:rsid w:val="65694391"/>
    <w:rsid w:val="672A5D0A"/>
    <w:rsid w:val="691B1F51"/>
    <w:rsid w:val="6A4175F2"/>
    <w:rsid w:val="6A575068"/>
    <w:rsid w:val="6BEC358E"/>
    <w:rsid w:val="6C7D68DC"/>
    <w:rsid w:val="6CA81BAB"/>
    <w:rsid w:val="6F8306AD"/>
    <w:rsid w:val="6FA128E1"/>
    <w:rsid w:val="708E730A"/>
    <w:rsid w:val="72037883"/>
    <w:rsid w:val="726A0978"/>
    <w:rsid w:val="748C0004"/>
    <w:rsid w:val="759F2263"/>
    <w:rsid w:val="760015EB"/>
    <w:rsid w:val="76746FA2"/>
    <w:rsid w:val="76ED2C45"/>
    <w:rsid w:val="7A0348C4"/>
    <w:rsid w:val="7A8B6F63"/>
    <w:rsid w:val="7B89704B"/>
    <w:rsid w:val="7BB96C82"/>
    <w:rsid w:val="7CA64316"/>
    <w:rsid w:val="7D341239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semiHidden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link w:val="13"/>
    <w:qFormat/>
    <w:uiPriority w:val="0"/>
    <w:pPr>
      <w:widowControl w:val="0"/>
      <w:jc w:val="both"/>
    </w:pPr>
    <w:rPr>
      <w:rFonts w:ascii="Calibri" w:hAnsi="Calibri" w:eastAsia="宋体" w:cs="黑体"/>
      <w:kern w:val="2"/>
      <w:sz w:val="21"/>
      <w:szCs w:val="22"/>
      <w:lang w:val="en-US" w:eastAsia="zh-CN" w:bidi="ar-SA"/>
    </w:rPr>
  </w:style>
  <w:style w:type="character" w:default="1" w:styleId="7">
    <w:name w:val="Default Paragraph Font"/>
    <w:qFormat/>
    <w:uiPriority w:val="0"/>
  </w:style>
  <w:style w:type="table" w:default="1" w:styleId="6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Default"/>
    <w:qFormat/>
    <w:uiPriority w:val="0"/>
    <w:pPr>
      <w:widowControl w:val="0"/>
      <w:autoSpaceDE w:val="0"/>
      <w:autoSpaceDN w:val="0"/>
      <w:adjustRightInd w:val="0"/>
    </w:pPr>
    <w:rPr>
      <w:rFonts w:hint="eastAsia" w:ascii="方正仿宋_GBK" w:hAnsi="方正仿宋_GBK" w:eastAsia="方正仿宋_GBK" w:cs="Times New Roman"/>
      <w:color w:val="000000"/>
      <w:sz w:val="24"/>
      <w:szCs w:val="22"/>
      <w:lang w:val="en-US" w:eastAsia="zh-CN" w:bidi="ar-SA"/>
    </w:r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4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rFonts w:ascii="Times New Roman" w:hAnsi="Times New Roman"/>
      <w:sz w:val="18"/>
    </w:rPr>
  </w:style>
  <w:style w:type="paragraph" w:styleId="5">
    <w:name w:val="Normal (Web)"/>
    <w:basedOn w:val="1"/>
    <w:qFormat/>
    <w:uiPriority w:val="0"/>
    <w:pPr>
      <w:spacing w:before="100" w:beforeAutospacing="1" w:after="10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8">
    <w:name w:val="Strong"/>
    <w:basedOn w:val="7"/>
    <w:qFormat/>
    <w:uiPriority w:val="0"/>
    <w:rPr>
      <w:b/>
    </w:rPr>
  </w:style>
  <w:style w:type="paragraph" w:customStyle="1" w:styleId="9">
    <w:name w:val="toa heading"/>
    <w:basedOn w:val="1"/>
    <w:next w:val="1"/>
    <w:qFormat/>
    <w:uiPriority w:val="0"/>
    <w:pPr>
      <w:spacing w:before="120" w:beforeAutospacing="0"/>
    </w:pPr>
    <w:rPr>
      <w:rFonts w:ascii="Arial" w:hAnsi="Arial"/>
      <w:sz w:val="24"/>
    </w:rPr>
  </w:style>
  <w:style w:type="paragraph" w:customStyle="1" w:styleId="10">
    <w:name w:val="HTML 地址1"/>
    <w:basedOn w:val="1"/>
    <w:qFormat/>
    <w:uiPriority w:val="0"/>
    <w:rPr>
      <w:sz w:val="24"/>
    </w:rPr>
  </w:style>
  <w:style w:type="paragraph" w:customStyle="1" w:styleId="11">
    <w:name w:val="插入文本样式-插入总体目标文件"/>
    <w:basedOn w:val="1"/>
    <w:qFormat/>
    <w:uiPriority w:val="0"/>
    <w:pPr>
      <w:spacing w:before="0" w:after="0" w:line="500" w:lineRule="exact"/>
      <w:ind w:firstLine="560"/>
      <w:jc w:val="left"/>
      <w:outlineLvl w:val="9"/>
    </w:pPr>
    <w:rPr>
      <w:rFonts w:ascii="Times New Roman" w:hAnsi="Times New Roman" w:eastAsia="方正仿宋_GBK" w:cs="Times New Roman"/>
      <w:sz w:val="28"/>
    </w:rPr>
  </w:style>
  <w:style w:type="character" w:customStyle="1" w:styleId="12">
    <w:name w:val="要点1"/>
    <w:basedOn w:val="13"/>
    <w:link w:val="1"/>
    <w:qFormat/>
    <w:uiPriority w:val="0"/>
    <w:rPr>
      <w:rFonts w:ascii="Calibri" w:hAnsi="Calibri" w:eastAsia="宋体" w:cs="黑体"/>
      <w:kern w:val="2"/>
      <w:sz w:val="21"/>
      <w:szCs w:val="22"/>
      <w:lang w:val="en-US" w:eastAsia="zh-CN" w:bidi="ar-SA"/>
    </w:rPr>
  </w:style>
  <w:style w:type="character" w:customStyle="1" w:styleId="13">
    <w:name w:val="默认段落字体1"/>
    <w:link w:val="1"/>
    <w:qFormat/>
    <w:uiPriority w:val="0"/>
  </w:style>
  <w:style w:type="paragraph" w:customStyle="1" w:styleId="14">
    <w:name w:val="普通(网站)1"/>
    <w:basedOn w:val="1"/>
    <w:qFormat/>
    <w:uiPriority w:val="0"/>
    <w:pPr>
      <w:spacing w:before="100" w:beforeAutospacing="1" w:after="10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Tahoma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Tahoma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4097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7</Pages>
  <Words>1229</Words>
  <Characters>1313</Characters>
  <Lines>4</Lines>
  <Paragraphs>1</Paragraphs>
  <TotalTime>0</TotalTime>
  <ScaleCrop>false</ScaleCrop>
  <LinksUpToDate>false</LinksUpToDate>
  <CharactersWithSpaces>1375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2020-02-07T11:46:00Z</dcterms:created>
  <dc:creator>欣欣大人</dc:creator>
  <cp:lastModifiedBy>月儿弯弯</cp:lastModifiedBy>
  <cp:lastPrinted>2024-04-28T10:37:00Z</cp:lastPrinted>
  <dcterms:modified xsi:type="dcterms:W3CDTF">2025-11-13T02:51:10Z</dcterms:modified>
  <dc:title>Administrator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96934721B1514D3FBAA28020338CE855_12</vt:lpwstr>
  </property>
  <property fmtid="{D5CDD505-2E9C-101B-9397-08002B2CF9AE}" pid="4" name="KSOTemplateDocerSaveRecord">
    <vt:lpwstr>eyJoZGlkIjoiNTgzNjcxYzQxMGQ5YjZmZmFlZmQ2YjNkNzMxYWFmNGEiLCJ1c2VySWQiOiIzMzc4NDI5MTIifQ==</vt:lpwstr>
  </property>
</Properties>
</file>