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2D047E">
      <w:pPr>
        <w:keepNext w:val="0"/>
        <w:keepLines w:val="0"/>
        <w:pageBreakBefore w:val="0"/>
        <w:widowControl w:val="0"/>
        <w:kinsoku/>
        <w:wordWrap/>
        <w:overflowPunct/>
        <w:topLinePunct w:val="0"/>
        <w:autoSpaceDE/>
        <w:autoSpaceDN/>
        <w:bidi w:val="0"/>
        <w:adjustRightInd/>
        <w:snapToGrid/>
        <w:spacing w:line="660" w:lineRule="exact"/>
        <w:ind w:firstLine="2200" w:firstLineChars="500"/>
        <w:jc w:val="both"/>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u w:val="single"/>
          <w:lang w:val="en-US" w:eastAsia="zh-CN"/>
        </w:rPr>
        <w:t>正定县</w:t>
      </w:r>
      <w:r>
        <w:rPr>
          <w:rFonts w:hint="eastAsia" w:ascii="方正小标宋简体" w:hAnsi="方正小标宋简体" w:eastAsia="方正小标宋简体" w:cs="方正小标宋简体"/>
          <w:b w:val="0"/>
          <w:bCs w:val="0"/>
          <w:color w:val="auto"/>
          <w:sz w:val="44"/>
          <w:szCs w:val="44"/>
        </w:rPr>
        <w:t>市场监督管理局</w:t>
      </w:r>
    </w:p>
    <w:p w14:paraId="59B8DE91">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行政处罚决定书</w:t>
      </w:r>
    </w:p>
    <w:p w14:paraId="09A73B9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u w:val="single"/>
          <w:lang w:val="en-US" w:eastAsia="zh-CN"/>
        </w:rPr>
        <w:t>正</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rPr>
        <w:t>市监</w:t>
      </w:r>
      <w:r>
        <w:rPr>
          <w:rFonts w:hint="eastAsia" w:ascii="仿宋" w:hAnsi="仿宋" w:eastAsia="仿宋" w:cs="仿宋"/>
          <w:b w:val="0"/>
          <w:bCs w:val="0"/>
          <w:color w:val="auto"/>
          <w:sz w:val="32"/>
          <w:szCs w:val="32"/>
          <w:u w:val="none"/>
          <w:lang w:val="en-US" w:eastAsia="zh-CN"/>
        </w:rPr>
        <w:t>处罚</w:t>
      </w:r>
      <w:r>
        <w:rPr>
          <w:rFonts w:hint="eastAsia" w:ascii="仿宋" w:hAnsi="仿宋" w:eastAsia="仿宋" w:cs="仿宋"/>
          <w:b w:val="0"/>
          <w:bCs w:val="0"/>
          <w:color w:val="auto"/>
          <w:sz w:val="32"/>
          <w:szCs w:val="32"/>
        </w:rPr>
        <w:t>〔</w:t>
      </w:r>
      <w:r>
        <w:rPr>
          <w:rFonts w:hint="eastAsia" w:ascii="仿宋" w:hAnsi="仿宋" w:eastAsia="仿宋" w:cs="仿宋"/>
          <w:b w:val="0"/>
          <w:bCs w:val="0"/>
          <w:color w:val="auto"/>
          <w:sz w:val="32"/>
          <w:szCs w:val="32"/>
          <w:u w:val="single"/>
          <w:lang w:val="en-US" w:eastAsia="zh-CN"/>
        </w:rPr>
        <w:t>2025</w:t>
      </w:r>
      <w:r>
        <w:rPr>
          <w:rFonts w:hint="eastAsia" w:ascii="仿宋" w:hAnsi="仿宋" w:eastAsia="仿宋" w:cs="仿宋"/>
          <w:b w:val="0"/>
          <w:bCs w:val="0"/>
          <w:color w:val="auto"/>
          <w:sz w:val="32"/>
          <w:szCs w:val="32"/>
        </w:rPr>
        <w:t>〕</w:t>
      </w:r>
      <w:r>
        <w:rPr>
          <w:rFonts w:hint="eastAsia" w:ascii="仿宋" w:hAnsi="仿宋" w:eastAsia="仿宋" w:cs="仿宋"/>
          <w:b w:val="0"/>
          <w:bCs w:val="0"/>
          <w:color w:val="auto"/>
          <w:sz w:val="32"/>
          <w:szCs w:val="32"/>
          <w:u w:val="single"/>
          <w:lang w:val="en-US" w:eastAsia="zh-CN"/>
        </w:rPr>
        <w:t>1-001</w:t>
      </w:r>
      <w:r>
        <w:rPr>
          <w:rFonts w:hint="eastAsia" w:ascii="仿宋" w:hAnsi="仿宋" w:eastAsia="仿宋" w:cs="仿宋"/>
          <w:b w:val="0"/>
          <w:bCs w:val="0"/>
          <w:color w:val="auto"/>
          <w:sz w:val="32"/>
          <w:szCs w:val="32"/>
        </w:rPr>
        <w:t>号</w:t>
      </w:r>
    </w:p>
    <w:p w14:paraId="45C1570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color w:val="auto"/>
          <w:sz w:val="32"/>
          <w:szCs w:val="32"/>
        </w:rPr>
      </w:pPr>
    </w:p>
    <w:p w14:paraId="651EEB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sz w:val="32"/>
          <w:szCs w:val="32"/>
        </w:rPr>
      </w:pPr>
      <w:r>
        <w:rPr>
          <w:rFonts w:hint="eastAsia" w:ascii="黑体" w:hAnsi="黑体" w:eastAsia="黑体" w:cs="黑体"/>
          <w:b w:val="0"/>
          <w:bCs w:val="0"/>
          <w:color w:val="auto"/>
          <w:kern w:val="1"/>
          <w:sz w:val="32"/>
          <w:szCs w:val="32"/>
        </w:rPr>
        <w:t>当事人：</w:t>
      </w:r>
      <w:r>
        <w:rPr>
          <w:rFonts w:hint="eastAsia" w:ascii="仿宋" w:hAnsi="仿宋" w:eastAsia="仿宋" w:cs="仿宋"/>
          <w:b w:val="0"/>
          <w:bCs w:val="0"/>
          <w:color w:val="auto"/>
          <w:sz w:val="32"/>
          <w:szCs w:val="32"/>
          <w:u w:val="single"/>
          <w:lang w:val="en-US" w:eastAsia="zh-CN"/>
        </w:rPr>
        <w:t>512户连续2年未按规定报送年度报告被列入经营异常名录未改正，且通过登记的住所无法取得联系的企业。（详见附件）</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u w:val="single"/>
        </w:rPr>
        <w:t xml:space="preserve">   </w:t>
      </w:r>
    </w:p>
    <w:p w14:paraId="37AFA1C2">
      <w:pPr>
        <w:keepNext w:val="0"/>
        <w:keepLines w:val="0"/>
        <w:pageBreakBefore w:val="0"/>
        <w:widowControl w:val="0"/>
        <w:kinsoku/>
        <w:wordWrap/>
        <w:overflowPunct/>
        <w:topLinePunct w:val="0"/>
        <w:autoSpaceDE/>
        <w:autoSpaceDN/>
        <w:bidi w:val="0"/>
        <w:adjustRightInd/>
        <w:snapToGrid/>
        <w:spacing w:line="560" w:lineRule="exact"/>
        <w:ind w:left="271" w:leftChars="129" w:firstLine="425" w:firstLineChars="133"/>
        <w:textAlignment w:val="auto"/>
        <w:rPr>
          <w:rFonts w:hint="eastAsia" w:ascii="仿宋" w:hAnsi="仿宋" w:eastAsia="仿宋" w:cs="仿宋"/>
          <w:b w:val="0"/>
          <w:bCs w:val="0"/>
          <w:color w:val="auto"/>
          <w:sz w:val="32"/>
          <w:szCs w:val="32"/>
        </w:rPr>
      </w:pPr>
      <w:r>
        <w:rPr>
          <w:rFonts w:hint="eastAsia" w:ascii="黑体" w:hAnsi="黑体" w:eastAsia="黑体" w:cs="黑体"/>
          <w:b w:val="0"/>
          <w:bCs w:val="0"/>
          <w:color w:val="auto"/>
          <w:kern w:val="1"/>
          <w:sz w:val="32"/>
          <w:szCs w:val="32"/>
        </w:rPr>
        <w:t>主体资格证照名称：</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sz w:val="32"/>
          <w:szCs w:val="32"/>
          <w:u w:val="single"/>
          <w:lang w:val="en-US" w:eastAsia="zh-CN"/>
        </w:rPr>
        <w:t>营业执照</w:t>
      </w:r>
      <w:r>
        <w:rPr>
          <w:rFonts w:hint="eastAsia" w:ascii="仿宋" w:hAnsi="仿宋" w:eastAsia="仿宋" w:cs="仿宋"/>
          <w:b w:val="0"/>
          <w:bCs w:val="0"/>
          <w:color w:val="auto"/>
          <w:kern w:val="1"/>
          <w:sz w:val="32"/>
          <w:szCs w:val="32"/>
          <w:u w:val="single"/>
        </w:rPr>
        <w:t xml:space="preserve">                                            </w:t>
      </w:r>
    </w:p>
    <w:p w14:paraId="10D6D928">
      <w:pPr>
        <w:keepNext w:val="0"/>
        <w:keepLines w:val="0"/>
        <w:pageBreakBefore w:val="0"/>
        <w:widowControl w:val="0"/>
        <w:kinsoku/>
        <w:wordWrap/>
        <w:overflowPunct/>
        <w:topLinePunct w:val="0"/>
        <w:autoSpaceDE/>
        <w:autoSpaceDN/>
        <w:bidi w:val="0"/>
        <w:adjustRightInd/>
        <w:snapToGrid/>
        <w:spacing w:line="560" w:lineRule="exact"/>
        <w:ind w:left="271" w:leftChars="129" w:firstLine="425" w:firstLineChars="133"/>
        <w:textAlignment w:val="auto"/>
        <w:rPr>
          <w:rFonts w:hint="eastAsia" w:ascii="仿宋" w:hAnsi="仿宋" w:eastAsia="仿宋" w:cs="仿宋"/>
          <w:b w:val="0"/>
          <w:bCs w:val="0"/>
          <w:color w:val="auto"/>
          <w:kern w:val="1"/>
          <w:sz w:val="32"/>
          <w:szCs w:val="32"/>
          <w:u w:val="single"/>
        </w:rPr>
      </w:pPr>
      <w:r>
        <w:rPr>
          <w:rFonts w:hint="eastAsia" w:ascii="黑体" w:hAnsi="黑体" w:eastAsia="黑体" w:cs="黑体"/>
          <w:b w:val="0"/>
          <w:bCs w:val="0"/>
          <w:color w:val="auto"/>
          <w:kern w:val="1"/>
          <w:sz w:val="32"/>
          <w:szCs w:val="32"/>
        </w:rPr>
        <w:t>统一社会信用代码（注册号）：</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sz w:val="32"/>
          <w:szCs w:val="32"/>
          <w:u w:val="single"/>
          <w:lang w:val="en-US" w:eastAsia="zh-CN"/>
        </w:rPr>
        <w:t>（详见附件）</w:t>
      </w:r>
      <w:r>
        <w:rPr>
          <w:rFonts w:hint="eastAsia" w:ascii="仿宋" w:hAnsi="仿宋" w:eastAsia="仿宋" w:cs="仿宋"/>
          <w:b w:val="0"/>
          <w:bCs w:val="0"/>
          <w:color w:val="auto"/>
          <w:kern w:val="1"/>
          <w:sz w:val="32"/>
          <w:szCs w:val="32"/>
          <w:u w:val="single"/>
        </w:rPr>
        <w:t xml:space="preserve">                                </w:t>
      </w:r>
    </w:p>
    <w:p w14:paraId="2C18D0A2">
      <w:pPr>
        <w:keepNext w:val="0"/>
        <w:keepLines w:val="0"/>
        <w:pageBreakBefore w:val="0"/>
        <w:widowControl w:val="0"/>
        <w:kinsoku/>
        <w:wordWrap/>
        <w:overflowPunct/>
        <w:topLinePunct w:val="0"/>
        <w:autoSpaceDE/>
        <w:autoSpaceDN/>
        <w:bidi w:val="0"/>
        <w:adjustRightInd/>
        <w:snapToGrid/>
        <w:spacing w:line="560" w:lineRule="exact"/>
        <w:ind w:left="271" w:leftChars="129" w:firstLine="425" w:firstLineChars="133"/>
        <w:textAlignment w:val="auto"/>
        <w:rPr>
          <w:rFonts w:hint="eastAsia" w:ascii="仿宋" w:hAnsi="仿宋" w:eastAsia="仿宋" w:cs="仿宋"/>
          <w:b w:val="0"/>
          <w:bCs w:val="0"/>
          <w:color w:val="auto"/>
          <w:kern w:val="1"/>
          <w:sz w:val="32"/>
          <w:szCs w:val="32"/>
          <w:u w:val="single"/>
          <w:lang w:val="en-US"/>
        </w:rPr>
      </w:pPr>
      <w:r>
        <w:rPr>
          <w:rFonts w:hint="eastAsia" w:ascii="黑体" w:hAnsi="黑体" w:eastAsia="黑体" w:cs="黑体"/>
          <w:b w:val="0"/>
          <w:bCs w:val="0"/>
          <w:color w:val="auto"/>
          <w:kern w:val="1"/>
          <w:sz w:val="32"/>
          <w:szCs w:val="32"/>
        </w:rPr>
        <w:t>住所（住址）：</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sz w:val="32"/>
          <w:szCs w:val="32"/>
          <w:u w:val="single"/>
          <w:lang w:val="en-US" w:eastAsia="zh-CN"/>
        </w:rPr>
        <w:t xml:space="preserve">（详见附件）                                  </w:t>
      </w:r>
    </w:p>
    <w:p w14:paraId="435582FF">
      <w:pPr>
        <w:keepNext w:val="0"/>
        <w:keepLines w:val="0"/>
        <w:pageBreakBefore w:val="0"/>
        <w:widowControl w:val="0"/>
        <w:kinsoku/>
        <w:wordWrap/>
        <w:overflowPunct/>
        <w:topLinePunct w:val="0"/>
        <w:autoSpaceDE/>
        <w:autoSpaceDN/>
        <w:bidi w:val="0"/>
        <w:adjustRightInd/>
        <w:snapToGrid/>
        <w:spacing w:line="560" w:lineRule="exact"/>
        <w:ind w:left="271" w:leftChars="129" w:firstLine="425" w:firstLineChars="133"/>
        <w:textAlignment w:val="auto"/>
        <w:rPr>
          <w:rFonts w:hint="eastAsia" w:ascii="仿宋" w:hAnsi="仿宋" w:eastAsia="仿宋" w:cs="仿宋"/>
          <w:b w:val="0"/>
          <w:bCs w:val="0"/>
          <w:color w:val="auto"/>
          <w:kern w:val="1"/>
          <w:sz w:val="32"/>
          <w:szCs w:val="32"/>
          <w:u w:val="single"/>
        </w:rPr>
      </w:pPr>
      <w:r>
        <w:rPr>
          <w:rFonts w:hint="eastAsia" w:ascii="黑体" w:hAnsi="黑体" w:eastAsia="黑体" w:cs="黑体"/>
          <w:b w:val="0"/>
          <w:bCs w:val="0"/>
          <w:color w:val="auto"/>
          <w:kern w:val="1"/>
          <w:sz w:val="32"/>
          <w:szCs w:val="32"/>
        </w:rPr>
        <w:t>法定代表人：</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sz w:val="32"/>
          <w:szCs w:val="32"/>
          <w:u w:val="single"/>
          <w:lang w:val="en-US" w:eastAsia="zh-CN"/>
        </w:rPr>
        <w:t>（详见附件）</w:t>
      </w:r>
      <w:r>
        <w:rPr>
          <w:rFonts w:hint="eastAsia" w:ascii="仿宋" w:hAnsi="仿宋" w:eastAsia="仿宋" w:cs="仿宋"/>
          <w:b w:val="0"/>
          <w:bCs w:val="0"/>
          <w:color w:val="auto"/>
          <w:kern w:val="1"/>
          <w:sz w:val="32"/>
          <w:szCs w:val="32"/>
          <w:u w:val="single"/>
        </w:rPr>
        <w:t xml:space="preserve">                                </w:t>
      </w:r>
    </w:p>
    <w:p w14:paraId="6DEC5431">
      <w:pPr>
        <w:keepNext w:val="0"/>
        <w:keepLines w:val="0"/>
        <w:pageBreakBefore w:val="0"/>
        <w:widowControl w:val="0"/>
        <w:kinsoku/>
        <w:wordWrap/>
        <w:overflowPunct/>
        <w:topLinePunct w:val="0"/>
        <w:autoSpaceDE/>
        <w:autoSpaceDN/>
        <w:bidi w:val="0"/>
        <w:adjustRightInd/>
        <w:snapToGrid/>
        <w:spacing w:line="560" w:lineRule="exact"/>
        <w:ind w:left="271" w:leftChars="129" w:firstLine="425" w:firstLineChars="133"/>
        <w:textAlignment w:val="auto"/>
        <w:rPr>
          <w:rFonts w:hint="eastAsia" w:ascii="仿宋" w:hAnsi="仿宋" w:eastAsia="仿宋" w:cs="仿宋"/>
          <w:b w:val="0"/>
          <w:bCs w:val="0"/>
          <w:color w:val="auto"/>
          <w:kern w:val="1"/>
          <w:sz w:val="32"/>
          <w:szCs w:val="32"/>
          <w:u w:val="single"/>
        </w:rPr>
      </w:pPr>
      <w:r>
        <w:rPr>
          <w:rFonts w:hint="eastAsia" w:ascii="黑体" w:hAnsi="黑体" w:eastAsia="黑体" w:cs="黑体"/>
          <w:b w:val="0"/>
          <w:bCs w:val="0"/>
          <w:color w:val="auto"/>
          <w:kern w:val="1"/>
          <w:sz w:val="32"/>
          <w:szCs w:val="32"/>
        </w:rPr>
        <w:t>身份证（其他有效证件）号码：</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eastAsia="zh-CN"/>
        </w:rPr>
        <w:t>——</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u w:val="single"/>
        </w:rPr>
        <w:t xml:space="preserve">    </w:t>
      </w:r>
    </w:p>
    <w:p w14:paraId="398D62C4">
      <w:pPr>
        <w:keepNext w:val="0"/>
        <w:keepLines w:val="0"/>
        <w:pageBreakBefore w:val="0"/>
        <w:widowControl w:val="0"/>
        <w:kinsoku/>
        <w:wordWrap/>
        <w:overflowPunct/>
        <w:topLinePunct w:val="0"/>
        <w:autoSpaceDE/>
        <w:autoSpaceDN/>
        <w:bidi w:val="0"/>
        <w:adjustRightInd/>
        <w:snapToGrid/>
        <w:spacing w:line="560" w:lineRule="exact"/>
        <w:ind w:left="271" w:leftChars="129" w:firstLine="425" w:firstLineChars="133"/>
        <w:textAlignment w:val="auto"/>
        <w:rPr>
          <w:rFonts w:hint="eastAsia" w:ascii="仿宋" w:hAnsi="仿宋" w:eastAsia="仿宋" w:cs="仿宋"/>
          <w:b w:val="0"/>
          <w:bCs w:val="0"/>
          <w:color w:val="auto"/>
          <w:kern w:val="1"/>
          <w:sz w:val="32"/>
          <w:szCs w:val="32"/>
          <w:u w:val="single"/>
        </w:rPr>
      </w:pPr>
      <w:r>
        <w:rPr>
          <w:rFonts w:hint="eastAsia" w:ascii="黑体" w:hAnsi="黑体" w:eastAsia="黑体" w:cs="黑体"/>
          <w:b w:val="0"/>
          <w:bCs w:val="0"/>
          <w:color w:val="auto"/>
          <w:kern w:val="1"/>
          <w:sz w:val="32"/>
          <w:szCs w:val="32"/>
        </w:rPr>
        <w:t>联系电话：</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u w:val="single"/>
          <w:lang w:eastAsia="zh-CN"/>
        </w:rPr>
        <w:t>——</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rPr>
        <w:t>其他联系方式：</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eastAsia="zh-CN"/>
        </w:rPr>
        <w:t>——</w:t>
      </w:r>
      <w:r>
        <w:rPr>
          <w:rFonts w:hint="eastAsia" w:ascii="仿宋" w:hAnsi="仿宋" w:eastAsia="仿宋" w:cs="仿宋"/>
          <w:b w:val="0"/>
          <w:bCs w:val="0"/>
          <w:color w:val="auto"/>
          <w:kern w:val="1"/>
          <w:sz w:val="32"/>
          <w:szCs w:val="32"/>
          <w:u w:val="single"/>
        </w:rPr>
        <w:t xml:space="preserve">      </w:t>
      </w:r>
      <w:r>
        <w:rPr>
          <w:rFonts w:hint="eastAsia" w:ascii="仿宋" w:hAnsi="仿宋" w:eastAsia="仿宋" w:cs="仿宋"/>
          <w:b w:val="0"/>
          <w:bCs w:val="0"/>
          <w:color w:val="auto"/>
          <w:kern w:val="1"/>
          <w:sz w:val="32"/>
          <w:szCs w:val="32"/>
          <w:u w:val="single"/>
          <w:lang w:val="en-US" w:eastAsia="zh-CN"/>
        </w:rPr>
        <w:t xml:space="preserve"> </w:t>
      </w:r>
      <w:r>
        <w:rPr>
          <w:rFonts w:hint="eastAsia" w:ascii="仿宋" w:hAnsi="仿宋" w:eastAsia="仿宋" w:cs="仿宋"/>
          <w:b w:val="0"/>
          <w:bCs w:val="0"/>
          <w:color w:val="auto"/>
          <w:kern w:val="1"/>
          <w:sz w:val="32"/>
          <w:szCs w:val="32"/>
          <w:u w:val="single"/>
        </w:rPr>
        <w:t xml:space="preserve">  </w:t>
      </w:r>
    </w:p>
    <w:p w14:paraId="1849FE6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1"/>
          <w:sz w:val="32"/>
          <w:szCs w:val="32"/>
        </w:rPr>
      </w:pPr>
      <w:r>
        <w:rPr>
          <w:rFonts w:hint="eastAsia" w:ascii="黑体" w:hAnsi="黑体" w:eastAsia="黑体" w:cs="黑体"/>
          <w:b w:val="0"/>
          <w:bCs w:val="0"/>
          <w:color w:val="auto"/>
          <w:kern w:val="1"/>
          <w:sz w:val="32"/>
          <w:szCs w:val="32"/>
        </w:rPr>
        <w:t>联系地址：</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u w:val="single"/>
          <w:lang w:val="en-US" w:eastAsia="zh-CN"/>
        </w:rPr>
        <w:t>（详见附件）</w:t>
      </w:r>
      <w:r>
        <w:rPr>
          <w:rFonts w:hint="eastAsia" w:ascii="仿宋" w:hAnsi="仿宋" w:eastAsia="仿宋" w:cs="仿宋"/>
          <w:b w:val="0"/>
          <w:bCs w:val="0"/>
          <w:color w:val="auto"/>
          <w:sz w:val="32"/>
          <w:szCs w:val="32"/>
          <w:u w:val="single"/>
        </w:rPr>
        <w:t xml:space="preserve">                                          </w:t>
      </w:r>
    </w:p>
    <w:p w14:paraId="3598561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b w:val="0"/>
          <w:bCs w:val="0"/>
          <w:color w:val="auto"/>
          <w:sz w:val="32"/>
          <w:szCs w:val="32"/>
          <w:u w:val="single"/>
          <w:lang w:val="en-US" w:eastAsia="zh-CN"/>
        </w:rPr>
      </w:pPr>
      <w:r>
        <w:rPr>
          <w:rFonts w:hint="eastAsia" w:ascii="楷体" w:hAnsi="楷体" w:eastAsia="楷体" w:cs="楷体"/>
          <w:b w:val="0"/>
          <w:bCs w:val="0"/>
          <w:color w:val="auto"/>
          <w:sz w:val="32"/>
          <w:szCs w:val="32"/>
          <w:u w:val="none"/>
          <w:lang w:eastAsia="zh-CN"/>
        </w:rPr>
        <w:t>（</w:t>
      </w:r>
      <w:r>
        <w:rPr>
          <w:rFonts w:hint="eastAsia" w:ascii="楷体" w:hAnsi="楷体" w:eastAsia="楷体" w:cs="楷体"/>
          <w:b w:val="0"/>
          <w:bCs w:val="0"/>
          <w:color w:val="auto"/>
          <w:sz w:val="32"/>
          <w:szCs w:val="32"/>
          <w:u w:val="none"/>
        </w:rPr>
        <w:t>案件来源、调查经过及采取行政强制措施的情况）</w:t>
      </w:r>
      <w:r>
        <w:rPr>
          <w:rFonts w:hint="eastAsia" w:ascii="仿宋" w:hAnsi="仿宋" w:eastAsia="仿宋" w:cs="仿宋"/>
          <w:b w:val="0"/>
          <w:bCs w:val="0"/>
          <w:color w:val="auto"/>
          <w:sz w:val="32"/>
          <w:szCs w:val="32"/>
          <w:u w:val="single"/>
        </w:rPr>
        <w:t>接石家庄市市场监督管理局关于做好市场主体“出清”工作的通知，梳理出</w:t>
      </w:r>
      <w:r>
        <w:rPr>
          <w:rFonts w:hint="eastAsia" w:ascii="仿宋" w:hAnsi="仿宋" w:eastAsia="仿宋" w:cs="仿宋"/>
          <w:b w:val="0"/>
          <w:bCs w:val="0"/>
          <w:color w:val="auto"/>
          <w:sz w:val="32"/>
          <w:szCs w:val="32"/>
          <w:u w:val="single"/>
          <w:lang w:val="en-US" w:eastAsia="zh-CN"/>
        </w:rPr>
        <w:t>516</w:t>
      </w:r>
      <w:r>
        <w:rPr>
          <w:rFonts w:hint="eastAsia" w:ascii="仿宋" w:hAnsi="仿宋" w:eastAsia="仿宋" w:cs="仿宋"/>
          <w:b w:val="0"/>
          <w:bCs w:val="0"/>
          <w:color w:val="auto"/>
          <w:sz w:val="32"/>
          <w:szCs w:val="32"/>
          <w:u w:val="single"/>
        </w:rPr>
        <w:t>户连续2年未按规定报送年度报告被列入经营异常名录未改正的企业，涉嫌连续2年未按规定报送年度报告被列入经营异常名录未改正，且通过登记的住所或者经营场所无法取得联系。经主管局长</w:t>
      </w:r>
      <w:r>
        <w:rPr>
          <w:rFonts w:hint="eastAsia" w:ascii="仿宋" w:hAnsi="仿宋" w:eastAsia="仿宋" w:cs="仿宋"/>
          <w:b w:val="0"/>
          <w:bCs w:val="0"/>
          <w:color w:val="auto"/>
          <w:sz w:val="32"/>
          <w:szCs w:val="32"/>
          <w:u w:val="single"/>
          <w:lang w:val="en-US" w:eastAsia="zh-CN"/>
        </w:rPr>
        <w:t>熊新杰</w:t>
      </w:r>
      <w:r>
        <w:rPr>
          <w:rFonts w:hint="eastAsia" w:ascii="仿宋" w:hAnsi="仿宋" w:eastAsia="仿宋" w:cs="仿宋"/>
          <w:b w:val="0"/>
          <w:bCs w:val="0"/>
          <w:color w:val="auto"/>
          <w:sz w:val="32"/>
          <w:szCs w:val="32"/>
          <w:u w:val="single"/>
        </w:rPr>
        <w:t>批准，此案立案调查，当事人管辖所执法人员通过调查核实该</w:t>
      </w:r>
      <w:r>
        <w:rPr>
          <w:rFonts w:hint="eastAsia" w:ascii="仿宋" w:hAnsi="仿宋" w:eastAsia="仿宋" w:cs="仿宋"/>
          <w:b w:val="0"/>
          <w:bCs w:val="0"/>
          <w:color w:val="auto"/>
          <w:sz w:val="32"/>
          <w:szCs w:val="32"/>
          <w:u w:val="single"/>
          <w:lang w:val="en-US" w:eastAsia="zh-CN"/>
        </w:rPr>
        <w:t>516</w:t>
      </w:r>
      <w:r>
        <w:rPr>
          <w:rFonts w:hint="eastAsia" w:ascii="仿宋" w:hAnsi="仿宋" w:eastAsia="仿宋" w:cs="仿宋"/>
          <w:b w:val="0"/>
          <w:bCs w:val="0"/>
          <w:color w:val="auto"/>
          <w:sz w:val="32"/>
          <w:szCs w:val="32"/>
          <w:u w:val="single"/>
        </w:rPr>
        <w:t>户企业报送年度报告情况，全部是连续2年未按规定报送年度报告被列入经营异常名录未改正；执法人员通过到该</w:t>
      </w:r>
      <w:r>
        <w:rPr>
          <w:rFonts w:hint="eastAsia" w:ascii="仿宋" w:hAnsi="仿宋" w:eastAsia="仿宋" w:cs="仿宋"/>
          <w:b w:val="0"/>
          <w:bCs w:val="0"/>
          <w:color w:val="auto"/>
          <w:sz w:val="32"/>
          <w:szCs w:val="32"/>
          <w:u w:val="single"/>
          <w:lang w:val="en-US" w:eastAsia="zh-CN"/>
        </w:rPr>
        <w:t>516</w:t>
      </w:r>
      <w:r>
        <w:rPr>
          <w:rFonts w:hint="eastAsia" w:ascii="仿宋" w:hAnsi="仿宋" w:eastAsia="仿宋" w:cs="仿宋"/>
          <w:b w:val="0"/>
          <w:bCs w:val="0"/>
          <w:color w:val="auto"/>
          <w:sz w:val="32"/>
          <w:szCs w:val="32"/>
          <w:u w:val="single"/>
        </w:rPr>
        <w:t>户企业登记住所进行逐一实地检查核实，</w:t>
      </w:r>
      <w:r>
        <w:rPr>
          <w:rFonts w:hint="eastAsia" w:ascii="仿宋" w:hAnsi="仿宋" w:eastAsia="仿宋" w:cs="仿宋"/>
          <w:b w:val="0"/>
          <w:bCs w:val="0"/>
          <w:color w:val="auto"/>
          <w:sz w:val="32"/>
          <w:szCs w:val="32"/>
          <w:u w:val="single"/>
          <w:lang w:val="en-US" w:eastAsia="zh-CN"/>
        </w:rPr>
        <w:t>其中512户企业</w:t>
      </w:r>
      <w:r>
        <w:rPr>
          <w:rFonts w:hint="eastAsia" w:ascii="仿宋" w:hAnsi="仿宋" w:eastAsia="仿宋" w:cs="仿宋"/>
          <w:b w:val="0"/>
          <w:bCs w:val="0"/>
          <w:color w:val="auto"/>
          <w:sz w:val="32"/>
          <w:szCs w:val="32"/>
          <w:u w:val="single"/>
        </w:rPr>
        <w:t>通过登记的住所无法取得联系</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通过调查，</w:t>
      </w:r>
      <w:r>
        <w:rPr>
          <w:rFonts w:hint="eastAsia" w:ascii="仿宋" w:hAnsi="仿宋" w:eastAsia="仿宋" w:cs="仿宋"/>
          <w:b w:val="0"/>
          <w:bCs w:val="0"/>
          <w:color w:val="auto"/>
          <w:sz w:val="32"/>
          <w:szCs w:val="32"/>
          <w:u w:val="single"/>
        </w:rPr>
        <w:t>认定</w:t>
      </w:r>
      <w:r>
        <w:rPr>
          <w:rFonts w:hint="eastAsia" w:ascii="仿宋" w:hAnsi="仿宋" w:eastAsia="仿宋" w:cs="仿宋"/>
          <w:b w:val="0"/>
          <w:bCs w:val="0"/>
          <w:color w:val="auto"/>
          <w:sz w:val="32"/>
          <w:szCs w:val="32"/>
          <w:u w:val="single"/>
          <w:lang w:val="en-US" w:eastAsia="zh-CN"/>
        </w:rPr>
        <w:t>512</w:t>
      </w:r>
      <w:r>
        <w:rPr>
          <w:rFonts w:hint="eastAsia" w:ascii="仿宋" w:hAnsi="仿宋" w:eastAsia="仿宋" w:cs="仿宋"/>
          <w:b w:val="0"/>
          <w:bCs w:val="0"/>
          <w:color w:val="auto"/>
          <w:sz w:val="32"/>
          <w:szCs w:val="32"/>
          <w:u w:val="single"/>
        </w:rPr>
        <w:t>户企业（详见附件）连续2年未按规定报送年度报告被列入经营异常名录未改正，且通过登记的住所无法取得联系的事实。</w:t>
      </w:r>
      <w:r>
        <w:rPr>
          <w:rFonts w:hint="eastAsia" w:ascii="仿宋" w:hAnsi="仿宋" w:eastAsia="仿宋" w:cs="仿宋"/>
          <w:b w:val="0"/>
          <w:bCs w:val="0"/>
          <w:color w:val="auto"/>
          <w:sz w:val="32"/>
          <w:szCs w:val="32"/>
          <w:u w:val="single"/>
          <w:lang w:val="en-US" w:eastAsia="zh-CN"/>
        </w:rPr>
        <w:t xml:space="preserve">   </w:t>
      </w:r>
    </w:p>
    <w:p w14:paraId="726AD9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b w:val="0"/>
          <w:bCs w:val="0"/>
          <w:color w:val="auto"/>
          <w:sz w:val="32"/>
          <w:szCs w:val="32"/>
          <w:u w:val="single"/>
          <w:lang w:val="en-US" w:eastAsia="zh-CN"/>
        </w:rPr>
      </w:pPr>
      <w:r>
        <w:rPr>
          <w:rFonts w:hint="eastAsia" w:ascii="楷体" w:hAnsi="楷体" w:eastAsia="楷体" w:cs="楷体"/>
          <w:b w:val="0"/>
          <w:bCs w:val="0"/>
          <w:color w:val="auto"/>
          <w:sz w:val="32"/>
          <w:szCs w:val="32"/>
          <w:u w:val="none"/>
        </w:rPr>
        <w:t>（违反法律、法规或者规章的事实）</w:t>
      </w:r>
      <w:r>
        <w:rPr>
          <w:rFonts w:hint="eastAsia" w:ascii="仿宋" w:hAnsi="仿宋" w:eastAsia="仿宋" w:cs="仿宋"/>
          <w:b w:val="0"/>
          <w:bCs w:val="0"/>
          <w:color w:val="auto"/>
          <w:sz w:val="32"/>
          <w:szCs w:val="32"/>
          <w:u w:val="single"/>
        </w:rPr>
        <w:t>当事人连续2年未按规定报送年度报告被列入经营异常名录未改正，且通过登记的住所无法取得联系</w:t>
      </w:r>
      <w:r>
        <w:rPr>
          <w:rFonts w:hint="eastAsia" w:ascii="仿宋" w:hAnsi="仿宋" w:eastAsia="仿宋" w:cs="仿宋"/>
          <w:b w:val="0"/>
          <w:bCs w:val="0"/>
          <w:color w:val="auto"/>
          <w:sz w:val="32"/>
          <w:szCs w:val="32"/>
          <w:u w:val="single"/>
          <w:lang w:val="en-US" w:eastAsia="zh-CN"/>
        </w:rPr>
        <w:t>的行为</w:t>
      </w:r>
      <w:r>
        <w:rPr>
          <w:rFonts w:hint="eastAsia" w:ascii="仿宋" w:hAnsi="仿宋" w:eastAsia="仿宋" w:cs="仿宋"/>
          <w:b w:val="0"/>
          <w:bCs w:val="0"/>
          <w:color w:val="auto"/>
          <w:sz w:val="32"/>
          <w:szCs w:val="32"/>
          <w:u w:val="single"/>
        </w:rPr>
        <w:t>，</w:t>
      </w:r>
      <w:r>
        <w:rPr>
          <w:rFonts w:hint="eastAsia" w:ascii="仿宋" w:hAnsi="仿宋" w:eastAsia="仿宋" w:cs="仿宋"/>
          <w:b w:val="0"/>
          <w:bCs w:val="0"/>
          <w:color w:val="auto"/>
          <w:sz w:val="32"/>
          <w:szCs w:val="32"/>
          <w:u w:val="single"/>
          <w:lang w:val="en-US" w:eastAsia="zh-CN"/>
        </w:rPr>
        <w:t>违反</w:t>
      </w:r>
      <w:bookmarkStart w:id="0" w:name="_GoBack"/>
      <w:bookmarkEnd w:id="0"/>
      <w:r>
        <w:rPr>
          <w:rFonts w:hint="eastAsia" w:ascii="仿宋" w:hAnsi="仿宋" w:eastAsia="仿宋" w:cs="仿宋"/>
          <w:b w:val="0"/>
          <w:bCs w:val="0"/>
          <w:color w:val="auto"/>
          <w:sz w:val="32"/>
          <w:szCs w:val="32"/>
          <w:u w:val="single"/>
          <w:lang w:val="en-US" w:eastAsia="zh-CN"/>
        </w:rPr>
        <w:t>《</w:t>
      </w:r>
      <w:r>
        <w:rPr>
          <w:rFonts w:hint="eastAsia" w:ascii="仿宋" w:hAnsi="仿宋" w:eastAsia="仿宋" w:cs="仿宋"/>
          <w:b w:val="0"/>
          <w:bCs w:val="0"/>
          <w:color w:val="auto"/>
          <w:sz w:val="32"/>
          <w:szCs w:val="32"/>
          <w:u w:val="single"/>
        </w:rPr>
        <w:t>企业信息公示暂行条例</w:t>
      </w:r>
      <w:r>
        <w:rPr>
          <w:rFonts w:hint="eastAsia" w:ascii="仿宋" w:hAnsi="仿宋" w:eastAsia="仿宋" w:cs="仿宋"/>
          <w:b w:val="0"/>
          <w:bCs w:val="0"/>
          <w:color w:val="auto"/>
          <w:sz w:val="32"/>
          <w:szCs w:val="32"/>
          <w:u w:val="single"/>
          <w:lang w:val="en-US" w:eastAsia="zh-CN"/>
        </w:rPr>
        <w:t>》</w:t>
      </w:r>
      <w:r>
        <w:rPr>
          <w:rFonts w:hint="eastAsia" w:ascii="仿宋" w:hAnsi="仿宋" w:eastAsia="仿宋" w:cs="仿宋"/>
          <w:b w:val="0"/>
          <w:bCs w:val="0"/>
          <w:color w:val="auto"/>
          <w:sz w:val="32"/>
          <w:szCs w:val="32"/>
          <w:u w:val="single"/>
        </w:rPr>
        <w:t>第八条</w:t>
      </w:r>
      <w:r>
        <w:rPr>
          <w:rFonts w:hint="eastAsia" w:ascii="仿宋" w:hAnsi="仿宋" w:eastAsia="仿宋" w:cs="仿宋"/>
          <w:b w:val="0"/>
          <w:bCs w:val="0"/>
          <w:color w:val="auto"/>
          <w:sz w:val="32"/>
          <w:szCs w:val="32"/>
          <w:u w:val="single"/>
          <w:lang w:val="en-US" w:eastAsia="zh-CN"/>
        </w:rPr>
        <w:t>和第十八条第一款之规定。</w:t>
      </w:r>
    </w:p>
    <w:p w14:paraId="269847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上述事实，主要有以下证据证明：</w:t>
      </w:r>
    </w:p>
    <w:p w14:paraId="6C70649E">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 w:hAnsi="仿宋" w:eastAsia="仿宋" w:cs="仿宋"/>
          <w:b w:val="0"/>
          <w:bCs w:val="0"/>
          <w:color w:val="auto"/>
          <w:sz w:val="32"/>
          <w:szCs w:val="32"/>
          <w:u w:val="single"/>
        </w:rPr>
      </w:pPr>
      <w:r>
        <w:rPr>
          <w:rFonts w:hint="eastAsia" w:ascii="仿宋" w:hAnsi="仿宋" w:eastAsia="仿宋" w:cs="仿宋"/>
          <w:b w:val="0"/>
          <w:bCs w:val="0"/>
          <w:color w:val="auto"/>
          <w:sz w:val="32"/>
          <w:szCs w:val="32"/>
        </w:rPr>
        <w:t>1</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u w:val="single"/>
        </w:rPr>
        <w:t>连续2年未按规定报送年度报告被列入经营异常名录未改正</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516户</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企业名单</w:t>
      </w:r>
      <w:r>
        <w:rPr>
          <w:rFonts w:hint="eastAsia" w:ascii="仿宋" w:hAnsi="仿宋" w:eastAsia="仿宋" w:cs="仿宋"/>
          <w:b w:val="0"/>
          <w:bCs w:val="0"/>
          <w:color w:val="auto"/>
          <w:sz w:val="32"/>
          <w:szCs w:val="32"/>
        </w:rPr>
        <w:t>，证明</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u w:val="single"/>
        </w:rPr>
        <w:t>证实了</w:t>
      </w:r>
      <w:r>
        <w:rPr>
          <w:rFonts w:hint="eastAsia" w:ascii="仿宋" w:hAnsi="仿宋" w:eastAsia="仿宋" w:cs="仿宋"/>
          <w:b w:val="0"/>
          <w:bCs w:val="0"/>
          <w:color w:val="auto"/>
          <w:sz w:val="32"/>
          <w:szCs w:val="32"/>
          <w:u w:val="single"/>
          <w:lang w:val="en-US" w:eastAsia="zh-CN"/>
        </w:rPr>
        <w:t>当事人</w:t>
      </w:r>
      <w:r>
        <w:rPr>
          <w:rFonts w:hint="eastAsia" w:ascii="仿宋" w:hAnsi="仿宋" w:eastAsia="仿宋" w:cs="仿宋"/>
          <w:b w:val="0"/>
          <w:bCs w:val="0"/>
          <w:color w:val="auto"/>
          <w:sz w:val="32"/>
          <w:szCs w:val="32"/>
          <w:u w:val="single"/>
        </w:rPr>
        <w:t>的真实身份</w:t>
      </w:r>
      <w:r>
        <w:rPr>
          <w:rFonts w:hint="eastAsia" w:ascii="仿宋" w:hAnsi="仿宋" w:eastAsia="仿宋" w:cs="仿宋"/>
          <w:b w:val="0"/>
          <w:bCs w:val="0"/>
          <w:color w:val="auto"/>
          <w:sz w:val="32"/>
          <w:szCs w:val="32"/>
          <w:u w:val="single"/>
          <w:lang w:val="en-US" w:eastAsia="zh-CN"/>
        </w:rPr>
        <w:t>及</w:t>
      </w:r>
      <w:r>
        <w:rPr>
          <w:rFonts w:hint="eastAsia" w:ascii="仿宋" w:hAnsi="仿宋" w:eastAsia="仿宋" w:cs="仿宋"/>
          <w:b w:val="0"/>
          <w:bCs w:val="0"/>
          <w:color w:val="auto"/>
          <w:sz w:val="32"/>
          <w:szCs w:val="32"/>
          <w:u w:val="single"/>
        </w:rPr>
        <w:t>连续2年未按规定报送年度报告被列入经营异常名录未改正</w:t>
      </w:r>
      <w:r>
        <w:rPr>
          <w:rFonts w:hint="eastAsia" w:ascii="仿宋" w:hAnsi="仿宋" w:eastAsia="仿宋" w:cs="仿宋"/>
          <w:b w:val="0"/>
          <w:bCs w:val="0"/>
          <w:color w:val="auto"/>
          <w:sz w:val="32"/>
          <w:szCs w:val="32"/>
          <w:u w:val="single"/>
          <w:lang w:val="en-US" w:eastAsia="zh-CN"/>
        </w:rPr>
        <w:t>的违法事实</w:t>
      </w:r>
      <w:r>
        <w:rPr>
          <w:rFonts w:hint="eastAsia" w:ascii="仿宋" w:hAnsi="仿宋" w:eastAsia="仿宋" w:cs="仿宋"/>
          <w:b w:val="0"/>
          <w:bCs w:val="0"/>
          <w:color w:val="auto"/>
          <w:sz w:val="32"/>
          <w:szCs w:val="32"/>
          <w:u w:val="single"/>
        </w:rPr>
        <w:t>。</w:t>
      </w:r>
    </w:p>
    <w:p w14:paraId="7EBF709E">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 w:hAnsi="仿宋" w:eastAsia="仿宋" w:cs="仿宋"/>
          <w:b w:val="0"/>
          <w:bCs w:val="0"/>
          <w:color w:val="auto"/>
          <w:sz w:val="32"/>
          <w:szCs w:val="32"/>
          <w:u w:val="single"/>
        </w:rPr>
      </w:pPr>
      <w:r>
        <w:rPr>
          <w:rFonts w:hint="eastAsia" w:ascii="仿宋" w:hAnsi="仿宋" w:eastAsia="仿宋" w:cs="仿宋"/>
          <w:b w:val="0"/>
          <w:bCs w:val="0"/>
          <w:color w:val="auto"/>
          <w:sz w:val="32"/>
          <w:szCs w:val="32"/>
        </w:rPr>
        <w:t>2</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u w:val="single"/>
        </w:rPr>
        <w:t>连续2年未按规定报送年度报告被列入经营异常名录未改正，且通过登记的住所无法取得联系</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512户</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企业名单</w:t>
      </w:r>
      <w:r>
        <w:rPr>
          <w:rFonts w:hint="eastAsia" w:ascii="仿宋" w:hAnsi="仿宋" w:eastAsia="仿宋" w:cs="仿宋"/>
          <w:b w:val="0"/>
          <w:bCs w:val="0"/>
          <w:color w:val="auto"/>
          <w:sz w:val="32"/>
          <w:szCs w:val="32"/>
        </w:rPr>
        <w:t>，证明</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u w:val="single"/>
        </w:rPr>
        <w:t>证实了</w:t>
      </w:r>
      <w:r>
        <w:rPr>
          <w:rFonts w:hint="eastAsia" w:ascii="仿宋" w:hAnsi="仿宋" w:eastAsia="仿宋" w:cs="仿宋"/>
          <w:b w:val="0"/>
          <w:bCs w:val="0"/>
          <w:color w:val="auto"/>
          <w:sz w:val="32"/>
          <w:szCs w:val="32"/>
          <w:u w:val="single"/>
          <w:lang w:val="en-US" w:eastAsia="zh-CN"/>
        </w:rPr>
        <w:t>当事人</w:t>
      </w:r>
      <w:r>
        <w:rPr>
          <w:rFonts w:hint="eastAsia" w:ascii="仿宋" w:hAnsi="仿宋" w:eastAsia="仿宋" w:cs="仿宋"/>
          <w:b w:val="0"/>
          <w:bCs w:val="0"/>
          <w:color w:val="auto"/>
          <w:sz w:val="32"/>
          <w:szCs w:val="32"/>
          <w:u w:val="single"/>
        </w:rPr>
        <w:t>的真实身份</w:t>
      </w:r>
      <w:r>
        <w:rPr>
          <w:rFonts w:hint="eastAsia" w:ascii="仿宋" w:hAnsi="仿宋" w:eastAsia="仿宋" w:cs="仿宋"/>
          <w:b w:val="0"/>
          <w:bCs w:val="0"/>
          <w:color w:val="auto"/>
          <w:sz w:val="32"/>
          <w:szCs w:val="32"/>
          <w:u w:val="single"/>
          <w:lang w:val="en-US" w:eastAsia="zh-CN"/>
        </w:rPr>
        <w:t>及</w:t>
      </w:r>
      <w:r>
        <w:rPr>
          <w:rFonts w:hint="eastAsia" w:ascii="仿宋" w:hAnsi="仿宋" w:eastAsia="仿宋" w:cs="仿宋"/>
          <w:b w:val="0"/>
          <w:bCs w:val="0"/>
          <w:color w:val="auto"/>
          <w:sz w:val="32"/>
          <w:szCs w:val="32"/>
          <w:u w:val="single"/>
        </w:rPr>
        <w:t>连续2年未按规定报送年度报告被列入经营异常名录未改正，且通过登记的住所无法取得联系</w:t>
      </w:r>
      <w:r>
        <w:rPr>
          <w:rFonts w:hint="eastAsia" w:ascii="仿宋" w:hAnsi="仿宋" w:eastAsia="仿宋" w:cs="仿宋"/>
          <w:b w:val="0"/>
          <w:bCs w:val="0"/>
          <w:color w:val="auto"/>
          <w:sz w:val="32"/>
          <w:szCs w:val="32"/>
          <w:u w:val="single"/>
          <w:lang w:val="en-US" w:eastAsia="zh-CN"/>
        </w:rPr>
        <w:t>的违法事实</w:t>
      </w:r>
      <w:r>
        <w:rPr>
          <w:rFonts w:hint="eastAsia" w:ascii="仿宋" w:hAnsi="仿宋" w:eastAsia="仿宋" w:cs="仿宋"/>
          <w:b w:val="0"/>
          <w:bCs w:val="0"/>
          <w:color w:val="auto"/>
          <w:sz w:val="32"/>
          <w:szCs w:val="32"/>
          <w:u w:val="single"/>
        </w:rPr>
        <w:t>。</w:t>
      </w:r>
    </w:p>
    <w:p w14:paraId="75007AD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rPr>
        <w:t>3</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u w:val="single"/>
          <w:lang w:val="en-US" w:eastAsia="zh-CN"/>
        </w:rPr>
        <w:t>512户企业的实地核查记录表及现场检查照片</w:t>
      </w:r>
      <w:r>
        <w:rPr>
          <w:rFonts w:hint="eastAsia" w:ascii="仿宋" w:hAnsi="仿宋" w:eastAsia="仿宋" w:cs="仿宋"/>
          <w:b w:val="0"/>
          <w:bCs w:val="0"/>
          <w:color w:val="auto"/>
          <w:sz w:val="32"/>
          <w:szCs w:val="32"/>
          <w:u w:val="none"/>
          <w:lang w:val="en-US" w:eastAsia="zh-CN"/>
        </w:rPr>
        <w:t>，</w:t>
      </w:r>
      <w:r>
        <w:rPr>
          <w:rFonts w:hint="eastAsia" w:ascii="仿宋" w:hAnsi="仿宋" w:eastAsia="仿宋" w:cs="仿宋"/>
          <w:b w:val="0"/>
          <w:bCs w:val="0"/>
          <w:color w:val="auto"/>
          <w:sz w:val="32"/>
          <w:szCs w:val="32"/>
        </w:rPr>
        <w:t>证明</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u w:val="single"/>
          <w:lang w:val="en-US" w:eastAsia="zh-CN"/>
        </w:rPr>
        <w:t>执法人员到企业</w:t>
      </w:r>
      <w:r>
        <w:rPr>
          <w:rFonts w:hint="eastAsia" w:ascii="仿宋" w:hAnsi="仿宋" w:eastAsia="仿宋" w:cs="仿宋"/>
          <w:b w:val="0"/>
          <w:bCs w:val="0"/>
          <w:color w:val="auto"/>
          <w:sz w:val="32"/>
          <w:szCs w:val="32"/>
          <w:u w:val="single"/>
        </w:rPr>
        <w:t>登记的住所</w:t>
      </w:r>
      <w:r>
        <w:rPr>
          <w:rFonts w:hint="eastAsia" w:ascii="仿宋" w:hAnsi="仿宋" w:eastAsia="仿宋" w:cs="仿宋"/>
          <w:b w:val="0"/>
          <w:bCs w:val="0"/>
          <w:color w:val="auto"/>
          <w:sz w:val="32"/>
          <w:szCs w:val="32"/>
          <w:u w:val="single"/>
          <w:lang w:val="en-US" w:eastAsia="zh-CN"/>
        </w:rPr>
        <w:t>实地检查，</w:t>
      </w:r>
      <w:r>
        <w:rPr>
          <w:rFonts w:hint="eastAsia" w:ascii="仿宋" w:hAnsi="仿宋" w:eastAsia="仿宋" w:cs="仿宋"/>
          <w:b w:val="0"/>
          <w:bCs w:val="0"/>
          <w:color w:val="auto"/>
          <w:sz w:val="32"/>
          <w:szCs w:val="32"/>
          <w:u w:val="single"/>
        </w:rPr>
        <w:t>通过</w:t>
      </w:r>
      <w:r>
        <w:rPr>
          <w:rFonts w:hint="eastAsia" w:ascii="仿宋" w:hAnsi="仿宋" w:eastAsia="仿宋" w:cs="仿宋"/>
          <w:b w:val="0"/>
          <w:bCs w:val="0"/>
          <w:color w:val="auto"/>
          <w:sz w:val="32"/>
          <w:szCs w:val="32"/>
          <w:u w:val="single"/>
          <w:lang w:val="en-US" w:eastAsia="zh-CN"/>
        </w:rPr>
        <w:t>企业</w:t>
      </w:r>
      <w:r>
        <w:rPr>
          <w:rFonts w:hint="eastAsia" w:ascii="仿宋" w:hAnsi="仿宋" w:eastAsia="仿宋" w:cs="仿宋"/>
          <w:b w:val="0"/>
          <w:bCs w:val="0"/>
          <w:color w:val="auto"/>
          <w:sz w:val="32"/>
          <w:szCs w:val="32"/>
          <w:u w:val="single"/>
        </w:rPr>
        <w:t>登记的住所无法取得联系</w:t>
      </w:r>
      <w:r>
        <w:rPr>
          <w:rFonts w:hint="eastAsia" w:ascii="仿宋" w:hAnsi="仿宋" w:eastAsia="仿宋" w:cs="仿宋"/>
          <w:b w:val="0"/>
          <w:bCs w:val="0"/>
          <w:color w:val="auto"/>
          <w:sz w:val="32"/>
          <w:szCs w:val="32"/>
          <w:u w:val="single"/>
          <w:lang w:val="en-US" w:eastAsia="zh-CN"/>
        </w:rPr>
        <w:t>的违法事实。</w:t>
      </w:r>
      <w:r>
        <w:rPr>
          <w:rFonts w:hint="eastAsia" w:ascii="仿宋" w:hAnsi="仿宋" w:eastAsia="仿宋" w:cs="仿宋"/>
          <w:b w:val="0"/>
          <w:bCs w:val="0"/>
          <w:color w:val="auto"/>
          <w:sz w:val="32"/>
          <w:szCs w:val="32"/>
          <w:lang w:val="en-US" w:eastAsia="zh-CN"/>
        </w:rPr>
        <w:t xml:space="preserve">        </w:t>
      </w:r>
    </w:p>
    <w:p w14:paraId="733610B7">
      <w:pPr>
        <w:pStyle w:val="3"/>
        <w:keepNext w:val="0"/>
        <w:keepLines w:val="0"/>
        <w:pageBreakBefore w:val="0"/>
        <w:widowControl w:val="0"/>
        <w:tabs>
          <w:tab w:val="left" w:pos="9060"/>
        </w:tabs>
        <w:kinsoku/>
        <w:wordWrap/>
        <w:overflowPunct/>
        <w:topLinePunct w:val="0"/>
        <w:bidi w:val="0"/>
        <w:snapToGrid/>
        <w:spacing w:line="560" w:lineRule="exact"/>
        <w:ind w:firstLine="640" w:firstLineChars="200"/>
        <w:textAlignment w:val="auto"/>
        <w:rPr>
          <w:rFonts w:hint="eastAsia" w:ascii="Times New Roman" w:eastAsia="仿宋_GB2312" w:cs="仿宋_GB2312"/>
          <w:b w:val="0"/>
          <w:bCs w:val="0"/>
          <w:color w:val="auto"/>
          <w:sz w:val="32"/>
          <w:szCs w:val="32"/>
          <w:u w:val="none" w:color="auto"/>
        </w:rPr>
      </w:pPr>
      <w:r>
        <w:rPr>
          <w:rFonts w:hint="eastAsia" w:ascii="楷体" w:hAnsi="楷体" w:eastAsia="楷体" w:cs="楷体"/>
          <w:b w:val="0"/>
          <w:bCs w:val="0"/>
          <w:color w:val="auto"/>
          <w:sz w:val="32"/>
          <w:szCs w:val="32"/>
          <w:u w:val="none" w:color="auto"/>
        </w:rPr>
        <w:t xml:space="preserve">（行政处罚告知情况，当事人陈述、申辩、听证意见，复核     </w:t>
      </w:r>
      <w:r>
        <w:rPr>
          <w:rFonts w:hint="eastAsia" w:ascii="Times New Roman" w:eastAsia="仿宋_GB2312" w:cs="仿宋_GB2312"/>
          <w:b w:val="0"/>
          <w:bCs w:val="0"/>
          <w:color w:val="auto"/>
          <w:sz w:val="32"/>
          <w:szCs w:val="32"/>
          <w:u w:val="none" w:color="auto"/>
        </w:rPr>
        <w:t xml:space="preserve">  </w:t>
      </w:r>
      <w:r>
        <w:rPr>
          <w:rFonts w:hint="eastAsia" w:ascii="Times New Roman" w:eastAsia="仿宋_GB2312" w:cs="仿宋_GB2312"/>
          <w:b w:val="0"/>
          <w:bCs w:val="0"/>
          <w:color w:val="auto"/>
          <w:sz w:val="32"/>
          <w:szCs w:val="32"/>
          <w:u w:val="none" w:color="auto"/>
          <w:lang w:val="en-US" w:eastAsia="zh-CN"/>
        </w:rPr>
        <w:t xml:space="preserve">                    </w:t>
      </w:r>
      <w:r>
        <w:rPr>
          <w:rFonts w:hint="eastAsia" w:ascii="Times New Roman" w:eastAsia="仿宋_GB2312" w:cs="仿宋_GB2312"/>
          <w:b w:val="0"/>
          <w:bCs w:val="0"/>
          <w:color w:val="auto"/>
          <w:sz w:val="32"/>
          <w:szCs w:val="32"/>
          <w:u w:val="none" w:color="auto"/>
        </w:rPr>
        <w:t xml:space="preserve">     </w:t>
      </w:r>
    </w:p>
    <w:p w14:paraId="37C8F5FB">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val="0"/>
          <w:bCs w:val="0"/>
          <w:color w:val="auto"/>
          <w:sz w:val="32"/>
          <w:szCs w:val="32"/>
          <w:u w:val="single"/>
          <w:lang w:val="en-US" w:eastAsia="zh-CN"/>
        </w:rPr>
      </w:pPr>
      <w:r>
        <w:rPr>
          <w:rFonts w:hint="eastAsia" w:ascii="楷体" w:hAnsi="楷体" w:eastAsia="楷体" w:cs="楷体"/>
          <w:b w:val="0"/>
          <w:bCs w:val="0"/>
          <w:color w:val="auto"/>
          <w:sz w:val="32"/>
          <w:szCs w:val="32"/>
          <w:u w:val="none" w:color="auto"/>
        </w:rPr>
        <w:t>以及采纳情况和理由）</w:t>
      </w:r>
      <w:r>
        <w:rPr>
          <w:rFonts w:hint="eastAsia" w:ascii="仿宋" w:hAnsi="仿宋" w:eastAsia="仿宋" w:cs="仿宋"/>
          <w:b w:val="0"/>
          <w:bCs w:val="0"/>
          <w:color w:val="auto"/>
          <w:sz w:val="32"/>
          <w:szCs w:val="32"/>
          <w:u w:val="single"/>
        </w:rPr>
        <w:t>20</w:t>
      </w:r>
      <w:r>
        <w:rPr>
          <w:rFonts w:hint="eastAsia" w:ascii="仿宋" w:hAnsi="仿宋" w:eastAsia="仿宋" w:cs="仿宋"/>
          <w:b w:val="0"/>
          <w:bCs w:val="0"/>
          <w:color w:val="auto"/>
          <w:sz w:val="32"/>
          <w:szCs w:val="32"/>
          <w:u w:val="single"/>
          <w:lang w:val="en-US" w:eastAsia="zh-CN"/>
        </w:rPr>
        <w:t>25</w:t>
      </w:r>
      <w:r>
        <w:rPr>
          <w:rFonts w:hint="eastAsia" w:ascii="仿宋" w:hAnsi="仿宋" w:eastAsia="仿宋" w:cs="仿宋"/>
          <w:b w:val="0"/>
          <w:bCs w:val="0"/>
          <w:color w:val="auto"/>
          <w:sz w:val="32"/>
          <w:szCs w:val="32"/>
          <w:u w:val="single"/>
        </w:rPr>
        <w:t>年</w:t>
      </w:r>
      <w:r>
        <w:rPr>
          <w:rFonts w:hint="eastAsia" w:ascii="仿宋" w:hAnsi="仿宋" w:eastAsia="仿宋" w:cs="仿宋"/>
          <w:b w:val="0"/>
          <w:bCs w:val="0"/>
          <w:color w:val="auto"/>
          <w:sz w:val="32"/>
          <w:szCs w:val="32"/>
          <w:u w:val="single"/>
          <w:lang w:val="en-US" w:eastAsia="zh-CN"/>
        </w:rPr>
        <w:t>10</w:t>
      </w:r>
      <w:r>
        <w:rPr>
          <w:rFonts w:hint="eastAsia" w:ascii="仿宋" w:hAnsi="仿宋" w:eastAsia="仿宋" w:cs="仿宋"/>
          <w:b w:val="0"/>
          <w:bCs w:val="0"/>
          <w:color w:val="auto"/>
          <w:sz w:val="32"/>
          <w:szCs w:val="32"/>
          <w:u w:val="single"/>
        </w:rPr>
        <w:t>月</w:t>
      </w:r>
      <w:r>
        <w:rPr>
          <w:rFonts w:hint="eastAsia" w:ascii="仿宋" w:hAnsi="仿宋" w:eastAsia="仿宋" w:cs="仿宋"/>
          <w:b w:val="0"/>
          <w:bCs w:val="0"/>
          <w:color w:val="auto"/>
          <w:sz w:val="32"/>
          <w:szCs w:val="32"/>
          <w:u w:val="single"/>
          <w:lang w:val="en-US" w:eastAsia="zh-CN"/>
        </w:rPr>
        <w:t>13</w:t>
      </w:r>
      <w:r>
        <w:rPr>
          <w:rFonts w:hint="eastAsia" w:ascii="仿宋" w:hAnsi="仿宋" w:eastAsia="仿宋" w:cs="仿宋"/>
          <w:b w:val="0"/>
          <w:bCs w:val="0"/>
          <w:color w:val="auto"/>
          <w:sz w:val="32"/>
          <w:szCs w:val="32"/>
          <w:u w:val="single"/>
        </w:rPr>
        <w:t>日，我局</w:t>
      </w:r>
      <w:r>
        <w:rPr>
          <w:rFonts w:hint="eastAsia" w:ascii="仿宋" w:hAnsi="仿宋" w:eastAsia="仿宋" w:cs="仿宋"/>
          <w:b w:val="0"/>
          <w:bCs w:val="0"/>
          <w:color w:val="auto"/>
          <w:sz w:val="32"/>
          <w:szCs w:val="32"/>
          <w:u w:val="single"/>
          <w:lang w:val="en-US" w:eastAsia="zh-CN"/>
        </w:rPr>
        <w:t>向</w:t>
      </w:r>
      <w:r>
        <w:rPr>
          <w:rFonts w:hint="eastAsia" w:ascii="仿宋" w:hAnsi="仿宋" w:eastAsia="仿宋" w:cs="仿宋"/>
          <w:b w:val="0"/>
          <w:bCs w:val="0"/>
          <w:color w:val="auto"/>
          <w:sz w:val="32"/>
          <w:szCs w:val="32"/>
          <w:u w:val="single"/>
        </w:rPr>
        <w:t>当事人</w:t>
      </w:r>
      <w:r>
        <w:rPr>
          <w:rFonts w:hint="eastAsia" w:ascii="仿宋" w:hAnsi="仿宋" w:eastAsia="仿宋" w:cs="仿宋"/>
          <w:b w:val="0"/>
          <w:bCs w:val="0"/>
          <w:color w:val="auto"/>
          <w:sz w:val="32"/>
          <w:szCs w:val="32"/>
          <w:u w:val="single"/>
          <w:lang w:val="en-US" w:eastAsia="zh-CN"/>
        </w:rPr>
        <w:t>公告送达</w:t>
      </w:r>
      <w:r>
        <w:rPr>
          <w:rFonts w:hint="eastAsia" w:ascii="仿宋" w:hAnsi="仿宋" w:eastAsia="仿宋" w:cs="仿宋"/>
          <w:b w:val="0"/>
          <w:bCs w:val="0"/>
          <w:color w:val="auto"/>
          <w:sz w:val="32"/>
          <w:szCs w:val="32"/>
          <w:u w:val="single"/>
        </w:rPr>
        <w:t>了《正定县市场监督管理局行政处罚告知书》</w:t>
      </w:r>
      <w:r>
        <w:rPr>
          <w:rFonts w:hint="eastAsia" w:ascii="仿宋" w:hAnsi="仿宋" w:eastAsia="仿宋" w:cs="仿宋"/>
          <w:b w:val="0"/>
          <w:bCs w:val="0"/>
          <w:color w:val="auto"/>
          <w:sz w:val="32"/>
          <w:szCs w:val="32"/>
          <w:u w:val="single"/>
          <w:lang w:val="en-US" w:eastAsia="zh-CN"/>
        </w:rPr>
        <w:t>告知当事人有权进行陈述、申辩，并可要求举行听证的权利；法定期限内</w:t>
      </w:r>
      <w:r>
        <w:rPr>
          <w:rFonts w:hint="eastAsia" w:ascii="仿宋" w:hAnsi="仿宋" w:eastAsia="仿宋" w:cs="仿宋"/>
          <w:b w:val="0"/>
          <w:bCs w:val="0"/>
          <w:color w:val="auto"/>
          <w:sz w:val="32"/>
          <w:szCs w:val="32"/>
          <w:u w:val="single"/>
        </w:rPr>
        <w:t>未</w:t>
      </w:r>
      <w:r>
        <w:rPr>
          <w:rFonts w:hint="eastAsia" w:ascii="仿宋" w:hAnsi="仿宋" w:eastAsia="仿宋" w:cs="仿宋"/>
          <w:b w:val="0"/>
          <w:bCs w:val="0"/>
          <w:color w:val="auto"/>
          <w:sz w:val="32"/>
          <w:szCs w:val="32"/>
          <w:u w:val="single"/>
          <w:lang w:val="en-US" w:eastAsia="zh-CN"/>
        </w:rPr>
        <w:t>行使陈述、申辩，未要求举行听证的，视为放弃此权利</w:t>
      </w:r>
      <w:r>
        <w:rPr>
          <w:rFonts w:hint="eastAsia" w:ascii="仿宋" w:hAnsi="仿宋" w:eastAsia="仿宋" w:cs="仿宋"/>
          <w:b w:val="0"/>
          <w:bCs w:val="0"/>
          <w:color w:val="auto"/>
          <w:sz w:val="32"/>
          <w:szCs w:val="32"/>
          <w:u w:val="single"/>
        </w:rPr>
        <w:t>。</w:t>
      </w:r>
      <w:r>
        <w:rPr>
          <w:rFonts w:hint="eastAsia" w:ascii="仿宋" w:hAnsi="仿宋" w:eastAsia="仿宋" w:cs="仿宋"/>
          <w:b w:val="0"/>
          <w:bCs w:val="0"/>
          <w:color w:val="auto"/>
          <w:sz w:val="32"/>
          <w:szCs w:val="32"/>
          <w:u w:val="single"/>
          <w:lang w:val="en-US" w:eastAsia="zh-CN"/>
        </w:rPr>
        <w:t>当事人在法定期限内未提出陈述、申辩和要求举行听证。</w:t>
      </w:r>
    </w:p>
    <w:p w14:paraId="6AE186B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b w:val="0"/>
          <w:bCs w:val="0"/>
          <w:color w:val="auto"/>
          <w:sz w:val="32"/>
          <w:szCs w:val="32"/>
          <w:u w:val="single"/>
        </w:rPr>
      </w:pPr>
      <w:r>
        <w:rPr>
          <w:rFonts w:hint="eastAsia" w:ascii="楷体" w:hAnsi="楷体" w:eastAsia="楷体" w:cs="楷体"/>
          <w:b w:val="0"/>
          <w:bCs w:val="0"/>
          <w:color w:val="auto"/>
          <w:sz w:val="32"/>
          <w:szCs w:val="32"/>
          <w:u w:val="none"/>
        </w:rPr>
        <w:t>（案件性质、自由裁量的事实和理由）</w:t>
      </w:r>
      <w:r>
        <w:rPr>
          <w:rFonts w:hint="eastAsia" w:ascii="仿宋" w:hAnsi="仿宋" w:eastAsia="仿宋" w:cs="仿宋"/>
          <w:b w:val="0"/>
          <w:bCs w:val="0"/>
          <w:color w:val="auto"/>
          <w:sz w:val="32"/>
          <w:szCs w:val="32"/>
          <w:u w:val="single"/>
        </w:rPr>
        <w:t>当事人连续2年未按规定报送年度报告被列入经营异常名录未改正，且通过登记的住所或者经营场所无法取得联系</w:t>
      </w:r>
      <w:r>
        <w:rPr>
          <w:rFonts w:hint="eastAsia" w:ascii="仿宋" w:hAnsi="仿宋" w:eastAsia="仿宋" w:cs="仿宋"/>
          <w:b w:val="0"/>
          <w:bCs w:val="0"/>
          <w:color w:val="auto"/>
          <w:sz w:val="32"/>
          <w:szCs w:val="32"/>
          <w:u w:val="single"/>
          <w:lang w:val="en-US" w:eastAsia="zh-CN"/>
        </w:rPr>
        <w:t>的违法行为，按照《</w:t>
      </w:r>
      <w:r>
        <w:rPr>
          <w:rFonts w:hint="eastAsia" w:ascii="仿宋" w:hAnsi="仿宋" w:eastAsia="仿宋" w:cs="仿宋"/>
          <w:b w:val="0"/>
          <w:bCs w:val="0"/>
          <w:color w:val="auto"/>
          <w:sz w:val="32"/>
          <w:szCs w:val="32"/>
          <w:u w:val="single"/>
        </w:rPr>
        <w:t>企业信息公示暂行条例》第十八条</w:t>
      </w:r>
      <w:r>
        <w:rPr>
          <w:rFonts w:hint="eastAsia" w:ascii="仿宋" w:hAnsi="仿宋" w:eastAsia="仿宋" w:cs="仿宋"/>
          <w:b w:val="0"/>
          <w:bCs w:val="0"/>
          <w:color w:val="auto"/>
          <w:sz w:val="32"/>
          <w:szCs w:val="32"/>
          <w:u w:val="single"/>
          <w:lang w:val="en-US" w:eastAsia="zh-CN"/>
        </w:rPr>
        <w:t>第一款的规定，由</w:t>
      </w:r>
      <w:r>
        <w:rPr>
          <w:rFonts w:hint="eastAsia" w:ascii="仿宋" w:hAnsi="仿宋" w:eastAsia="仿宋" w:cs="仿宋"/>
          <w:b w:val="0"/>
          <w:bCs w:val="0"/>
          <w:color w:val="auto"/>
          <w:sz w:val="32"/>
          <w:szCs w:val="32"/>
          <w:u w:val="single"/>
        </w:rPr>
        <w:t>县级以上市场监督管理部门</w:t>
      </w:r>
      <w:r>
        <w:rPr>
          <w:rFonts w:hint="eastAsia" w:ascii="仿宋" w:hAnsi="仿宋" w:eastAsia="仿宋" w:cs="仿宋"/>
          <w:b w:val="0"/>
          <w:bCs w:val="0"/>
          <w:color w:val="auto"/>
          <w:sz w:val="32"/>
          <w:szCs w:val="32"/>
          <w:u w:val="single"/>
          <w:lang w:val="en-US" w:eastAsia="zh-CN"/>
        </w:rPr>
        <w:t>应对当事人予以</w:t>
      </w:r>
      <w:r>
        <w:rPr>
          <w:rFonts w:hint="eastAsia" w:ascii="仿宋" w:hAnsi="仿宋" w:eastAsia="仿宋" w:cs="仿宋"/>
          <w:b w:val="0"/>
          <w:bCs w:val="0"/>
          <w:color w:val="auto"/>
          <w:sz w:val="32"/>
          <w:szCs w:val="32"/>
          <w:u w:val="single"/>
        </w:rPr>
        <w:t>吊销营业执照。</w:t>
      </w:r>
    </w:p>
    <w:p w14:paraId="69B72D7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sz w:val="32"/>
          <w:szCs w:val="32"/>
          <w:u w:val="single"/>
        </w:rPr>
      </w:pPr>
      <w:r>
        <w:rPr>
          <w:rFonts w:hint="eastAsia" w:ascii="楷体" w:hAnsi="楷体" w:eastAsia="楷体" w:cs="楷体"/>
          <w:b w:val="0"/>
          <w:bCs w:val="0"/>
          <w:color w:val="auto"/>
          <w:sz w:val="32"/>
          <w:szCs w:val="32"/>
          <w:u w:val="none"/>
        </w:rPr>
        <w:t>（行政处罚的内容和依据）</w:t>
      </w:r>
      <w:r>
        <w:rPr>
          <w:rFonts w:hint="eastAsia" w:ascii="仿宋" w:hAnsi="仿宋" w:eastAsia="仿宋" w:cs="仿宋"/>
          <w:b w:val="0"/>
          <w:bCs w:val="0"/>
          <w:color w:val="auto"/>
          <w:sz w:val="32"/>
          <w:szCs w:val="32"/>
          <w:u w:val="single"/>
        </w:rPr>
        <w:t>当事人连续2年未按规定报送年度报告被列入经营异常名录未改正，且通过登记的住所或者经营场所无法取得联系的违法行为</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违反《</w:t>
      </w:r>
      <w:r>
        <w:rPr>
          <w:rFonts w:hint="eastAsia" w:ascii="仿宋" w:hAnsi="仿宋" w:eastAsia="仿宋" w:cs="仿宋"/>
          <w:b w:val="0"/>
          <w:bCs w:val="0"/>
          <w:color w:val="auto"/>
          <w:sz w:val="32"/>
          <w:szCs w:val="32"/>
          <w:u w:val="single"/>
        </w:rPr>
        <w:t>企业信息公示暂行条例</w:t>
      </w:r>
      <w:r>
        <w:rPr>
          <w:rFonts w:hint="eastAsia" w:ascii="仿宋" w:hAnsi="仿宋" w:eastAsia="仿宋" w:cs="仿宋"/>
          <w:b w:val="0"/>
          <w:bCs w:val="0"/>
          <w:color w:val="auto"/>
          <w:sz w:val="32"/>
          <w:szCs w:val="32"/>
          <w:u w:val="single"/>
          <w:lang w:val="en-US" w:eastAsia="zh-CN"/>
        </w:rPr>
        <w:t>》</w:t>
      </w:r>
      <w:r>
        <w:rPr>
          <w:rFonts w:hint="eastAsia" w:ascii="仿宋" w:hAnsi="仿宋" w:eastAsia="仿宋" w:cs="仿宋"/>
          <w:b w:val="0"/>
          <w:bCs w:val="0"/>
          <w:color w:val="auto"/>
          <w:sz w:val="32"/>
          <w:szCs w:val="32"/>
          <w:u w:val="single"/>
        </w:rPr>
        <w:t>第八条</w:t>
      </w:r>
      <w:r>
        <w:rPr>
          <w:rFonts w:hint="eastAsia" w:ascii="仿宋" w:hAnsi="仿宋" w:eastAsia="仿宋" w:cs="仿宋"/>
          <w:b w:val="0"/>
          <w:bCs w:val="0"/>
          <w:color w:val="auto"/>
          <w:sz w:val="32"/>
          <w:szCs w:val="32"/>
          <w:u w:val="single"/>
          <w:lang w:val="en-US" w:eastAsia="zh-CN"/>
        </w:rPr>
        <w:t>第一款</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rPr>
        <w:t>企业应当于每年1月1日至6月30日，通过国家企业信用信息公示系统向市场监督管理部门报送上一年度年度报告，并向社会公示</w:t>
      </w:r>
      <w:r>
        <w:rPr>
          <w:rFonts w:hint="eastAsia" w:ascii="仿宋" w:hAnsi="仿宋" w:eastAsia="仿宋" w:cs="仿宋"/>
          <w:b w:val="0"/>
          <w:bCs w:val="0"/>
          <w:color w:val="auto"/>
          <w:sz w:val="32"/>
          <w:szCs w:val="32"/>
          <w:u w:val="single"/>
          <w:lang w:eastAsia="zh-CN"/>
        </w:rPr>
        <w:t>。”，</w:t>
      </w:r>
      <w:r>
        <w:rPr>
          <w:rFonts w:hint="eastAsia" w:ascii="仿宋" w:hAnsi="仿宋" w:eastAsia="仿宋" w:cs="仿宋"/>
          <w:b w:val="0"/>
          <w:bCs w:val="0"/>
          <w:color w:val="auto"/>
          <w:sz w:val="32"/>
          <w:szCs w:val="32"/>
          <w:u w:val="single"/>
          <w:lang w:val="en-US" w:eastAsia="zh-CN"/>
        </w:rPr>
        <w:t>依</w:t>
      </w:r>
      <w:r>
        <w:rPr>
          <w:rFonts w:hint="eastAsia" w:ascii="仿宋" w:hAnsi="仿宋" w:eastAsia="仿宋" w:cs="仿宋"/>
          <w:b w:val="0"/>
          <w:bCs w:val="0"/>
          <w:color w:val="auto"/>
          <w:sz w:val="32"/>
          <w:szCs w:val="32"/>
          <w:u w:val="single"/>
        </w:rPr>
        <w:t>据</w:t>
      </w:r>
      <w:r>
        <w:rPr>
          <w:rFonts w:hint="eastAsia" w:ascii="仿宋" w:hAnsi="仿宋" w:eastAsia="仿宋" w:cs="仿宋"/>
          <w:b w:val="0"/>
          <w:bCs w:val="0"/>
          <w:color w:val="auto"/>
          <w:sz w:val="32"/>
          <w:szCs w:val="32"/>
          <w:u w:val="single"/>
          <w:lang w:val="en-US" w:eastAsia="zh-CN"/>
        </w:rPr>
        <w:t>《</w:t>
      </w:r>
      <w:r>
        <w:rPr>
          <w:rFonts w:hint="eastAsia" w:ascii="仿宋" w:hAnsi="仿宋" w:eastAsia="仿宋" w:cs="仿宋"/>
          <w:b w:val="0"/>
          <w:bCs w:val="0"/>
          <w:color w:val="auto"/>
          <w:sz w:val="32"/>
          <w:szCs w:val="32"/>
          <w:u w:val="single"/>
        </w:rPr>
        <w:t>企业信息公示暂行条例</w:t>
      </w:r>
      <w:r>
        <w:rPr>
          <w:rFonts w:hint="eastAsia" w:ascii="仿宋" w:hAnsi="仿宋" w:eastAsia="仿宋" w:cs="仿宋"/>
          <w:b w:val="0"/>
          <w:bCs w:val="0"/>
          <w:color w:val="auto"/>
          <w:sz w:val="32"/>
          <w:szCs w:val="32"/>
          <w:u w:val="single"/>
          <w:lang w:val="en-US" w:eastAsia="zh-CN"/>
        </w:rPr>
        <w:t>》第十八条第一款“</w:t>
      </w:r>
      <w:r>
        <w:rPr>
          <w:rFonts w:hint="eastAsia" w:ascii="仿宋" w:hAnsi="仿宋" w:eastAsia="仿宋" w:cs="仿宋"/>
          <w:b w:val="0"/>
          <w:bCs w:val="0"/>
          <w:color w:val="auto"/>
          <w:sz w:val="32"/>
          <w:szCs w:val="32"/>
          <w:u w:val="single"/>
        </w:rPr>
        <w:t>企业因连续2年未按规定报送年度报告被列入经营异常名录未改正，且通过登记的住所或者经营场所无法取得联系的，由县级以上市场监督管理部门吊销营业执照。</w:t>
      </w:r>
      <w:r>
        <w:rPr>
          <w:rFonts w:hint="eastAsia" w:ascii="仿宋" w:hAnsi="仿宋" w:eastAsia="仿宋" w:cs="仿宋"/>
          <w:b w:val="0"/>
          <w:bCs w:val="0"/>
          <w:color w:val="auto"/>
          <w:sz w:val="32"/>
          <w:szCs w:val="32"/>
          <w:u w:val="single"/>
          <w:lang w:val="en-US" w:eastAsia="zh-CN"/>
        </w:rPr>
        <w:t>”</w:t>
      </w:r>
      <w:r>
        <w:rPr>
          <w:rFonts w:hint="eastAsia" w:ascii="仿宋" w:hAnsi="仿宋" w:eastAsia="仿宋" w:cs="仿宋"/>
          <w:b w:val="0"/>
          <w:bCs w:val="0"/>
          <w:color w:val="auto"/>
          <w:sz w:val="32"/>
          <w:szCs w:val="32"/>
          <w:u w:val="single"/>
        </w:rPr>
        <w:t>之规定，作出处罚如下：</w:t>
      </w:r>
      <w:r>
        <w:rPr>
          <w:rFonts w:hint="eastAsia" w:ascii="仿宋" w:hAnsi="仿宋" w:eastAsia="仿宋" w:cs="仿宋"/>
          <w:b w:val="0"/>
          <w:bCs w:val="0"/>
          <w:color w:val="auto"/>
          <w:sz w:val="32"/>
          <w:szCs w:val="32"/>
          <w:u w:val="single"/>
          <w:lang w:val="en-US" w:eastAsia="zh-CN"/>
        </w:rPr>
        <w:t>吊销营业执照。</w:t>
      </w:r>
    </w:p>
    <w:p w14:paraId="03BA833E">
      <w:pPr>
        <w:keepNext w:val="0"/>
        <w:keepLines w:val="0"/>
        <w:pageBreakBefore w:val="0"/>
        <w:widowControl w:val="0"/>
        <w:kinsoku/>
        <w:wordWrap/>
        <w:overflowPunct/>
        <w:topLinePunct w:val="0"/>
        <w:autoSpaceDE/>
        <w:autoSpaceDN/>
        <w:bidi w:val="0"/>
        <w:adjustRightInd/>
        <w:snapToGrid/>
        <w:spacing w:line="560" w:lineRule="exact"/>
        <w:ind w:right="-58" w:firstLine="640" w:firstLineChars="200"/>
        <w:textAlignment w:val="auto"/>
        <w:rPr>
          <w:rFonts w:hint="eastAsia" w:ascii="仿宋" w:hAnsi="仿宋" w:eastAsia="仿宋" w:cs="仿宋"/>
          <w:b w:val="0"/>
          <w:bCs w:val="0"/>
          <w:color w:val="auto"/>
          <w:sz w:val="32"/>
          <w:szCs w:val="32"/>
          <w:u w:val="single"/>
          <w:lang w:val="en-US" w:eastAsia="zh-CN"/>
        </w:rPr>
      </w:pPr>
      <w:r>
        <w:rPr>
          <w:rFonts w:hint="eastAsia" w:ascii="楷体" w:hAnsi="楷体" w:eastAsia="楷体" w:cs="楷体"/>
          <w:b w:val="0"/>
          <w:bCs w:val="0"/>
          <w:color w:val="auto"/>
          <w:sz w:val="32"/>
          <w:szCs w:val="32"/>
          <w:u w:val="none"/>
          <w:lang w:val="en-US" w:eastAsia="zh-CN"/>
        </w:rPr>
        <w:t>（行政处罚的履行方式）</w:t>
      </w:r>
      <w:r>
        <w:rPr>
          <w:rFonts w:hint="eastAsia" w:ascii="仿宋" w:hAnsi="仿宋" w:eastAsia="仿宋" w:cs="仿宋"/>
          <w:b w:val="0"/>
          <w:bCs w:val="0"/>
          <w:color w:val="auto"/>
          <w:sz w:val="32"/>
          <w:szCs w:val="32"/>
          <w:u w:val="single"/>
          <w:lang w:val="en-US" w:eastAsia="zh-CN"/>
        </w:rPr>
        <w:t>在作出行政处罚决定之日起吊销营业执照。</w:t>
      </w:r>
    </w:p>
    <w:p w14:paraId="5389A47D">
      <w:pPr>
        <w:keepNext w:val="0"/>
        <w:keepLines w:val="0"/>
        <w:pageBreakBefore w:val="0"/>
        <w:widowControl w:val="0"/>
        <w:kinsoku/>
        <w:wordWrap/>
        <w:overflowPunct/>
        <w:topLinePunct w:val="0"/>
        <w:autoSpaceDE/>
        <w:autoSpaceDN/>
        <w:bidi w:val="0"/>
        <w:adjustRightInd/>
        <w:snapToGrid/>
        <w:spacing w:line="560" w:lineRule="exact"/>
        <w:ind w:right="-58" w:firstLine="640" w:firstLineChars="200"/>
        <w:textAlignment w:val="auto"/>
        <w:rPr>
          <w:rFonts w:hint="eastAsia" w:ascii="仿宋" w:hAnsi="仿宋" w:eastAsia="仿宋" w:cs="仿宋"/>
          <w:b w:val="0"/>
          <w:bCs w:val="0"/>
          <w:color w:val="auto"/>
          <w:sz w:val="32"/>
          <w:szCs w:val="32"/>
          <w:u w:val="single"/>
          <w:lang w:val="en-US" w:eastAsia="zh-CN"/>
        </w:rPr>
      </w:pPr>
      <w:r>
        <w:rPr>
          <w:rFonts w:hint="eastAsia" w:ascii="楷体" w:hAnsi="楷体" w:eastAsia="楷体" w:cs="楷体"/>
          <w:b w:val="0"/>
          <w:bCs w:val="0"/>
          <w:color w:val="auto"/>
          <w:sz w:val="32"/>
          <w:szCs w:val="32"/>
          <w:u w:val="none"/>
          <w:lang w:val="en-US" w:eastAsia="zh-CN"/>
        </w:rPr>
        <w:t>（救济途径和期限）</w:t>
      </w:r>
      <w:r>
        <w:rPr>
          <w:rFonts w:hint="eastAsia" w:ascii="仿宋" w:hAnsi="仿宋" w:eastAsia="仿宋" w:cs="仿宋"/>
          <w:b w:val="0"/>
          <w:bCs w:val="0"/>
          <w:color w:val="auto"/>
          <w:sz w:val="32"/>
          <w:szCs w:val="32"/>
          <w:u w:val="single"/>
          <w:lang w:val="en-US" w:eastAsia="zh-CN"/>
        </w:rPr>
        <w:t>当事人如对本决定不服，可在接到本处罚决定书之日起60日内向正定县人民政府申请复议，也可在六个月内依法向正定县人民法院提起诉讼。</w:t>
      </w:r>
    </w:p>
    <w:p w14:paraId="7A9744C1">
      <w:pPr>
        <w:keepNext w:val="0"/>
        <w:keepLines w:val="0"/>
        <w:pageBreakBefore w:val="0"/>
        <w:widowControl w:val="0"/>
        <w:kinsoku/>
        <w:wordWrap/>
        <w:overflowPunct/>
        <w:topLinePunct w:val="0"/>
        <w:autoSpaceDE/>
        <w:autoSpaceDN/>
        <w:bidi w:val="0"/>
        <w:adjustRightInd/>
        <w:snapToGrid/>
        <w:spacing w:line="560" w:lineRule="exact"/>
        <w:ind w:right="-58" w:firstLine="3840" w:firstLineChars="1200"/>
        <w:textAlignment w:val="auto"/>
        <w:rPr>
          <w:rFonts w:hint="eastAsia" w:ascii="仿宋" w:hAnsi="仿宋" w:eastAsia="仿宋" w:cs="仿宋"/>
          <w:b w:val="0"/>
          <w:bCs w:val="0"/>
          <w:color w:val="auto"/>
          <w:sz w:val="32"/>
          <w:szCs w:val="32"/>
          <w:u w:val="single"/>
        </w:rPr>
      </w:pPr>
    </w:p>
    <w:p w14:paraId="29E05B74">
      <w:pPr>
        <w:keepNext w:val="0"/>
        <w:keepLines w:val="0"/>
        <w:pageBreakBefore w:val="0"/>
        <w:widowControl w:val="0"/>
        <w:kinsoku/>
        <w:wordWrap/>
        <w:overflowPunct/>
        <w:topLinePunct w:val="0"/>
        <w:autoSpaceDE/>
        <w:autoSpaceDN/>
        <w:bidi w:val="0"/>
        <w:adjustRightInd/>
        <w:snapToGrid/>
        <w:spacing w:line="560" w:lineRule="exact"/>
        <w:ind w:right="-58" w:firstLine="3840" w:firstLineChars="1200"/>
        <w:textAlignment w:val="auto"/>
        <w:rPr>
          <w:rFonts w:hint="eastAsia" w:ascii="仿宋" w:hAnsi="仿宋" w:eastAsia="仿宋" w:cs="仿宋"/>
          <w:b w:val="0"/>
          <w:bCs w:val="0"/>
          <w:color w:val="auto"/>
          <w:sz w:val="32"/>
          <w:szCs w:val="32"/>
          <w:u w:val="single"/>
        </w:rPr>
      </w:pPr>
    </w:p>
    <w:p w14:paraId="3FF814CD">
      <w:pPr>
        <w:keepNext w:val="0"/>
        <w:keepLines w:val="0"/>
        <w:pageBreakBefore w:val="0"/>
        <w:widowControl w:val="0"/>
        <w:kinsoku/>
        <w:wordWrap/>
        <w:overflowPunct/>
        <w:topLinePunct w:val="0"/>
        <w:autoSpaceDE/>
        <w:autoSpaceDN/>
        <w:bidi w:val="0"/>
        <w:adjustRightInd/>
        <w:snapToGrid/>
        <w:spacing w:line="560" w:lineRule="exact"/>
        <w:ind w:right="-58" w:firstLine="4480" w:firstLineChars="1400"/>
        <w:textAlignment w:val="auto"/>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u w:val="none"/>
        </w:rPr>
        <w:t>正定县</w:t>
      </w:r>
      <w:r>
        <w:rPr>
          <w:rFonts w:hint="eastAsia" w:ascii="仿宋" w:hAnsi="仿宋" w:eastAsia="仿宋" w:cs="仿宋"/>
          <w:b w:val="0"/>
          <w:bCs w:val="0"/>
          <w:color w:val="auto"/>
          <w:sz w:val="32"/>
          <w:szCs w:val="32"/>
        </w:rPr>
        <w:t>市场监督管理局</w:t>
      </w:r>
    </w:p>
    <w:p w14:paraId="3B2F595A">
      <w:pPr>
        <w:keepNext w:val="0"/>
        <w:keepLines w:val="0"/>
        <w:pageBreakBefore w:val="0"/>
        <w:widowControl w:val="0"/>
        <w:kinsoku/>
        <w:wordWrap/>
        <w:overflowPunct/>
        <w:topLinePunct w:val="0"/>
        <w:autoSpaceDE/>
        <w:autoSpaceDN/>
        <w:bidi w:val="0"/>
        <w:adjustRightInd/>
        <w:snapToGrid/>
        <w:spacing w:line="560" w:lineRule="exact"/>
        <w:ind w:right="-58" w:firstLine="4480" w:firstLineChars="1400"/>
        <w:textAlignment w:val="auto"/>
        <w:rPr>
          <w:rFonts w:hint="eastAsia" w:ascii="仿宋" w:hAnsi="仿宋" w:eastAsia="仿宋" w:cs="仿宋"/>
          <w:b w:val="0"/>
          <w:bCs w:val="0"/>
          <w:color w:val="auto"/>
          <w:sz w:val="32"/>
          <w:szCs w:val="32"/>
        </w:rPr>
      </w:pPr>
    </w:p>
    <w:p w14:paraId="2BC77C78">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rPr>
        <w:t xml:space="preserve">           </w:t>
      </w:r>
      <w:r>
        <w:rPr>
          <w:rFonts w:hint="eastAsia" w:ascii="仿宋" w:hAnsi="仿宋" w:eastAsia="仿宋" w:cs="仿宋"/>
          <w:b w:val="0"/>
          <w:bCs w:val="0"/>
          <w:color w:val="auto"/>
          <w:sz w:val="32"/>
          <w:szCs w:val="32"/>
          <w:lang w:val="en-US" w:eastAsia="zh-CN"/>
        </w:rPr>
        <w:t xml:space="preserve">                   </w:t>
      </w:r>
      <w:r>
        <w:rPr>
          <w:rFonts w:hint="eastAsia" w:ascii="仿宋" w:hAnsi="仿宋" w:eastAsia="仿宋" w:cs="仿宋"/>
          <w:b w:val="0"/>
          <w:bCs w:val="0"/>
          <w:color w:val="auto"/>
          <w:sz w:val="32"/>
          <w:szCs w:val="32"/>
        </w:rPr>
        <w:t>20</w:t>
      </w:r>
      <w:r>
        <w:rPr>
          <w:rFonts w:hint="eastAsia" w:ascii="仿宋" w:hAnsi="仿宋" w:eastAsia="仿宋" w:cs="仿宋"/>
          <w:b w:val="0"/>
          <w:bCs w:val="0"/>
          <w:color w:val="auto"/>
          <w:sz w:val="32"/>
          <w:szCs w:val="32"/>
          <w:lang w:val="en-US" w:eastAsia="zh-CN"/>
        </w:rPr>
        <w:t>25</w:t>
      </w:r>
      <w:r>
        <w:rPr>
          <w:rFonts w:hint="eastAsia" w:ascii="仿宋" w:hAnsi="仿宋" w:eastAsia="仿宋" w:cs="仿宋"/>
          <w:b w:val="0"/>
          <w:bCs w:val="0"/>
          <w:color w:val="auto"/>
          <w:sz w:val="32"/>
          <w:szCs w:val="32"/>
        </w:rPr>
        <w:t>年</w:t>
      </w:r>
      <w:r>
        <w:rPr>
          <w:rFonts w:hint="eastAsia" w:ascii="仿宋" w:hAnsi="仿宋" w:eastAsia="仿宋" w:cs="仿宋"/>
          <w:b w:val="0"/>
          <w:bCs w:val="0"/>
          <w:color w:val="auto"/>
          <w:sz w:val="32"/>
          <w:szCs w:val="32"/>
          <w:lang w:val="en-US" w:eastAsia="zh-CN"/>
        </w:rPr>
        <w:t>11</w:t>
      </w:r>
      <w:r>
        <w:rPr>
          <w:rFonts w:hint="eastAsia" w:ascii="仿宋" w:hAnsi="仿宋" w:eastAsia="仿宋" w:cs="仿宋"/>
          <w:b w:val="0"/>
          <w:bCs w:val="0"/>
          <w:color w:val="auto"/>
          <w:sz w:val="32"/>
          <w:szCs w:val="32"/>
        </w:rPr>
        <w:t>月</w:t>
      </w:r>
      <w:r>
        <w:rPr>
          <w:rFonts w:hint="eastAsia" w:ascii="仿宋" w:hAnsi="仿宋" w:eastAsia="仿宋" w:cs="仿宋"/>
          <w:b w:val="0"/>
          <w:bCs w:val="0"/>
          <w:color w:val="auto"/>
          <w:sz w:val="32"/>
          <w:szCs w:val="32"/>
          <w:lang w:val="en-US" w:eastAsia="zh-CN"/>
        </w:rPr>
        <w:t>18</w:t>
      </w:r>
      <w:r>
        <w:rPr>
          <w:rFonts w:hint="eastAsia" w:ascii="仿宋" w:hAnsi="仿宋" w:eastAsia="仿宋" w:cs="仿宋"/>
          <w:b w:val="0"/>
          <w:bCs w:val="0"/>
          <w:color w:val="auto"/>
          <w:sz w:val="32"/>
          <w:szCs w:val="32"/>
        </w:rPr>
        <w:t xml:space="preserve">日 </w:t>
      </w:r>
    </w:p>
    <w:p w14:paraId="696F4483">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493324B1">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2A259DA5">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1F07B655">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5B6EC4B3">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23BC7FA5">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05013C0E">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65B0CC53">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4D1B5E16">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2246BB93">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40255B55">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7DF72760">
      <w:pPr>
        <w:keepNext w:val="0"/>
        <w:keepLines w:val="0"/>
        <w:pageBreakBefore w:val="0"/>
        <w:widowControl w:val="0"/>
        <w:tabs>
          <w:tab w:val="left" w:pos="8200"/>
        </w:tabs>
        <w:kinsoku/>
        <w:wordWrap/>
        <w:overflowPunct/>
        <w:topLinePunct w:val="0"/>
        <w:autoSpaceDE/>
        <w:autoSpaceDN/>
        <w:bidi w:val="0"/>
        <w:adjustRightInd/>
        <w:snapToGrid/>
        <w:spacing w:line="560" w:lineRule="exact"/>
        <w:ind w:right="1066"/>
        <w:jc w:val="left"/>
        <w:textAlignment w:val="auto"/>
        <w:rPr>
          <w:rFonts w:hint="eastAsia" w:ascii="仿宋" w:hAnsi="仿宋" w:eastAsia="仿宋" w:cs="仿宋"/>
          <w:b w:val="0"/>
          <w:bCs w:val="0"/>
          <w:color w:val="FF0000"/>
          <w:sz w:val="32"/>
          <w:szCs w:val="32"/>
        </w:rPr>
      </w:pPr>
    </w:p>
    <w:p w14:paraId="2EB26E74">
      <w:pPr>
        <w:keepNext w:val="0"/>
        <w:keepLines w:val="0"/>
        <w:pageBreakBefore w:val="0"/>
        <w:widowControl w:val="0"/>
        <w:kinsoku/>
        <w:wordWrap w:val="0"/>
        <w:overflowPunct/>
        <w:topLinePunct w:val="0"/>
        <w:bidi w:val="0"/>
        <w:snapToGrid/>
        <w:spacing w:line="560" w:lineRule="exact"/>
        <w:textAlignment w:val="auto"/>
        <w:rPr>
          <w:rFonts w:ascii="Times New Roman" w:hAnsi="Times New Roman" w:eastAsia="仿宋_GB2312" w:cs="仿宋"/>
          <w:b w:val="0"/>
          <w:bCs w:val="0"/>
          <w:color w:val="auto"/>
          <w:sz w:val="32"/>
          <w:szCs w:val="32"/>
        </w:rPr>
      </w:pPr>
      <w:r>
        <w:rPr>
          <w:rFonts w:hint="eastAsia" w:ascii="黑体" w:hAnsi="宋体" w:eastAsia="黑体" w:cs="仿宋"/>
          <w:b w:val="0"/>
          <w:bCs w:val="0"/>
          <w:color w:val="auto"/>
          <w:sz w:val="32"/>
          <w:szCs w:val="32"/>
        </w:rPr>
        <w:t>（市场监督管理部门将依法向社会公示本行政处罚决定息）</w:t>
      </w:r>
    </w:p>
    <w:p w14:paraId="41807728">
      <w:pPr>
        <w:keepNext w:val="0"/>
        <w:keepLines w:val="0"/>
        <w:pageBreakBefore w:val="0"/>
        <w:widowControl w:val="0"/>
        <w:kinsoku/>
        <w:wordWrap w:val="0"/>
        <w:overflowPunct/>
        <w:topLinePunct w:val="0"/>
        <w:bidi w:val="0"/>
        <w:snapToGrid/>
        <w:spacing w:line="560" w:lineRule="exact"/>
        <w:textAlignment w:val="auto"/>
        <w:rPr>
          <w:rFonts w:hint="eastAsia" w:ascii="Times New Roman" w:hAnsi="Times New Roman" w:eastAsia="仿宋_GB2312" w:cs="仿宋"/>
          <w:b w:val="0"/>
          <w:bCs w:val="0"/>
          <w:color w:val="auto"/>
          <w:sz w:val="32"/>
          <w:szCs w:val="32"/>
          <w:lang w:val="en-US" w:eastAsia="zh-CN"/>
        </w:rPr>
      </w:pPr>
      <w:r>
        <w:rPr>
          <w:rFonts w:hint="eastAsia" w:ascii="仿宋" w:hAnsi="仿宋" w:eastAsia="仿宋" w:cs="仿宋"/>
          <w:b w:val="0"/>
          <w:bCs w:val="0"/>
          <w:color w:val="auto"/>
          <w:sz w:val="32"/>
          <w:szCs w:val="32"/>
        </w:rPr>
        <w:pict>
          <v:line id="_x0000_s1076" o:spid="_x0000_s1076" o:spt="20" style="position:absolute;left:0pt;flip:y;margin-left:-14.4pt;margin-top:1.65pt;height:1.85pt;width:455.8pt;z-index:251661312;mso-width-relative:page;mso-height-relative:page;" filled="f" stroked="t" coordsize="21600,21600">
            <v:path arrowok="t"/>
            <v:fill on="f" focussize="0,0"/>
            <v:stroke weight="1.25pt" color="#000000"/>
            <v:imagedata o:title=""/>
            <o:lock v:ext="edit" aspectratio="f"/>
          </v:line>
        </w:pict>
      </w:r>
      <w:r>
        <w:rPr>
          <w:rFonts w:hint="eastAsia" w:ascii="仿宋" w:hAnsi="仿宋" w:eastAsia="仿宋" w:cs="仿宋"/>
          <w:b w:val="0"/>
          <w:bCs w:val="0"/>
          <w:color w:val="auto"/>
          <w:sz w:val="32"/>
          <w:szCs w:val="32"/>
        </w:rPr>
        <w:pict>
          <v:line id="_x0000_s1077" o:spid="_x0000_s1077" o:spt="20" style="position:absolute;left:0pt;margin-left:0pt;margin-top:1638.35pt;height:0.1pt;width:453.75pt;z-index:251660288;mso-width-relative:page;mso-height-relative:page;" coordsize="21600,21600">
            <v:path arrowok="t"/>
            <v:fill focussize="0,0"/>
            <v:stroke weight="0.737007874015748pt" endcap="square"/>
            <v:imagedata o:title=""/>
            <o:lock v:ext="edit"/>
          </v:line>
        </w:pict>
      </w:r>
      <w:r>
        <w:rPr>
          <w:rFonts w:hint="eastAsia" w:ascii="仿宋" w:hAnsi="仿宋" w:eastAsia="仿宋" w:cs="仿宋"/>
          <w:b w:val="0"/>
          <w:bCs w:val="0"/>
          <w:color w:val="auto"/>
          <w:sz w:val="32"/>
          <w:szCs w:val="32"/>
        </w:rPr>
        <w:t>本文书一式</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u w:val="single"/>
          <w:lang w:val="en-US" w:eastAsia="zh-CN"/>
        </w:rPr>
        <w:t>三</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rPr>
        <w:t>份，</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u w:val="single"/>
          <w:lang w:val="en-US" w:eastAsia="zh-CN"/>
        </w:rPr>
        <w:t>一</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rPr>
        <w:t>份</w:t>
      </w:r>
      <w:r>
        <w:rPr>
          <w:rFonts w:hint="eastAsia" w:ascii="仿宋" w:hAnsi="仿宋" w:eastAsia="仿宋" w:cs="仿宋"/>
          <w:b w:val="0"/>
          <w:bCs w:val="0"/>
          <w:color w:val="auto"/>
          <w:sz w:val="32"/>
          <w:szCs w:val="32"/>
          <w:lang w:val="en-US" w:eastAsia="zh-CN"/>
        </w:rPr>
        <w:t>公告</w:t>
      </w:r>
      <w:r>
        <w:rPr>
          <w:rFonts w:hint="eastAsia" w:ascii="仿宋" w:hAnsi="仿宋" w:eastAsia="仿宋" w:cs="仿宋"/>
          <w:b w:val="0"/>
          <w:bCs w:val="0"/>
          <w:color w:val="auto"/>
          <w:sz w:val="32"/>
          <w:szCs w:val="32"/>
        </w:rPr>
        <w:t>送达，一份归档，</w:t>
      </w:r>
      <w:r>
        <w:rPr>
          <w:rFonts w:hint="eastAsia" w:ascii="仿宋" w:hAnsi="仿宋" w:eastAsia="仿宋" w:cs="仿宋"/>
          <w:b w:val="0"/>
          <w:bCs w:val="0"/>
          <w:color w:val="auto"/>
          <w:sz w:val="32"/>
          <w:szCs w:val="32"/>
          <w:u w:val="single"/>
        </w:rPr>
        <w:t xml:space="preserve"> </w:t>
      </w:r>
      <w:r>
        <w:rPr>
          <w:rFonts w:hint="eastAsia" w:ascii="仿宋" w:hAnsi="仿宋" w:eastAsia="仿宋" w:cs="仿宋"/>
          <w:b w:val="0"/>
          <w:bCs w:val="0"/>
          <w:color w:val="auto"/>
          <w:sz w:val="32"/>
          <w:szCs w:val="32"/>
          <w:u w:val="single"/>
          <w:lang w:val="en-US" w:eastAsia="zh-CN"/>
        </w:rPr>
        <w:t xml:space="preserve">一 </w:t>
      </w:r>
      <w:r>
        <w:rPr>
          <w:rFonts w:hint="eastAsia" w:ascii="仿宋" w:hAnsi="仿宋" w:eastAsia="仿宋" w:cs="仿宋"/>
          <w:b w:val="0"/>
          <w:bCs w:val="0"/>
          <w:color w:val="auto"/>
          <w:sz w:val="32"/>
          <w:szCs w:val="32"/>
          <w:u w:val="none"/>
          <w:lang w:val="en-US" w:eastAsia="zh-CN"/>
        </w:rPr>
        <w:t>份留存</w:t>
      </w:r>
      <w:r>
        <w:rPr>
          <w:rFonts w:hint="eastAsia" w:ascii="仿宋" w:hAnsi="仿宋" w:eastAsia="仿宋" w:cs="仿宋"/>
          <w:b w:val="0"/>
          <w:bCs w:val="0"/>
          <w:color w:val="auto"/>
          <w:sz w:val="32"/>
          <w:szCs w:val="32"/>
        </w:rPr>
        <w:t>。</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DejaVu Math TeX Gyre"/>
    <w:panose1 w:val="02040503050203030202"/>
    <w:charset w:val="01"/>
    <w:family w:val="roman"/>
    <w:pitch w:val="default"/>
    <w:sig w:usb0="00000000" w:usb1="00000000" w:usb2="00000000" w:usb3="00000000" w:csb0="00000001" w:csb1="00000000"/>
  </w:font>
  <w:font w:name="DejaVu Math TeX Gyre">
    <w:panose1 w:val="02000503000000000000"/>
    <w:charset w:val="00"/>
    <w:family w:val="auto"/>
    <w:pitch w:val="default"/>
    <w:sig w:usb0="A10000EF" w:usb1="4201F9EE" w:usb2="02000000" w:usb3="00000000" w:csb0="60000193" w:csb1="0DD40000"/>
  </w:font>
  <w:font w:name="Arial Unicode MS">
    <w:altName w:val="宋体"/>
    <w:panose1 w:val="020B0604020202020204"/>
    <w:charset w:val="86"/>
    <w:family w:val="swiss"/>
    <w:pitch w:val="default"/>
    <w:sig w:usb0="00000000" w:usb1="00000000" w:usb2="0000003F" w:usb3="00000000" w:csb0="603F01FF" w:csb1="FFFF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54EFA">
    <w:pPr>
      <w:pStyle w:val="5"/>
      <w:ind w:right="-334" w:firstLine="360"/>
    </w:pPr>
    <w:r>
      <w:rPr>
        <w:sz w:val="18"/>
      </w:rP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95D2BB7">
                <w:pPr>
                  <w:pStyle w:val="5"/>
                  <w:rPr>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E88B1">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3C842A19">
    <w:pPr>
      <w:pStyle w:val="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FED42">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28673">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2B712">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518F8">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C67707"/>
    <w:multiLevelType w:val="multilevel"/>
    <w:tmpl w:val="66C67707"/>
    <w:lvl w:ilvl="0" w:tentative="0">
      <w:start w:val="1"/>
      <w:numFmt w:val="none"/>
      <w:pStyle w:val="2"/>
      <w:suff w:val="nothing"/>
      <w:lvlText w:val=""/>
      <w:lvlJc w:val="left"/>
      <w:pPr>
        <w:tabs>
          <w:tab w:val="left" w:pos="0"/>
        </w:tabs>
      </w:pPr>
      <w:rPr>
        <w:rFonts w:cs="Times New Roman"/>
      </w:rPr>
    </w:lvl>
    <w:lvl w:ilvl="1" w:tentative="0">
      <w:start w:val="1"/>
      <w:numFmt w:val="none"/>
      <w:suff w:val="nothing"/>
      <w:lvlText w:val=""/>
      <w:lvlJc w:val="left"/>
      <w:pPr>
        <w:tabs>
          <w:tab w:val="left" w:pos="0"/>
        </w:tabs>
      </w:pPr>
      <w:rPr>
        <w:rFonts w:cs="Times New Roman"/>
      </w:rPr>
    </w:lvl>
    <w:lvl w:ilvl="2" w:tentative="0">
      <w:start w:val="1"/>
      <w:numFmt w:val="none"/>
      <w:suff w:val="nothing"/>
      <w:lvlText w:val=""/>
      <w:lvlJc w:val="left"/>
      <w:pPr>
        <w:tabs>
          <w:tab w:val="left" w:pos="0"/>
        </w:tabs>
      </w:pPr>
      <w:rPr>
        <w:rFonts w:cs="Times New Roman"/>
      </w:rPr>
    </w:lvl>
    <w:lvl w:ilvl="3" w:tentative="0">
      <w:start w:val="1"/>
      <w:numFmt w:val="none"/>
      <w:suff w:val="nothing"/>
      <w:lvlText w:val=""/>
      <w:lvlJc w:val="left"/>
      <w:pPr>
        <w:tabs>
          <w:tab w:val="left" w:pos="0"/>
        </w:tabs>
      </w:pPr>
      <w:rPr>
        <w:rFonts w:cs="Times New Roman"/>
      </w:rPr>
    </w:lvl>
    <w:lvl w:ilvl="4" w:tentative="0">
      <w:start w:val="1"/>
      <w:numFmt w:val="none"/>
      <w:suff w:val="nothing"/>
      <w:lvlText w:val=""/>
      <w:lvlJc w:val="left"/>
      <w:pPr>
        <w:tabs>
          <w:tab w:val="left" w:pos="0"/>
        </w:tabs>
      </w:pPr>
      <w:rPr>
        <w:rFonts w:cs="Times New Roman"/>
      </w:rPr>
    </w:lvl>
    <w:lvl w:ilvl="5" w:tentative="0">
      <w:start w:val="1"/>
      <w:numFmt w:val="none"/>
      <w:suff w:val="nothing"/>
      <w:lvlText w:val=""/>
      <w:lvlJc w:val="left"/>
      <w:pPr>
        <w:tabs>
          <w:tab w:val="left" w:pos="0"/>
        </w:tabs>
      </w:pPr>
      <w:rPr>
        <w:rFonts w:cs="Times New Roman"/>
      </w:rPr>
    </w:lvl>
    <w:lvl w:ilvl="6" w:tentative="0">
      <w:start w:val="1"/>
      <w:numFmt w:val="none"/>
      <w:suff w:val="nothing"/>
      <w:lvlText w:val=""/>
      <w:lvlJc w:val="left"/>
      <w:pPr>
        <w:tabs>
          <w:tab w:val="left" w:pos="0"/>
        </w:tabs>
      </w:pPr>
      <w:rPr>
        <w:rFonts w:cs="Times New Roman"/>
      </w:rPr>
    </w:lvl>
    <w:lvl w:ilvl="7" w:tentative="0">
      <w:start w:val="1"/>
      <w:numFmt w:val="none"/>
      <w:suff w:val="nothing"/>
      <w:lvlText w:val=""/>
      <w:lvlJc w:val="left"/>
      <w:pPr>
        <w:tabs>
          <w:tab w:val="left" w:pos="0"/>
        </w:tabs>
      </w:pPr>
      <w:rPr>
        <w:rFonts w:cs="Times New Roman"/>
      </w:rPr>
    </w:lvl>
    <w:lvl w:ilvl="8" w:tentative="0">
      <w:start w:val="1"/>
      <w:numFmt w:val="none"/>
      <w:suff w:val="nothing"/>
      <w:lvlText w:val=""/>
      <w:lvlJc w:val="left"/>
      <w:pPr>
        <w:tabs>
          <w:tab w:val="left" w:pos="0"/>
        </w:tabs>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FkMDBmY2EzNzU0NmJhNWQ1MmM2NWM2MjI5MjVkOWYifQ=="/>
  </w:docVars>
  <w:rsids>
    <w:rsidRoot w:val="00997DC7"/>
    <w:rsid w:val="000042F3"/>
    <w:rsid w:val="00010CFE"/>
    <w:rsid w:val="000164E3"/>
    <w:rsid w:val="00021B09"/>
    <w:rsid w:val="00021CBD"/>
    <w:rsid w:val="00023BEB"/>
    <w:rsid w:val="00026AB9"/>
    <w:rsid w:val="000301D8"/>
    <w:rsid w:val="000344C5"/>
    <w:rsid w:val="00037D41"/>
    <w:rsid w:val="00044152"/>
    <w:rsid w:val="000461B1"/>
    <w:rsid w:val="00046946"/>
    <w:rsid w:val="0005541C"/>
    <w:rsid w:val="000564CF"/>
    <w:rsid w:val="000572FD"/>
    <w:rsid w:val="00064481"/>
    <w:rsid w:val="00065F45"/>
    <w:rsid w:val="0007384D"/>
    <w:rsid w:val="0007411A"/>
    <w:rsid w:val="00075ABB"/>
    <w:rsid w:val="00076D4E"/>
    <w:rsid w:val="00077A84"/>
    <w:rsid w:val="000847BB"/>
    <w:rsid w:val="000912D9"/>
    <w:rsid w:val="000A36AC"/>
    <w:rsid w:val="000A3E13"/>
    <w:rsid w:val="000B01A6"/>
    <w:rsid w:val="000B2FC4"/>
    <w:rsid w:val="000B4807"/>
    <w:rsid w:val="000B5705"/>
    <w:rsid w:val="000B6314"/>
    <w:rsid w:val="000C05B5"/>
    <w:rsid w:val="000C33F1"/>
    <w:rsid w:val="000C4E59"/>
    <w:rsid w:val="000C6058"/>
    <w:rsid w:val="000C671D"/>
    <w:rsid w:val="000C6CB1"/>
    <w:rsid w:val="000D60A4"/>
    <w:rsid w:val="000D69B9"/>
    <w:rsid w:val="000E0EF6"/>
    <w:rsid w:val="000E2A85"/>
    <w:rsid w:val="000E3068"/>
    <w:rsid w:val="000E6385"/>
    <w:rsid w:val="000F5A98"/>
    <w:rsid w:val="000F710B"/>
    <w:rsid w:val="00103C54"/>
    <w:rsid w:val="00113B61"/>
    <w:rsid w:val="0012082C"/>
    <w:rsid w:val="00126E38"/>
    <w:rsid w:val="00131441"/>
    <w:rsid w:val="00146F3B"/>
    <w:rsid w:val="00153B2F"/>
    <w:rsid w:val="00160A51"/>
    <w:rsid w:val="00170697"/>
    <w:rsid w:val="00171546"/>
    <w:rsid w:val="0017327B"/>
    <w:rsid w:val="001764A6"/>
    <w:rsid w:val="001808AF"/>
    <w:rsid w:val="00181305"/>
    <w:rsid w:val="00186EC2"/>
    <w:rsid w:val="00195671"/>
    <w:rsid w:val="001A4654"/>
    <w:rsid w:val="001B5338"/>
    <w:rsid w:val="001B6B22"/>
    <w:rsid w:val="001C3176"/>
    <w:rsid w:val="001D3D1B"/>
    <w:rsid w:val="001E3F16"/>
    <w:rsid w:val="001E781C"/>
    <w:rsid w:val="001F1237"/>
    <w:rsid w:val="001F3E42"/>
    <w:rsid w:val="00200708"/>
    <w:rsid w:val="0021539B"/>
    <w:rsid w:val="00227C76"/>
    <w:rsid w:val="00234A77"/>
    <w:rsid w:val="00237957"/>
    <w:rsid w:val="00241392"/>
    <w:rsid w:val="00242D77"/>
    <w:rsid w:val="00252F65"/>
    <w:rsid w:val="002658F0"/>
    <w:rsid w:val="00265D32"/>
    <w:rsid w:val="0027593C"/>
    <w:rsid w:val="00283C0D"/>
    <w:rsid w:val="0028499C"/>
    <w:rsid w:val="0028525A"/>
    <w:rsid w:val="0028567A"/>
    <w:rsid w:val="00292248"/>
    <w:rsid w:val="002B3902"/>
    <w:rsid w:val="002B6CDE"/>
    <w:rsid w:val="002B7D4D"/>
    <w:rsid w:val="002C0295"/>
    <w:rsid w:val="002C213B"/>
    <w:rsid w:val="002C24AF"/>
    <w:rsid w:val="002D285A"/>
    <w:rsid w:val="002D54D2"/>
    <w:rsid w:val="002D772F"/>
    <w:rsid w:val="002F4754"/>
    <w:rsid w:val="002F4FB4"/>
    <w:rsid w:val="00303C20"/>
    <w:rsid w:val="0031119E"/>
    <w:rsid w:val="0034061A"/>
    <w:rsid w:val="003537BC"/>
    <w:rsid w:val="003544EF"/>
    <w:rsid w:val="0035481F"/>
    <w:rsid w:val="00355DC4"/>
    <w:rsid w:val="00356D1A"/>
    <w:rsid w:val="0036088E"/>
    <w:rsid w:val="00365798"/>
    <w:rsid w:val="00384930"/>
    <w:rsid w:val="003875A0"/>
    <w:rsid w:val="003875BD"/>
    <w:rsid w:val="00391D2B"/>
    <w:rsid w:val="00396705"/>
    <w:rsid w:val="003A28A2"/>
    <w:rsid w:val="003B2B80"/>
    <w:rsid w:val="003B5BAA"/>
    <w:rsid w:val="003D4AE1"/>
    <w:rsid w:val="003E616A"/>
    <w:rsid w:val="003E79E3"/>
    <w:rsid w:val="003F2654"/>
    <w:rsid w:val="003F3D84"/>
    <w:rsid w:val="00402479"/>
    <w:rsid w:val="00407E25"/>
    <w:rsid w:val="004115D3"/>
    <w:rsid w:val="00411B27"/>
    <w:rsid w:val="0041540F"/>
    <w:rsid w:val="0041610D"/>
    <w:rsid w:val="004207E6"/>
    <w:rsid w:val="00421C77"/>
    <w:rsid w:val="00427632"/>
    <w:rsid w:val="004330A7"/>
    <w:rsid w:val="00436B6B"/>
    <w:rsid w:val="00447116"/>
    <w:rsid w:val="0045094F"/>
    <w:rsid w:val="00450C64"/>
    <w:rsid w:val="00457845"/>
    <w:rsid w:val="00460681"/>
    <w:rsid w:val="004669FE"/>
    <w:rsid w:val="00471939"/>
    <w:rsid w:val="00472D7A"/>
    <w:rsid w:val="00476EC1"/>
    <w:rsid w:val="00481909"/>
    <w:rsid w:val="00484883"/>
    <w:rsid w:val="0049040A"/>
    <w:rsid w:val="0049482E"/>
    <w:rsid w:val="00497BBC"/>
    <w:rsid w:val="00497EEA"/>
    <w:rsid w:val="004B02A5"/>
    <w:rsid w:val="004B29A2"/>
    <w:rsid w:val="004C0B41"/>
    <w:rsid w:val="004C0FED"/>
    <w:rsid w:val="004C54BD"/>
    <w:rsid w:val="004D0D31"/>
    <w:rsid w:val="004D26E6"/>
    <w:rsid w:val="004F458E"/>
    <w:rsid w:val="004F60EA"/>
    <w:rsid w:val="005035E9"/>
    <w:rsid w:val="00523989"/>
    <w:rsid w:val="00530306"/>
    <w:rsid w:val="0053112D"/>
    <w:rsid w:val="00533F16"/>
    <w:rsid w:val="0053689A"/>
    <w:rsid w:val="00536F2B"/>
    <w:rsid w:val="005417F4"/>
    <w:rsid w:val="005445B9"/>
    <w:rsid w:val="005535B6"/>
    <w:rsid w:val="005551BF"/>
    <w:rsid w:val="0056149A"/>
    <w:rsid w:val="00570E6E"/>
    <w:rsid w:val="00576B08"/>
    <w:rsid w:val="005917F0"/>
    <w:rsid w:val="005952F5"/>
    <w:rsid w:val="00597A5C"/>
    <w:rsid w:val="005A3933"/>
    <w:rsid w:val="005D484F"/>
    <w:rsid w:val="005E0610"/>
    <w:rsid w:val="005E22DF"/>
    <w:rsid w:val="005E704D"/>
    <w:rsid w:val="005F2478"/>
    <w:rsid w:val="005F31F4"/>
    <w:rsid w:val="005F6D06"/>
    <w:rsid w:val="006102C8"/>
    <w:rsid w:val="006107DB"/>
    <w:rsid w:val="00612521"/>
    <w:rsid w:val="00613544"/>
    <w:rsid w:val="00663944"/>
    <w:rsid w:val="006677FD"/>
    <w:rsid w:val="00670781"/>
    <w:rsid w:val="006744A0"/>
    <w:rsid w:val="00675C45"/>
    <w:rsid w:val="006A2DFD"/>
    <w:rsid w:val="006A3D6C"/>
    <w:rsid w:val="006A61C5"/>
    <w:rsid w:val="006B3284"/>
    <w:rsid w:val="006D2469"/>
    <w:rsid w:val="006D2F4E"/>
    <w:rsid w:val="006D7D45"/>
    <w:rsid w:val="006E017B"/>
    <w:rsid w:val="006E0550"/>
    <w:rsid w:val="006E265E"/>
    <w:rsid w:val="006E49F0"/>
    <w:rsid w:val="006E5AB3"/>
    <w:rsid w:val="006E5E99"/>
    <w:rsid w:val="006E6823"/>
    <w:rsid w:val="006E6B8F"/>
    <w:rsid w:val="006E6E2F"/>
    <w:rsid w:val="006F3724"/>
    <w:rsid w:val="0070640D"/>
    <w:rsid w:val="00707C5E"/>
    <w:rsid w:val="00713014"/>
    <w:rsid w:val="00721EC4"/>
    <w:rsid w:val="007275A4"/>
    <w:rsid w:val="00733AB0"/>
    <w:rsid w:val="00743B62"/>
    <w:rsid w:val="007441C5"/>
    <w:rsid w:val="00753CEA"/>
    <w:rsid w:val="0075729B"/>
    <w:rsid w:val="00763634"/>
    <w:rsid w:val="00774DA0"/>
    <w:rsid w:val="00777071"/>
    <w:rsid w:val="00777BBC"/>
    <w:rsid w:val="00782196"/>
    <w:rsid w:val="0078248A"/>
    <w:rsid w:val="0078367F"/>
    <w:rsid w:val="0078392E"/>
    <w:rsid w:val="007926F6"/>
    <w:rsid w:val="007970E8"/>
    <w:rsid w:val="007A2158"/>
    <w:rsid w:val="007B12A9"/>
    <w:rsid w:val="007B438F"/>
    <w:rsid w:val="007D50AD"/>
    <w:rsid w:val="007E4113"/>
    <w:rsid w:val="007E47B9"/>
    <w:rsid w:val="007E6605"/>
    <w:rsid w:val="007F0870"/>
    <w:rsid w:val="007F3862"/>
    <w:rsid w:val="007F5A52"/>
    <w:rsid w:val="00801C1B"/>
    <w:rsid w:val="00803D4B"/>
    <w:rsid w:val="008130EE"/>
    <w:rsid w:val="00823EEF"/>
    <w:rsid w:val="0083034B"/>
    <w:rsid w:val="008314D8"/>
    <w:rsid w:val="00831AF1"/>
    <w:rsid w:val="00834A66"/>
    <w:rsid w:val="008457F7"/>
    <w:rsid w:val="008602DC"/>
    <w:rsid w:val="0086062E"/>
    <w:rsid w:val="00860B95"/>
    <w:rsid w:val="00861409"/>
    <w:rsid w:val="008640FD"/>
    <w:rsid w:val="0087100F"/>
    <w:rsid w:val="00872FBF"/>
    <w:rsid w:val="008740C4"/>
    <w:rsid w:val="0089074D"/>
    <w:rsid w:val="008A2EF8"/>
    <w:rsid w:val="008B069C"/>
    <w:rsid w:val="008B26B7"/>
    <w:rsid w:val="008B315E"/>
    <w:rsid w:val="008B6642"/>
    <w:rsid w:val="008C06C2"/>
    <w:rsid w:val="008C699B"/>
    <w:rsid w:val="008C7CD8"/>
    <w:rsid w:val="008D015D"/>
    <w:rsid w:val="008D25EA"/>
    <w:rsid w:val="008D2736"/>
    <w:rsid w:val="008D5134"/>
    <w:rsid w:val="008D7A76"/>
    <w:rsid w:val="008E0F62"/>
    <w:rsid w:val="008E43F0"/>
    <w:rsid w:val="008F5078"/>
    <w:rsid w:val="008F73DE"/>
    <w:rsid w:val="00902286"/>
    <w:rsid w:val="00903C92"/>
    <w:rsid w:val="00906BD6"/>
    <w:rsid w:val="00907B2A"/>
    <w:rsid w:val="00915163"/>
    <w:rsid w:val="009219E4"/>
    <w:rsid w:val="00923ADB"/>
    <w:rsid w:val="00930EC1"/>
    <w:rsid w:val="0093429D"/>
    <w:rsid w:val="00937669"/>
    <w:rsid w:val="00940C31"/>
    <w:rsid w:val="00941CEE"/>
    <w:rsid w:val="0097164F"/>
    <w:rsid w:val="00987B8E"/>
    <w:rsid w:val="0099516E"/>
    <w:rsid w:val="00997423"/>
    <w:rsid w:val="00997DC7"/>
    <w:rsid w:val="009A0F3B"/>
    <w:rsid w:val="009A41E3"/>
    <w:rsid w:val="009A4E21"/>
    <w:rsid w:val="009A59CE"/>
    <w:rsid w:val="009C05FB"/>
    <w:rsid w:val="009C32FF"/>
    <w:rsid w:val="009C78C7"/>
    <w:rsid w:val="009E127A"/>
    <w:rsid w:val="009E567A"/>
    <w:rsid w:val="009E5B47"/>
    <w:rsid w:val="009F06E3"/>
    <w:rsid w:val="009F1C5D"/>
    <w:rsid w:val="009F5484"/>
    <w:rsid w:val="00A00AF9"/>
    <w:rsid w:val="00A020E9"/>
    <w:rsid w:val="00A030FF"/>
    <w:rsid w:val="00A058DA"/>
    <w:rsid w:val="00A112EF"/>
    <w:rsid w:val="00A15652"/>
    <w:rsid w:val="00A30AFD"/>
    <w:rsid w:val="00A30F85"/>
    <w:rsid w:val="00A32DEF"/>
    <w:rsid w:val="00A3658B"/>
    <w:rsid w:val="00A3678F"/>
    <w:rsid w:val="00A379DC"/>
    <w:rsid w:val="00A41D25"/>
    <w:rsid w:val="00A4615E"/>
    <w:rsid w:val="00A46BA0"/>
    <w:rsid w:val="00A5063A"/>
    <w:rsid w:val="00A51B35"/>
    <w:rsid w:val="00A56453"/>
    <w:rsid w:val="00A61CB8"/>
    <w:rsid w:val="00A63EC1"/>
    <w:rsid w:val="00A71C4F"/>
    <w:rsid w:val="00A85DE5"/>
    <w:rsid w:val="00AA0A7E"/>
    <w:rsid w:val="00AA1AA4"/>
    <w:rsid w:val="00AA4767"/>
    <w:rsid w:val="00AA6F3E"/>
    <w:rsid w:val="00AB04DE"/>
    <w:rsid w:val="00AC1245"/>
    <w:rsid w:val="00AC5C07"/>
    <w:rsid w:val="00AD0C7B"/>
    <w:rsid w:val="00AE42F0"/>
    <w:rsid w:val="00AE6C86"/>
    <w:rsid w:val="00B02320"/>
    <w:rsid w:val="00B03255"/>
    <w:rsid w:val="00B0720D"/>
    <w:rsid w:val="00B34529"/>
    <w:rsid w:val="00B36967"/>
    <w:rsid w:val="00B373FB"/>
    <w:rsid w:val="00B4051C"/>
    <w:rsid w:val="00B448C0"/>
    <w:rsid w:val="00B45E65"/>
    <w:rsid w:val="00B4619D"/>
    <w:rsid w:val="00B464D5"/>
    <w:rsid w:val="00B5169F"/>
    <w:rsid w:val="00B527F8"/>
    <w:rsid w:val="00B54047"/>
    <w:rsid w:val="00B5794B"/>
    <w:rsid w:val="00B65C37"/>
    <w:rsid w:val="00B70A54"/>
    <w:rsid w:val="00B8125A"/>
    <w:rsid w:val="00B81E5C"/>
    <w:rsid w:val="00B8537E"/>
    <w:rsid w:val="00B950BE"/>
    <w:rsid w:val="00B96F17"/>
    <w:rsid w:val="00BA73DE"/>
    <w:rsid w:val="00BB2AC0"/>
    <w:rsid w:val="00BB2BE6"/>
    <w:rsid w:val="00BB6C76"/>
    <w:rsid w:val="00BB7744"/>
    <w:rsid w:val="00BC1D30"/>
    <w:rsid w:val="00BC4018"/>
    <w:rsid w:val="00BD1A9A"/>
    <w:rsid w:val="00BD4831"/>
    <w:rsid w:val="00BE3776"/>
    <w:rsid w:val="00BE5645"/>
    <w:rsid w:val="00BE6C7A"/>
    <w:rsid w:val="00BE739C"/>
    <w:rsid w:val="00BE7B6E"/>
    <w:rsid w:val="00C05DD0"/>
    <w:rsid w:val="00C16CDF"/>
    <w:rsid w:val="00C20E9D"/>
    <w:rsid w:val="00C30E7C"/>
    <w:rsid w:val="00C41416"/>
    <w:rsid w:val="00C46CDF"/>
    <w:rsid w:val="00C50365"/>
    <w:rsid w:val="00C51896"/>
    <w:rsid w:val="00C55724"/>
    <w:rsid w:val="00C56CFC"/>
    <w:rsid w:val="00C61B25"/>
    <w:rsid w:val="00C6717B"/>
    <w:rsid w:val="00C75DD2"/>
    <w:rsid w:val="00C75E90"/>
    <w:rsid w:val="00C82E09"/>
    <w:rsid w:val="00C95A37"/>
    <w:rsid w:val="00CA3F47"/>
    <w:rsid w:val="00CB1D8C"/>
    <w:rsid w:val="00CB48FC"/>
    <w:rsid w:val="00CD18DE"/>
    <w:rsid w:val="00CE2873"/>
    <w:rsid w:val="00CF581F"/>
    <w:rsid w:val="00CF5F22"/>
    <w:rsid w:val="00D01968"/>
    <w:rsid w:val="00D03A11"/>
    <w:rsid w:val="00D0528C"/>
    <w:rsid w:val="00D0742C"/>
    <w:rsid w:val="00D113A3"/>
    <w:rsid w:val="00D11D6B"/>
    <w:rsid w:val="00D255A5"/>
    <w:rsid w:val="00D303D8"/>
    <w:rsid w:val="00D54EA4"/>
    <w:rsid w:val="00D56409"/>
    <w:rsid w:val="00D708A9"/>
    <w:rsid w:val="00D77F64"/>
    <w:rsid w:val="00D92EC7"/>
    <w:rsid w:val="00D97764"/>
    <w:rsid w:val="00DB1ADD"/>
    <w:rsid w:val="00DB1C2D"/>
    <w:rsid w:val="00DC0EA2"/>
    <w:rsid w:val="00DE0795"/>
    <w:rsid w:val="00DE3B6E"/>
    <w:rsid w:val="00E003E2"/>
    <w:rsid w:val="00E00A60"/>
    <w:rsid w:val="00E056D6"/>
    <w:rsid w:val="00E11259"/>
    <w:rsid w:val="00E1480D"/>
    <w:rsid w:val="00E4351B"/>
    <w:rsid w:val="00E442FA"/>
    <w:rsid w:val="00E467EA"/>
    <w:rsid w:val="00E4753B"/>
    <w:rsid w:val="00E56104"/>
    <w:rsid w:val="00E576A7"/>
    <w:rsid w:val="00E60EBD"/>
    <w:rsid w:val="00E6556B"/>
    <w:rsid w:val="00E74BCA"/>
    <w:rsid w:val="00E77DD1"/>
    <w:rsid w:val="00E81A96"/>
    <w:rsid w:val="00E83357"/>
    <w:rsid w:val="00E873DA"/>
    <w:rsid w:val="00E95219"/>
    <w:rsid w:val="00EA52CC"/>
    <w:rsid w:val="00EA5F8B"/>
    <w:rsid w:val="00ED4317"/>
    <w:rsid w:val="00ED53B2"/>
    <w:rsid w:val="00EE4B91"/>
    <w:rsid w:val="00EF19DD"/>
    <w:rsid w:val="00EF57C2"/>
    <w:rsid w:val="00F0092B"/>
    <w:rsid w:val="00F010A4"/>
    <w:rsid w:val="00F1754A"/>
    <w:rsid w:val="00F208FA"/>
    <w:rsid w:val="00F2212C"/>
    <w:rsid w:val="00F22F29"/>
    <w:rsid w:val="00F25E99"/>
    <w:rsid w:val="00F321DA"/>
    <w:rsid w:val="00F340D2"/>
    <w:rsid w:val="00F435EB"/>
    <w:rsid w:val="00F45058"/>
    <w:rsid w:val="00F47D33"/>
    <w:rsid w:val="00F5288F"/>
    <w:rsid w:val="00F52AF9"/>
    <w:rsid w:val="00F62C50"/>
    <w:rsid w:val="00F63C78"/>
    <w:rsid w:val="00F80500"/>
    <w:rsid w:val="00F80DA3"/>
    <w:rsid w:val="00F81703"/>
    <w:rsid w:val="00F81A50"/>
    <w:rsid w:val="00F849FA"/>
    <w:rsid w:val="00F85EEC"/>
    <w:rsid w:val="00F864C3"/>
    <w:rsid w:val="00F86F1F"/>
    <w:rsid w:val="00F87DF3"/>
    <w:rsid w:val="00F9779B"/>
    <w:rsid w:val="00FA0A4C"/>
    <w:rsid w:val="00FA0BC6"/>
    <w:rsid w:val="00FA0E8C"/>
    <w:rsid w:val="00FB66E6"/>
    <w:rsid w:val="00FC53F1"/>
    <w:rsid w:val="00FD1724"/>
    <w:rsid w:val="00FD522D"/>
    <w:rsid w:val="00FE1DEB"/>
    <w:rsid w:val="012E6A69"/>
    <w:rsid w:val="01F5263E"/>
    <w:rsid w:val="01F9245D"/>
    <w:rsid w:val="02587DF8"/>
    <w:rsid w:val="025E4892"/>
    <w:rsid w:val="028D09B5"/>
    <w:rsid w:val="02B36B2F"/>
    <w:rsid w:val="02E07728"/>
    <w:rsid w:val="041A21CD"/>
    <w:rsid w:val="043E2B4D"/>
    <w:rsid w:val="050B4F99"/>
    <w:rsid w:val="0539663F"/>
    <w:rsid w:val="053C73F9"/>
    <w:rsid w:val="05C92C84"/>
    <w:rsid w:val="05F42D7F"/>
    <w:rsid w:val="07C12991"/>
    <w:rsid w:val="08256C46"/>
    <w:rsid w:val="0868270A"/>
    <w:rsid w:val="097971DF"/>
    <w:rsid w:val="09A307F4"/>
    <w:rsid w:val="0A361CEB"/>
    <w:rsid w:val="0AE8366D"/>
    <w:rsid w:val="0C164599"/>
    <w:rsid w:val="0CB40B86"/>
    <w:rsid w:val="0CC5360B"/>
    <w:rsid w:val="0D334856"/>
    <w:rsid w:val="0D462B28"/>
    <w:rsid w:val="0D83183F"/>
    <w:rsid w:val="0E563E5E"/>
    <w:rsid w:val="0E814343"/>
    <w:rsid w:val="0F403E3E"/>
    <w:rsid w:val="0F957D58"/>
    <w:rsid w:val="106679E2"/>
    <w:rsid w:val="108F424F"/>
    <w:rsid w:val="114A4CFA"/>
    <w:rsid w:val="12150F4F"/>
    <w:rsid w:val="13035FB3"/>
    <w:rsid w:val="136F66CF"/>
    <w:rsid w:val="1380122B"/>
    <w:rsid w:val="13CD55C7"/>
    <w:rsid w:val="15327D87"/>
    <w:rsid w:val="1555136B"/>
    <w:rsid w:val="15A77E5C"/>
    <w:rsid w:val="16703438"/>
    <w:rsid w:val="16B947F8"/>
    <w:rsid w:val="16BB2439"/>
    <w:rsid w:val="17E07BAC"/>
    <w:rsid w:val="18432825"/>
    <w:rsid w:val="18454BA4"/>
    <w:rsid w:val="18815646"/>
    <w:rsid w:val="18BC0C15"/>
    <w:rsid w:val="1925340F"/>
    <w:rsid w:val="19FD37A5"/>
    <w:rsid w:val="1A4E3417"/>
    <w:rsid w:val="1AF7751A"/>
    <w:rsid w:val="1B56081F"/>
    <w:rsid w:val="1B564A8A"/>
    <w:rsid w:val="1B722365"/>
    <w:rsid w:val="1B783142"/>
    <w:rsid w:val="1B9C4789"/>
    <w:rsid w:val="1BE91713"/>
    <w:rsid w:val="1C06460B"/>
    <w:rsid w:val="1C852E35"/>
    <w:rsid w:val="1CB115E4"/>
    <w:rsid w:val="1CDE7D10"/>
    <w:rsid w:val="1D354C2D"/>
    <w:rsid w:val="1D4E3142"/>
    <w:rsid w:val="1D6203F0"/>
    <w:rsid w:val="1DC72029"/>
    <w:rsid w:val="1DEA7F49"/>
    <w:rsid w:val="1E556550"/>
    <w:rsid w:val="1EF94BAD"/>
    <w:rsid w:val="1FD476DF"/>
    <w:rsid w:val="20463BE5"/>
    <w:rsid w:val="20744155"/>
    <w:rsid w:val="20E44D4C"/>
    <w:rsid w:val="210D65FF"/>
    <w:rsid w:val="21DE5A54"/>
    <w:rsid w:val="22091CA4"/>
    <w:rsid w:val="222A4BE6"/>
    <w:rsid w:val="224E33DF"/>
    <w:rsid w:val="22722E37"/>
    <w:rsid w:val="227C10C4"/>
    <w:rsid w:val="2288481C"/>
    <w:rsid w:val="22BD61F9"/>
    <w:rsid w:val="23EB78D5"/>
    <w:rsid w:val="23F51685"/>
    <w:rsid w:val="241E4770"/>
    <w:rsid w:val="24D753C8"/>
    <w:rsid w:val="255C6D9C"/>
    <w:rsid w:val="25A01FF1"/>
    <w:rsid w:val="25BF6945"/>
    <w:rsid w:val="25C80B6D"/>
    <w:rsid w:val="26BA303E"/>
    <w:rsid w:val="270B54F0"/>
    <w:rsid w:val="28874EC1"/>
    <w:rsid w:val="290471E1"/>
    <w:rsid w:val="29655715"/>
    <w:rsid w:val="2A4341B9"/>
    <w:rsid w:val="2B726DA0"/>
    <w:rsid w:val="2C817EC7"/>
    <w:rsid w:val="2CA10CE6"/>
    <w:rsid w:val="2DC02675"/>
    <w:rsid w:val="2E235E59"/>
    <w:rsid w:val="2E3264D7"/>
    <w:rsid w:val="2E722BBD"/>
    <w:rsid w:val="2EAC3339"/>
    <w:rsid w:val="2EC4117A"/>
    <w:rsid w:val="2F177B1A"/>
    <w:rsid w:val="2F222640"/>
    <w:rsid w:val="301F1106"/>
    <w:rsid w:val="30820CB4"/>
    <w:rsid w:val="30A4156E"/>
    <w:rsid w:val="30A52618"/>
    <w:rsid w:val="30E67826"/>
    <w:rsid w:val="316E24A2"/>
    <w:rsid w:val="33436698"/>
    <w:rsid w:val="33CB2BB7"/>
    <w:rsid w:val="33CE6E27"/>
    <w:rsid w:val="3515447E"/>
    <w:rsid w:val="356334DA"/>
    <w:rsid w:val="35AA57BE"/>
    <w:rsid w:val="35C95AC7"/>
    <w:rsid w:val="35D75BAB"/>
    <w:rsid w:val="360B0081"/>
    <w:rsid w:val="36171E17"/>
    <w:rsid w:val="366D1881"/>
    <w:rsid w:val="367E0A91"/>
    <w:rsid w:val="37E67E24"/>
    <w:rsid w:val="37EA4463"/>
    <w:rsid w:val="38593326"/>
    <w:rsid w:val="387D05CF"/>
    <w:rsid w:val="38F13FB4"/>
    <w:rsid w:val="38F2653D"/>
    <w:rsid w:val="391E7240"/>
    <w:rsid w:val="392A3A27"/>
    <w:rsid w:val="39740B89"/>
    <w:rsid w:val="39956CC1"/>
    <w:rsid w:val="3A2A79F5"/>
    <w:rsid w:val="3A69487C"/>
    <w:rsid w:val="3B181425"/>
    <w:rsid w:val="3B5A17F2"/>
    <w:rsid w:val="3B650643"/>
    <w:rsid w:val="3B6E5B77"/>
    <w:rsid w:val="3C8F1E7A"/>
    <w:rsid w:val="3E967556"/>
    <w:rsid w:val="3F604B56"/>
    <w:rsid w:val="3F6E7123"/>
    <w:rsid w:val="3FF8599A"/>
    <w:rsid w:val="40265E4B"/>
    <w:rsid w:val="404E4F39"/>
    <w:rsid w:val="41127F64"/>
    <w:rsid w:val="42527D21"/>
    <w:rsid w:val="42C951E6"/>
    <w:rsid w:val="42DC0074"/>
    <w:rsid w:val="42F278DF"/>
    <w:rsid w:val="4308189B"/>
    <w:rsid w:val="431F2D9E"/>
    <w:rsid w:val="43590763"/>
    <w:rsid w:val="43A0005B"/>
    <w:rsid w:val="449455D5"/>
    <w:rsid w:val="45482433"/>
    <w:rsid w:val="45A96E43"/>
    <w:rsid w:val="45EE39C4"/>
    <w:rsid w:val="46221883"/>
    <w:rsid w:val="463A34E9"/>
    <w:rsid w:val="465E23D5"/>
    <w:rsid w:val="46822A82"/>
    <w:rsid w:val="473416ED"/>
    <w:rsid w:val="4735053E"/>
    <w:rsid w:val="47C879CD"/>
    <w:rsid w:val="47FF4D7B"/>
    <w:rsid w:val="4842129F"/>
    <w:rsid w:val="48434613"/>
    <w:rsid w:val="48966D4E"/>
    <w:rsid w:val="49E24EE3"/>
    <w:rsid w:val="4ACB4ED3"/>
    <w:rsid w:val="4D2A2632"/>
    <w:rsid w:val="4D8652BF"/>
    <w:rsid w:val="4EBA4D3B"/>
    <w:rsid w:val="4EED1514"/>
    <w:rsid w:val="4F244361"/>
    <w:rsid w:val="4F360D2A"/>
    <w:rsid w:val="4F841E1C"/>
    <w:rsid w:val="4FB650BC"/>
    <w:rsid w:val="508419FE"/>
    <w:rsid w:val="50EB74E9"/>
    <w:rsid w:val="51966315"/>
    <w:rsid w:val="52242EC6"/>
    <w:rsid w:val="535C43B7"/>
    <w:rsid w:val="54BF7CFA"/>
    <w:rsid w:val="54EF0FDA"/>
    <w:rsid w:val="553F38E9"/>
    <w:rsid w:val="56053421"/>
    <w:rsid w:val="5621328C"/>
    <w:rsid w:val="570D48BB"/>
    <w:rsid w:val="580B3E4F"/>
    <w:rsid w:val="58DD7F94"/>
    <w:rsid w:val="595342EE"/>
    <w:rsid w:val="59A67D52"/>
    <w:rsid w:val="5A2270CF"/>
    <w:rsid w:val="5A2E634E"/>
    <w:rsid w:val="5A6F6FC8"/>
    <w:rsid w:val="5B9B6430"/>
    <w:rsid w:val="5BAF431F"/>
    <w:rsid w:val="5C166A6D"/>
    <w:rsid w:val="5D046278"/>
    <w:rsid w:val="5D7370D6"/>
    <w:rsid w:val="5D7E0FB5"/>
    <w:rsid w:val="5D937ADF"/>
    <w:rsid w:val="5DAF7029"/>
    <w:rsid w:val="5DD23A8F"/>
    <w:rsid w:val="5E175EA1"/>
    <w:rsid w:val="5EC05C01"/>
    <w:rsid w:val="5FE0407F"/>
    <w:rsid w:val="60172A7C"/>
    <w:rsid w:val="60DF15A8"/>
    <w:rsid w:val="62D64EB0"/>
    <w:rsid w:val="62E31ACC"/>
    <w:rsid w:val="6330127B"/>
    <w:rsid w:val="63A40033"/>
    <w:rsid w:val="63E34B58"/>
    <w:rsid w:val="64163D68"/>
    <w:rsid w:val="643E4DA7"/>
    <w:rsid w:val="648F0E74"/>
    <w:rsid w:val="64F80778"/>
    <w:rsid w:val="65CE29D9"/>
    <w:rsid w:val="65E55777"/>
    <w:rsid w:val="66435C68"/>
    <w:rsid w:val="669510F7"/>
    <w:rsid w:val="66A71268"/>
    <w:rsid w:val="66E52288"/>
    <w:rsid w:val="67002056"/>
    <w:rsid w:val="6705611C"/>
    <w:rsid w:val="670E4055"/>
    <w:rsid w:val="67321991"/>
    <w:rsid w:val="67440AD3"/>
    <w:rsid w:val="68526459"/>
    <w:rsid w:val="68EE2457"/>
    <w:rsid w:val="6A090C43"/>
    <w:rsid w:val="6A367F00"/>
    <w:rsid w:val="6A4E2DBC"/>
    <w:rsid w:val="6A66014A"/>
    <w:rsid w:val="6A86712A"/>
    <w:rsid w:val="6A9C260B"/>
    <w:rsid w:val="6AC15125"/>
    <w:rsid w:val="6C976F0C"/>
    <w:rsid w:val="6D156D2C"/>
    <w:rsid w:val="6D472E68"/>
    <w:rsid w:val="6EF0689E"/>
    <w:rsid w:val="6F006FF7"/>
    <w:rsid w:val="6F502E46"/>
    <w:rsid w:val="6FB21414"/>
    <w:rsid w:val="6FF173C5"/>
    <w:rsid w:val="70A161F1"/>
    <w:rsid w:val="70D3028E"/>
    <w:rsid w:val="716368C0"/>
    <w:rsid w:val="71993C76"/>
    <w:rsid w:val="719B7311"/>
    <w:rsid w:val="71F904FC"/>
    <w:rsid w:val="727D0AE0"/>
    <w:rsid w:val="72DF079C"/>
    <w:rsid w:val="72E74672"/>
    <w:rsid w:val="72F81C47"/>
    <w:rsid w:val="72FB6524"/>
    <w:rsid w:val="73581D10"/>
    <w:rsid w:val="741030BC"/>
    <w:rsid w:val="74437957"/>
    <w:rsid w:val="74821B13"/>
    <w:rsid w:val="74AE4E06"/>
    <w:rsid w:val="74E86890"/>
    <w:rsid w:val="756C1CF0"/>
    <w:rsid w:val="763D7B80"/>
    <w:rsid w:val="770276C0"/>
    <w:rsid w:val="778E38C9"/>
    <w:rsid w:val="798A57F1"/>
    <w:rsid w:val="7AAE47DA"/>
    <w:rsid w:val="7B263430"/>
    <w:rsid w:val="7C2760D0"/>
    <w:rsid w:val="7C906260"/>
    <w:rsid w:val="7DB07D66"/>
    <w:rsid w:val="7E6343BE"/>
    <w:rsid w:val="7F2B3BB9"/>
    <w:rsid w:val="7F9F0A26"/>
    <w:rsid w:val="7FB06EF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12"/>
    <w:qFormat/>
    <w:uiPriority w:val="99"/>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10">
    <w:name w:val="Default Paragraph Font"/>
    <w:semiHidden/>
    <w:qFormat/>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Plain Text"/>
    <w:basedOn w:val="1"/>
    <w:autoRedefine/>
    <w:qFormat/>
    <w:uiPriority w:val="0"/>
    <w:rPr>
      <w:rFonts w:ascii="宋体" w:hAnsi="Courier New" w:cs="Courier New"/>
      <w:szCs w:val="21"/>
    </w:rPr>
  </w:style>
  <w:style w:type="paragraph" w:styleId="5">
    <w:name w:val="footer"/>
    <w:basedOn w:val="1"/>
    <w:link w:val="13"/>
    <w:autoRedefine/>
    <w:qFormat/>
    <w:uiPriority w:val="99"/>
    <w:pPr>
      <w:tabs>
        <w:tab w:val="center" w:pos="4153"/>
        <w:tab w:val="right" w:pos="8306"/>
      </w:tabs>
      <w:snapToGrid w:val="0"/>
      <w:jc w:val="left"/>
    </w:pPr>
    <w:rPr>
      <w:rFonts w:ascii="Times New Roman" w:hAnsi="Times New Roman"/>
      <w:sz w:val="18"/>
      <w:szCs w:val="18"/>
    </w:rPr>
  </w:style>
  <w:style w:type="paragraph" w:styleId="6">
    <w:name w:val="header"/>
    <w:basedOn w:val="1"/>
    <w:link w:val="14"/>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99"/>
    <w:pPr>
      <w:spacing w:before="100" w:beforeAutospacing="1" w:after="100" w:afterAutospacing="1"/>
      <w:jc w:val="left"/>
    </w:pPr>
    <w:rPr>
      <w:kern w:val="0"/>
      <w:sz w:val="24"/>
    </w:rPr>
  </w:style>
  <w:style w:type="table" w:styleId="9">
    <w:name w:val="Table Grid"/>
    <w:basedOn w:val="8"/>
    <w:autoRedefine/>
    <w:qFormat/>
    <w:locked/>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autoRedefine/>
    <w:qFormat/>
    <w:uiPriority w:val="99"/>
    <w:rPr>
      <w:rFonts w:cs="Times New Roman"/>
    </w:rPr>
  </w:style>
  <w:style w:type="character" w:customStyle="1" w:styleId="12">
    <w:name w:val="Heading 1 Char"/>
    <w:basedOn w:val="10"/>
    <w:link w:val="2"/>
    <w:autoRedefine/>
    <w:qFormat/>
    <w:locked/>
    <w:uiPriority w:val="99"/>
    <w:rPr>
      <w:rFonts w:ascii="Calibri" w:hAnsi="Calibri" w:cs="Times New Roman"/>
      <w:b/>
      <w:bCs/>
      <w:kern w:val="44"/>
      <w:sz w:val="44"/>
      <w:szCs w:val="44"/>
    </w:rPr>
  </w:style>
  <w:style w:type="character" w:customStyle="1" w:styleId="13">
    <w:name w:val="Footer Char"/>
    <w:basedOn w:val="10"/>
    <w:link w:val="5"/>
    <w:autoRedefine/>
    <w:semiHidden/>
    <w:qFormat/>
    <w:locked/>
    <w:uiPriority w:val="99"/>
    <w:rPr>
      <w:rFonts w:ascii="Calibri" w:hAnsi="Calibri" w:cs="Times New Roman"/>
      <w:sz w:val="18"/>
      <w:szCs w:val="18"/>
    </w:rPr>
  </w:style>
  <w:style w:type="character" w:customStyle="1" w:styleId="14">
    <w:name w:val="Header Char"/>
    <w:basedOn w:val="10"/>
    <w:link w:val="6"/>
    <w:autoRedefine/>
    <w:semiHidden/>
    <w:qFormat/>
    <w:locked/>
    <w:uiPriority w:val="99"/>
    <w:rPr>
      <w:rFonts w:ascii="Calibri" w:hAnsi="Calibri" w:cs="Times New Roman"/>
      <w:sz w:val="18"/>
      <w:szCs w:val="18"/>
    </w:rPr>
  </w:style>
  <w:style w:type="paragraph" w:customStyle="1" w:styleId="15">
    <w:name w:val="2文本"/>
    <w:autoRedefine/>
    <w:qFormat/>
    <w:uiPriority w:val="99"/>
    <w:pPr>
      <w:widowControl w:val="0"/>
      <w:suppressAutoHyphens/>
      <w:ind w:firstLine="200"/>
      <w:jc w:val="both"/>
    </w:pPr>
    <w:rPr>
      <w:rFonts w:ascii="Times New Roman" w:hAnsi="Times New Roman" w:eastAsia="宋体" w:cs="Times New Roman"/>
      <w:color w:val="000000"/>
      <w:kern w:val="1"/>
      <w:sz w:val="20"/>
      <w:szCs w:val="20"/>
      <w:lang w:val="en-US" w:eastAsia="zh-CN" w:bidi="ar-SA"/>
    </w:rPr>
  </w:style>
  <w:style w:type="paragraph" w:customStyle="1" w:styleId="16">
    <w:name w:val="p17"/>
    <w:basedOn w:val="1"/>
    <w:autoRedefine/>
    <w:qFormat/>
    <w:uiPriority w:val="99"/>
    <w:pPr>
      <w:widowControl/>
      <w:spacing w:before="100" w:after="100"/>
      <w:jc w:val="left"/>
    </w:pPr>
    <w:rPr>
      <w:rFonts w:ascii="宋体" w:hAnsi="宋体" w:cs="宋体"/>
      <w:kern w:val="0"/>
      <w:sz w:val="24"/>
    </w:rPr>
  </w:style>
  <w:style w:type="paragraph" w:customStyle="1" w:styleId="17">
    <w:name w:val="正文文本缩进 21"/>
    <w:basedOn w:val="1"/>
    <w:autoRedefine/>
    <w:qFormat/>
    <w:uiPriority w:val="99"/>
    <w:pPr>
      <w:adjustRightInd w:val="0"/>
      <w:spacing w:after="120" w:line="480" w:lineRule="auto"/>
      <w:ind w:left="420"/>
      <w:textAlignment w:val="baseline"/>
    </w:pPr>
    <w:rPr>
      <w:rFonts w:ascii="Times New Roman" w:hAnsi="Times New Roman"/>
      <w:kern w:val="0"/>
      <w:szCs w:val="20"/>
      <w:lang w:val="zh-CN"/>
    </w:rPr>
  </w:style>
  <w:style w:type="paragraph" w:customStyle="1" w:styleId="18">
    <w:name w:val="List Paragraph1"/>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textRotate="1"/>
    <customShpInfo spid="_x0000_s1076"/>
    <customShpInfo spid="_x0000_s107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4</Pages>
  <Words>1590</Words>
  <Characters>1627</Characters>
  <Lines>0</Lines>
  <Paragraphs>0</Paragraphs>
  <TotalTime>154</TotalTime>
  <ScaleCrop>false</ScaleCrop>
  <LinksUpToDate>false</LinksUpToDate>
  <CharactersWithSpaces>1985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2019-04-02T03:14:00Z</dcterms:created>
  <dc:creator>小时</dc:creator>
  <cp:lastModifiedBy>凭海聆风</cp:lastModifiedBy>
  <cp:lastPrinted>2025-11-18T05:06:00Z</cp:lastPrinted>
  <dcterms:modified xsi:type="dcterms:W3CDTF">2025-11-21T02:47:06Z</dcterms:modified>
  <dc:title>附件                             内部资料  请勿外传</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FCE09C47AA6646F4A7E7A8B9199E23A7</vt:lpwstr>
  </property>
  <property fmtid="{D5CDD505-2E9C-101B-9397-08002B2CF9AE}" pid="4" name="KSOTemplateDocerSaveRecord">
    <vt:lpwstr>eyJoZGlkIjoiNGJmMWYxYjE2ZGI4MThhNzk4NTIzNGQzM2NkZTI5MDciLCJ1c2VySWQiOiIyMTI1Mjc4NTQifQ==</vt:lpwstr>
  </property>
</Properties>
</file>