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002F0F">
      <w:pPr>
        <w:spacing w:line="560" w:lineRule="exact"/>
        <w:jc w:val="center"/>
        <w:rPr>
          <w:rFonts w:hint="eastAsia" w:ascii="宋体" w:hAnsi="宋体" w:cs="宋体"/>
          <w:b/>
          <w:bCs/>
          <w:sz w:val="44"/>
          <w:szCs w:val="44"/>
        </w:rPr>
      </w:pPr>
      <w:r>
        <w:rPr>
          <w:rFonts w:hint="eastAsia" w:ascii="宋体" w:hAnsi="宋体" w:cs="宋体"/>
          <w:b/>
          <w:bCs/>
          <w:sz w:val="44"/>
          <w:szCs w:val="44"/>
        </w:rPr>
        <w:t>正定县文化广电体育和旅游局</w:t>
      </w:r>
    </w:p>
    <w:p w14:paraId="6C0EFE3B">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w:t>
      </w:r>
      <w:r>
        <w:rPr>
          <w:rFonts w:hint="eastAsia" w:ascii="宋体" w:hAnsi="宋体" w:cs="宋体"/>
          <w:b/>
          <w:bCs/>
          <w:sz w:val="44"/>
          <w:szCs w:val="44"/>
          <w:lang w:eastAsia="zh-CN"/>
        </w:rPr>
        <w:t>部门</w:t>
      </w:r>
      <w:r>
        <w:rPr>
          <w:rFonts w:hint="eastAsia" w:ascii="宋体" w:hAnsi="宋体" w:cs="宋体"/>
          <w:b/>
          <w:bCs/>
          <w:sz w:val="44"/>
          <w:szCs w:val="44"/>
        </w:rPr>
        <w:t>整体支出绩效自评报告</w:t>
      </w:r>
    </w:p>
    <w:p w14:paraId="5A8B56EC">
      <w:pPr>
        <w:spacing w:line="560" w:lineRule="exact"/>
        <w:jc w:val="center"/>
        <w:rPr>
          <w:rFonts w:ascii="华文楷体" w:eastAsia="华文楷体"/>
          <w:sz w:val="32"/>
          <w:szCs w:val="32"/>
        </w:rPr>
      </w:pPr>
    </w:p>
    <w:p w14:paraId="279498E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县文旅局</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3F52D7F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00F8B7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849230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主要职责：</w:t>
      </w:r>
    </w:p>
    <w:p w14:paraId="2A5DD1D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1、贯彻执行党和国家文化、广播电视、网络视听节目服务管理、体育和旅游工作方针政策和法律法规。贯彻执行市文化、广播电视、体育和旅游政策措施。</w:t>
      </w:r>
    </w:p>
    <w:p w14:paraId="11C051B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贯彻执行市文化事业、文化产业、广播电视领域、体育和旅游业发展规划并组织实施，推进文化、广播电视、体育和旅游融合发展，推进全县文化、广播电视、体育和旅游体制机制改革。推动全县多元化体育服务体系建设，推进体育公共服务和体育体制改革。</w:t>
      </w:r>
    </w:p>
    <w:p w14:paraId="0BAFCC2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3、管理和组织重大文化、体育和旅游活动，组织实施全县广播电视公共服务重大公益工程和公益活动。监管全县重点文化、体育和旅游设施建设，组织全县文化、体育和旅游整体形象推广，促进文化产业、体育产业和旅游产业对外合作和国际市场推广；负责组织推进全域旅游工作。</w:t>
      </w:r>
    </w:p>
    <w:p w14:paraId="411F005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4、指导、管理全县文艺事业。指导艺术创作生产，推动全县各门类艺术、各艺术品种发展。</w:t>
      </w:r>
    </w:p>
    <w:p w14:paraId="62C7AB4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5、负责全县公共文化、体育和旅游事业发展。推动全县文化、广播电视、体育和旅游公共服务体系建设，深入实施文化、体育惠民工程，统筹推进全县文化、广播电视、体育和旅游服务标准化、均等化。</w:t>
      </w:r>
    </w:p>
    <w:p w14:paraId="6FDF9DA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6、推进全县文化、广播电视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广播电视安全播出。</w:t>
      </w:r>
    </w:p>
    <w:p w14:paraId="07DE57F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7、负责对广播电视机构进行业务指导和监管，会同有关部门对全县网络视听节目服务机构进行管理，推进广播电视与新媒体新技术新业态融合发展。</w:t>
      </w:r>
    </w:p>
    <w:p w14:paraId="2C16A1B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8、负责全县非物质文化遗产保护，推动非物质文化遗产的保护、传承、普及、弘扬和振兴。</w:t>
      </w:r>
    </w:p>
    <w:p w14:paraId="2FDC77F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9、统筹规划全县文化产业、广播电视产业、体育产业和旅游产业。组织实施文化和旅游资源普查、挖掘、保护和开发利用工作，促进文化产业、广播电视产业、体育产业和旅游产业发展。</w:t>
      </w:r>
    </w:p>
    <w:p w14:paraId="3DA2F41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10、指导全县文化、广播电视、体育和旅游市场发展。对文化、广播电视、体育和旅游市场经营进行行业监管，推进全县文化、广播电视、体育和旅游行业信用体系建设，依法规范文化、广播电视、体育和旅游市场。</w:t>
      </w:r>
    </w:p>
    <w:p w14:paraId="583429E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11、负责文化、文物、广播电视、体育和旅游等市场综合执法。</w:t>
      </w:r>
    </w:p>
    <w:p w14:paraId="789250F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12、负责文化遗产的管理和保护，管理文物、博物馆事业，组织文物的保护抢救、考古发掘和开发利用工作。</w:t>
      </w:r>
    </w:p>
    <w:p w14:paraId="784693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13、承担全县文化、广播电视、体育和旅游行业安全综合协调和监督管理工作，负责全县文化、广播电视、体育和旅游行业突发应急事件的处理工作。</w:t>
      </w:r>
    </w:p>
    <w:p w14:paraId="55100B0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14、管理全县文化、广播电视、体育和旅游对外及对港澳台交流、合作和宣传、推广工作，组织大型文化、广播电视、体育和旅游对外及对港澳台交流活动。</w:t>
      </w:r>
    </w:p>
    <w:p w14:paraId="6415C28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15、负责统筹规划全县群众体育发展，推行全民健身计划，开展群众性体育活动，实施国家体育锻炼标准，开展国民体质监测，负责公共体育设施建设及监督管理工作。</w:t>
      </w:r>
    </w:p>
    <w:p w14:paraId="1E18DF1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16、指导体育社团工作。</w:t>
      </w:r>
    </w:p>
    <w:p w14:paraId="1EF26F0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17、完成县委、县政府交办的其他任务。</w:t>
      </w:r>
    </w:p>
    <w:p w14:paraId="4C9D1E5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jc w:val="both"/>
        <w:textAlignment w:val="auto"/>
        <w:outlineLvl w:val="9"/>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部门机构设置情况：</w:t>
      </w:r>
    </w:p>
    <w:tbl>
      <w:tblPr>
        <w:tblStyle w:val="7"/>
        <w:tblpPr w:leftFromText="180" w:rightFromText="180" w:vertAnchor="text" w:horzAnchor="page" w:tblpX="1215" w:tblpY="146"/>
        <w:tblOverlap w:val="never"/>
        <w:tblW w:w="5363"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089"/>
        <w:gridCol w:w="1513"/>
        <w:gridCol w:w="1484"/>
        <w:gridCol w:w="2633"/>
      </w:tblGrid>
      <w:tr w14:paraId="3173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567" w:hRule="atLeast"/>
          <w:tblHeader/>
        </w:trPr>
        <w:tc>
          <w:tcPr>
            <w:tcW w:w="2103" w:type="pct"/>
            <w:noWrap w:val="0"/>
            <w:vAlign w:val="center"/>
          </w:tcPr>
          <w:p w14:paraId="061295E8">
            <w:pPr>
              <w:spacing w:line="30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rPr>
              <w:t>单位名称</w:t>
            </w:r>
          </w:p>
        </w:tc>
        <w:tc>
          <w:tcPr>
            <w:tcW w:w="778" w:type="pct"/>
            <w:noWrap w:val="0"/>
            <w:vAlign w:val="center"/>
          </w:tcPr>
          <w:p w14:paraId="2C0D4A4C">
            <w:pPr>
              <w:spacing w:line="30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rPr>
              <w:t>单位性质</w:t>
            </w:r>
          </w:p>
        </w:tc>
        <w:tc>
          <w:tcPr>
            <w:tcW w:w="763" w:type="pct"/>
            <w:noWrap w:val="0"/>
            <w:vAlign w:val="center"/>
          </w:tcPr>
          <w:p w14:paraId="2AE021F7">
            <w:pPr>
              <w:spacing w:line="30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rPr>
              <w:t>单位规格</w:t>
            </w:r>
          </w:p>
        </w:tc>
        <w:tc>
          <w:tcPr>
            <w:tcW w:w="1354" w:type="pct"/>
            <w:noWrap w:val="0"/>
            <w:vAlign w:val="center"/>
          </w:tcPr>
          <w:p w14:paraId="7A74B198">
            <w:pPr>
              <w:spacing w:line="30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rPr>
              <w:t>经费保障形式</w:t>
            </w:r>
          </w:p>
        </w:tc>
      </w:tr>
      <w:tr w14:paraId="511D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80" w:hRule="atLeast"/>
        </w:trPr>
        <w:tc>
          <w:tcPr>
            <w:tcW w:w="2103" w:type="pct"/>
            <w:noWrap w:val="0"/>
            <w:vAlign w:val="center"/>
          </w:tcPr>
          <w:p w14:paraId="796B7A0E">
            <w:pPr>
              <w:spacing w:line="300" w:lineRule="exact"/>
              <w:jc w:val="left"/>
              <w:rPr>
                <w:rFonts w:hint="eastAsia" w:ascii="仿宋" w:hAnsi="仿宋" w:eastAsia="仿宋" w:cs="仿宋"/>
                <w:color w:val="auto"/>
                <w:sz w:val="24"/>
                <w:szCs w:val="24"/>
              </w:rPr>
            </w:pPr>
            <w:r>
              <w:rPr>
                <w:rFonts w:hint="eastAsia" w:ascii="仿宋" w:hAnsi="仿宋" w:eastAsia="仿宋" w:cs="仿宋"/>
                <w:color w:val="auto"/>
                <w:sz w:val="24"/>
                <w:szCs w:val="24"/>
              </w:rPr>
              <w:t>正定县文化广电体育和旅游局本级</w:t>
            </w:r>
          </w:p>
        </w:tc>
        <w:tc>
          <w:tcPr>
            <w:tcW w:w="778" w:type="pct"/>
            <w:noWrap w:val="0"/>
            <w:vAlign w:val="center"/>
          </w:tcPr>
          <w:p w14:paraId="0400552C">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行政</w:t>
            </w:r>
          </w:p>
        </w:tc>
        <w:tc>
          <w:tcPr>
            <w:tcW w:w="763" w:type="pct"/>
            <w:noWrap w:val="0"/>
            <w:vAlign w:val="center"/>
          </w:tcPr>
          <w:p w14:paraId="34E6ACED">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正科级</w:t>
            </w:r>
          </w:p>
        </w:tc>
        <w:tc>
          <w:tcPr>
            <w:tcW w:w="1354" w:type="pct"/>
            <w:noWrap w:val="0"/>
            <w:vAlign w:val="center"/>
          </w:tcPr>
          <w:p w14:paraId="0902A6EE">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财政拨款</w:t>
            </w:r>
          </w:p>
        </w:tc>
      </w:tr>
      <w:tr w14:paraId="4D9F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9" w:hRule="atLeast"/>
        </w:trPr>
        <w:tc>
          <w:tcPr>
            <w:tcW w:w="2103" w:type="pct"/>
            <w:noWrap w:val="0"/>
            <w:vAlign w:val="center"/>
          </w:tcPr>
          <w:p w14:paraId="3531BFA8">
            <w:pPr>
              <w:spacing w:line="300" w:lineRule="exact"/>
              <w:jc w:val="left"/>
              <w:rPr>
                <w:rFonts w:hint="eastAsia" w:ascii="仿宋" w:hAnsi="仿宋" w:eastAsia="仿宋" w:cs="仿宋"/>
                <w:color w:val="auto"/>
                <w:sz w:val="24"/>
                <w:szCs w:val="24"/>
              </w:rPr>
            </w:pPr>
            <w:r>
              <w:rPr>
                <w:rFonts w:hint="eastAsia" w:ascii="仿宋" w:hAnsi="仿宋" w:eastAsia="仿宋" w:cs="仿宋"/>
                <w:color w:val="auto"/>
                <w:sz w:val="24"/>
                <w:szCs w:val="24"/>
              </w:rPr>
              <w:t>正定县文化馆</w:t>
            </w:r>
          </w:p>
        </w:tc>
        <w:tc>
          <w:tcPr>
            <w:tcW w:w="778" w:type="pct"/>
            <w:noWrap w:val="0"/>
            <w:vAlign w:val="center"/>
          </w:tcPr>
          <w:p w14:paraId="393C288A">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事业</w:t>
            </w:r>
          </w:p>
        </w:tc>
        <w:tc>
          <w:tcPr>
            <w:tcW w:w="763" w:type="pct"/>
            <w:noWrap w:val="0"/>
            <w:vAlign w:val="center"/>
          </w:tcPr>
          <w:p w14:paraId="5E712CE7">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股级</w:t>
            </w:r>
          </w:p>
        </w:tc>
        <w:tc>
          <w:tcPr>
            <w:tcW w:w="1354" w:type="pct"/>
            <w:noWrap w:val="0"/>
            <w:vAlign w:val="center"/>
          </w:tcPr>
          <w:p w14:paraId="5E2A93B7">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财政性资金基本保证</w:t>
            </w:r>
          </w:p>
        </w:tc>
      </w:tr>
      <w:tr w14:paraId="1E87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4" w:hRule="atLeast"/>
        </w:trPr>
        <w:tc>
          <w:tcPr>
            <w:tcW w:w="2103" w:type="pct"/>
            <w:noWrap w:val="0"/>
            <w:vAlign w:val="center"/>
          </w:tcPr>
          <w:p w14:paraId="5791A397">
            <w:pPr>
              <w:spacing w:line="300" w:lineRule="exact"/>
              <w:jc w:val="left"/>
              <w:rPr>
                <w:rFonts w:hint="eastAsia" w:ascii="仿宋" w:hAnsi="仿宋" w:eastAsia="仿宋" w:cs="仿宋"/>
                <w:color w:val="auto"/>
                <w:sz w:val="24"/>
                <w:szCs w:val="24"/>
              </w:rPr>
            </w:pPr>
            <w:r>
              <w:rPr>
                <w:rFonts w:hint="eastAsia" w:ascii="仿宋" w:hAnsi="仿宋" w:eastAsia="仿宋" w:cs="仿宋"/>
                <w:color w:val="auto"/>
                <w:sz w:val="24"/>
                <w:szCs w:val="24"/>
              </w:rPr>
              <w:t>河北省正定县图书馆　</w:t>
            </w:r>
          </w:p>
        </w:tc>
        <w:tc>
          <w:tcPr>
            <w:tcW w:w="778" w:type="pct"/>
            <w:noWrap w:val="0"/>
            <w:vAlign w:val="center"/>
          </w:tcPr>
          <w:p w14:paraId="74B4595D">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事业</w:t>
            </w:r>
          </w:p>
        </w:tc>
        <w:tc>
          <w:tcPr>
            <w:tcW w:w="763" w:type="pct"/>
            <w:noWrap w:val="0"/>
            <w:vAlign w:val="center"/>
          </w:tcPr>
          <w:p w14:paraId="1E89EFE6">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股级</w:t>
            </w:r>
          </w:p>
        </w:tc>
        <w:tc>
          <w:tcPr>
            <w:tcW w:w="1354" w:type="pct"/>
            <w:noWrap w:val="0"/>
            <w:vAlign w:val="center"/>
          </w:tcPr>
          <w:p w14:paraId="31056CE2">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财政性资金基本保证</w:t>
            </w:r>
          </w:p>
        </w:tc>
      </w:tr>
      <w:tr w14:paraId="484A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34" w:hRule="atLeast"/>
        </w:trPr>
        <w:tc>
          <w:tcPr>
            <w:tcW w:w="2103" w:type="pct"/>
            <w:noWrap w:val="0"/>
            <w:vAlign w:val="center"/>
          </w:tcPr>
          <w:p w14:paraId="037142E0">
            <w:pPr>
              <w:spacing w:line="300" w:lineRule="exact"/>
              <w:jc w:val="left"/>
              <w:rPr>
                <w:rFonts w:hint="eastAsia" w:ascii="仿宋" w:hAnsi="仿宋" w:eastAsia="仿宋" w:cs="仿宋"/>
                <w:color w:val="auto"/>
                <w:sz w:val="24"/>
                <w:szCs w:val="24"/>
              </w:rPr>
            </w:pPr>
            <w:r>
              <w:rPr>
                <w:rFonts w:hint="eastAsia" w:ascii="仿宋" w:hAnsi="仿宋" w:eastAsia="仿宋" w:cs="仿宋"/>
                <w:color w:val="auto"/>
                <w:sz w:val="24"/>
                <w:szCs w:val="24"/>
              </w:rPr>
              <w:t>正定县体育管理服务中心</w:t>
            </w:r>
          </w:p>
        </w:tc>
        <w:tc>
          <w:tcPr>
            <w:tcW w:w="778" w:type="pct"/>
            <w:noWrap w:val="0"/>
            <w:vAlign w:val="center"/>
          </w:tcPr>
          <w:p w14:paraId="1750FFB6">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事业</w:t>
            </w:r>
          </w:p>
        </w:tc>
        <w:tc>
          <w:tcPr>
            <w:tcW w:w="763" w:type="pct"/>
            <w:noWrap w:val="0"/>
            <w:vAlign w:val="center"/>
          </w:tcPr>
          <w:p w14:paraId="38C90874">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股级</w:t>
            </w:r>
          </w:p>
        </w:tc>
        <w:tc>
          <w:tcPr>
            <w:tcW w:w="1354" w:type="pct"/>
            <w:noWrap w:val="0"/>
            <w:vAlign w:val="center"/>
          </w:tcPr>
          <w:p w14:paraId="15CD22A3">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财政性资金基本保证</w:t>
            </w:r>
          </w:p>
        </w:tc>
      </w:tr>
      <w:tr w14:paraId="24A2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84" w:hRule="atLeast"/>
        </w:trPr>
        <w:tc>
          <w:tcPr>
            <w:tcW w:w="2103" w:type="pct"/>
            <w:noWrap w:val="0"/>
            <w:vAlign w:val="center"/>
          </w:tcPr>
          <w:p w14:paraId="4407FB17">
            <w:pPr>
              <w:spacing w:line="300" w:lineRule="exact"/>
              <w:jc w:val="left"/>
              <w:rPr>
                <w:rFonts w:hint="eastAsia" w:ascii="仿宋" w:hAnsi="仿宋" w:eastAsia="仿宋" w:cs="仿宋"/>
                <w:color w:val="auto"/>
                <w:sz w:val="24"/>
                <w:szCs w:val="24"/>
              </w:rPr>
            </w:pPr>
            <w:r>
              <w:rPr>
                <w:rFonts w:hint="eastAsia" w:ascii="仿宋" w:hAnsi="仿宋" w:eastAsia="仿宋" w:cs="仿宋"/>
                <w:color w:val="auto"/>
                <w:sz w:val="24"/>
                <w:szCs w:val="24"/>
              </w:rPr>
              <w:t>正定县文物保管所</w:t>
            </w:r>
          </w:p>
        </w:tc>
        <w:tc>
          <w:tcPr>
            <w:tcW w:w="778" w:type="pct"/>
            <w:noWrap w:val="0"/>
            <w:vAlign w:val="center"/>
          </w:tcPr>
          <w:p w14:paraId="333B920E">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事业</w:t>
            </w:r>
          </w:p>
        </w:tc>
        <w:tc>
          <w:tcPr>
            <w:tcW w:w="763" w:type="pct"/>
            <w:noWrap w:val="0"/>
            <w:vAlign w:val="center"/>
          </w:tcPr>
          <w:p w14:paraId="564D6D7C">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股级</w:t>
            </w:r>
          </w:p>
        </w:tc>
        <w:tc>
          <w:tcPr>
            <w:tcW w:w="1354" w:type="pct"/>
            <w:noWrap w:val="0"/>
            <w:vAlign w:val="center"/>
          </w:tcPr>
          <w:p w14:paraId="2877D0A6">
            <w:pPr>
              <w:spacing w:line="300" w:lineRule="exact"/>
              <w:jc w:val="center"/>
              <w:rPr>
                <w:rFonts w:hint="eastAsia" w:ascii="仿宋" w:hAnsi="仿宋" w:eastAsia="仿宋" w:cs="仿宋"/>
                <w:color w:val="auto"/>
                <w:sz w:val="24"/>
                <w:szCs w:val="24"/>
              </w:rPr>
            </w:pPr>
            <w:r>
              <w:rPr>
                <w:rFonts w:hint="eastAsia" w:ascii="仿宋" w:hAnsi="仿宋" w:eastAsia="仿宋" w:cs="仿宋"/>
                <w:color w:val="auto"/>
                <w:sz w:val="24"/>
                <w:szCs w:val="24"/>
              </w:rPr>
              <w:t>财政性资金零补助</w:t>
            </w:r>
          </w:p>
        </w:tc>
      </w:tr>
    </w:tbl>
    <w:p w14:paraId="5EAC9E0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jc w:val="both"/>
        <w:textAlignment w:val="auto"/>
        <w:outlineLvl w:val="9"/>
        <w:rPr>
          <w:rFonts w:hint="eastAsia" w:ascii="仿宋" w:hAnsi="仿宋" w:eastAsia="仿宋" w:cs="仿宋"/>
          <w:b/>
          <w:bCs/>
          <w:color w:val="auto"/>
          <w:sz w:val="32"/>
          <w:szCs w:val="32"/>
          <w:lang w:eastAsia="zh-CN"/>
        </w:rPr>
      </w:pPr>
    </w:p>
    <w:p w14:paraId="6F1D7E9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jc w:val="both"/>
        <w:textAlignment w:val="auto"/>
        <w:outlineLvl w:val="9"/>
        <w:rPr>
          <w:rFonts w:hint="eastAsia" w:ascii="仿宋" w:hAnsi="仿宋" w:eastAsia="仿宋" w:cs="仿宋"/>
          <w:b/>
          <w:bCs/>
          <w:color w:val="auto"/>
          <w:sz w:val="32"/>
          <w:szCs w:val="32"/>
          <w:lang w:eastAsia="zh-CN"/>
        </w:rPr>
      </w:pPr>
    </w:p>
    <w:p w14:paraId="320280F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jc w:val="both"/>
        <w:textAlignment w:val="auto"/>
        <w:outlineLvl w:val="9"/>
        <w:rPr>
          <w:rFonts w:hint="eastAsia" w:ascii="仿宋" w:hAnsi="仿宋" w:eastAsia="仿宋" w:cs="仿宋"/>
          <w:b/>
          <w:bCs/>
          <w:color w:val="auto"/>
          <w:sz w:val="32"/>
          <w:szCs w:val="32"/>
          <w:lang w:eastAsia="zh-CN"/>
        </w:rPr>
      </w:pPr>
    </w:p>
    <w:p w14:paraId="58EFF956">
      <w:pPr>
        <w:keepNext w:val="0"/>
        <w:keepLines w:val="0"/>
        <w:pageBreakBefore w:val="0"/>
        <w:widowControl w:val="0"/>
        <w:kinsoku/>
        <w:wordWrap/>
        <w:overflowPunct/>
        <w:topLinePunct w:val="0"/>
        <w:autoSpaceDE/>
        <w:autoSpaceDN/>
        <w:bidi w:val="0"/>
        <w:adjustRightInd w:val="0"/>
        <w:snapToGrid w:val="0"/>
        <w:spacing w:line="560" w:lineRule="exact"/>
        <w:ind w:right="0"/>
        <w:jc w:val="both"/>
        <w:textAlignment w:val="auto"/>
        <w:outlineLvl w:val="9"/>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部门固定资产占用情况：</w:t>
      </w:r>
    </w:p>
    <w:tbl>
      <w:tblPr>
        <w:tblStyle w:val="7"/>
        <w:tblW w:w="4999"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5121"/>
        <w:gridCol w:w="1968"/>
        <w:gridCol w:w="1970"/>
      </w:tblGrid>
      <w:tr w14:paraId="6D43C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2826" w:type="pct"/>
            <w:tcBorders>
              <w:top w:val="single" w:color="FFFFFF" w:sz="6" w:space="0"/>
              <w:left w:val="single" w:color="FFFFFF" w:sz="6" w:space="0"/>
              <w:right w:val="single" w:color="FFFFFF" w:sz="6" w:space="0"/>
            </w:tcBorders>
            <w:vAlign w:val="center"/>
          </w:tcPr>
          <w:p w14:paraId="4A5BB1C6">
            <w:pPr>
              <w:pStyle w:val="9"/>
            </w:pPr>
            <w:r>
              <w:t>357正定县文化广电体育和旅游局</w:t>
            </w:r>
          </w:p>
        </w:tc>
        <w:tc>
          <w:tcPr>
            <w:tcW w:w="2173" w:type="pct"/>
            <w:gridSpan w:val="2"/>
            <w:tcBorders>
              <w:top w:val="single" w:color="FFFFFF" w:sz="6" w:space="0"/>
              <w:left w:val="single" w:color="FFFFFF" w:sz="6" w:space="0"/>
              <w:right w:val="single" w:color="FFFFFF" w:sz="6" w:space="0"/>
            </w:tcBorders>
            <w:vAlign w:val="center"/>
          </w:tcPr>
          <w:p w14:paraId="307EAAA2">
            <w:pPr>
              <w:pStyle w:val="10"/>
            </w:pPr>
            <w:r>
              <w:t>截止时间：2024-12-31</w:t>
            </w:r>
          </w:p>
        </w:tc>
      </w:tr>
      <w:tr w14:paraId="458A8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2826" w:type="pct"/>
            <w:vAlign w:val="center"/>
          </w:tcPr>
          <w:p w14:paraId="61240981">
            <w:pPr>
              <w:pStyle w:val="11"/>
            </w:pPr>
            <w:r>
              <w:t>项   目</w:t>
            </w:r>
          </w:p>
        </w:tc>
        <w:tc>
          <w:tcPr>
            <w:tcW w:w="1086" w:type="pct"/>
            <w:vAlign w:val="center"/>
          </w:tcPr>
          <w:p w14:paraId="0011F5A5">
            <w:pPr>
              <w:pStyle w:val="11"/>
            </w:pPr>
            <w:r>
              <w:t>数量</w:t>
            </w:r>
          </w:p>
        </w:tc>
        <w:tc>
          <w:tcPr>
            <w:tcW w:w="1087" w:type="pct"/>
            <w:vAlign w:val="center"/>
          </w:tcPr>
          <w:p w14:paraId="63F34BEB">
            <w:pPr>
              <w:pStyle w:val="11"/>
            </w:pPr>
            <w:r>
              <w:t>价值（金额单位：万元）</w:t>
            </w:r>
          </w:p>
        </w:tc>
      </w:tr>
      <w:tr w14:paraId="592D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2826" w:type="pct"/>
            <w:vAlign w:val="center"/>
          </w:tcPr>
          <w:p w14:paraId="5774E422">
            <w:pPr>
              <w:pStyle w:val="12"/>
            </w:pPr>
            <w:r>
              <w:t>资产总额</w:t>
            </w:r>
          </w:p>
        </w:tc>
        <w:tc>
          <w:tcPr>
            <w:tcW w:w="1086" w:type="pct"/>
            <w:vAlign w:val="center"/>
          </w:tcPr>
          <w:p w14:paraId="41586634">
            <w:pPr>
              <w:pStyle w:val="15"/>
            </w:pPr>
          </w:p>
        </w:tc>
        <w:tc>
          <w:tcPr>
            <w:tcW w:w="1087" w:type="pct"/>
            <w:vAlign w:val="center"/>
          </w:tcPr>
          <w:p w14:paraId="0588BF99">
            <w:pPr>
              <w:pStyle w:val="14"/>
            </w:pPr>
            <w:r>
              <w:t>4927.82</w:t>
            </w:r>
          </w:p>
        </w:tc>
      </w:tr>
      <w:tr w14:paraId="751AB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2826" w:type="pct"/>
            <w:vAlign w:val="center"/>
          </w:tcPr>
          <w:p w14:paraId="5D31E39C">
            <w:pPr>
              <w:pStyle w:val="12"/>
            </w:pPr>
            <w:r>
              <w:t>1、房屋（平方米）</w:t>
            </w:r>
          </w:p>
        </w:tc>
        <w:tc>
          <w:tcPr>
            <w:tcW w:w="1086" w:type="pct"/>
            <w:vAlign w:val="center"/>
          </w:tcPr>
          <w:p w14:paraId="4C73C58A">
            <w:pPr>
              <w:pStyle w:val="15"/>
            </w:pPr>
            <w:r>
              <w:t>15603.50</w:t>
            </w:r>
          </w:p>
        </w:tc>
        <w:tc>
          <w:tcPr>
            <w:tcW w:w="1087" w:type="pct"/>
            <w:vAlign w:val="center"/>
          </w:tcPr>
          <w:p w14:paraId="6A4FB511">
            <w:pPr>
              <w:pStyle w:val="14"/>
            </w:pPr>
            <w:r>
              <w:t>3462.12</w:t>
            </w:r>
          </w:p>
        </w:tc>
      </w:tr>
      <w:tr w14:paraId="3016C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2826" w:type="pct"/>
            <w:vAlign w:val="center"/>
          </w:tcPr>
          <w:p w14:paraId="3D4E63AB">
            <w:pPr>
              <w:pStyle w:val="12"/>
            </w:pPr>
            <w:r>
              <w:t>　　其中：办公用房（平方米）</w:t>
            </w:r>
          </w:p>
        </w:tc>
        <w:tc>
          <w:tcPr>
            <w:tcW w:w="1086" w:type="pct"/>
            <w:vAlign w:val="center"/>
          </w:tcPr>
          <w:p w14:paraId="32E99C0E">
            <w:pPr>
              <w:pStyle w:val="15"/>
            </w:pPr>
            <w:r>
              <w:t>2021.44</w:t>
            </w:r>
          </w:p>
        </w:tc>
        <w:tc>
          <w:tcPr>
            <w:tcW w:w="1087" w:type="pct"/>
            <w:vAlign w:val="center"/>
          </w:tcPr>
          <w:p w14:paraId="7C03ECEC">
            <w:pPr>
              <w:pStyle w:val="14"/>
            </w:pPr>
            <w:r>
              <w:t>279.43</w:t>
            </w:r>
          </w:p>
        </w:tc>
      </w:tr>
      <w:tr w14:paraId="03172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2826" w:type="pct"/>
            <w:vAlign w:val="center"/>
          </w:tcPr>
          <w:p w14:paraId="61081661">
            <w:pPr>
              <w:pStyle w:val="12"/>
            </w:pPr>
            <w:r>
              <w:t>2、车辆（台、辆）</w:t>
            </w:r>
          </w:p>
        </w:tc>
        <w:tc>
          <w:tcPr>
            <w:tcW w:w="1086" w:type="pct"/>
            <w:vAlign w:val="center"/>
          </w:tcPr>
          <w:p w14:paraId="0A061C37">
            <w:pPr>
              <w:pStyle w:val="15"/>
            </w:pPr>
            <w:r>
              <w:t>7</w:t>
            </w:r>
          </w:p>
        </w:tc>
        <w:tc>
          <w:tcPr>
            <w:tcW w:w="1087" w:type="pct"/>
            <w:vAlign w:val="center"/>
          </w:tcPr>
          <w:p w14:paraId="491BE37C">
            <w:pPr>
              <w:pStyle w:val="14"/>
            </w:pPr>
            <w:r>
              <w:t>94.20</w:t>
            </w:r>
          </w:p>
        </w:tc>
      </w:tr>
      <w:tr w14:paraId="78253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2826" w:type="pct"/>
            <w:vAlign w:val="center"/>
          </w:tcPr>
          <w:p w14:paraId="782A9FA7">
            <w:pPr>
              <w:pStyle w:val="12"/>
            </w:pPr>
            <w:r>
              <w:t>3、单价在20万元以上的设备</w:t>
            </w:r>
          </w:p>
        </w:tc>
        <w:tc>
          <w:tcPr>
            <w:tcW w:w="1086" w:type="pct"/>
            <w:vAlign w:val="center"/>
          </w:tcPr>
          <w:p w14:paraId="300E7E97">
            <w:pPr>
              <w:pStyle w:val="15"/>
            </w:pPr>
          </w:p>
        </w:tc>
        <w:tc>
          <w:tcPr>
            <w:tcW w:w="1087" w:type="pct"/>
            <w:vAlign w:val="center"/>
          </w:tcPr>
          <w:p w14:paraId="394F7AE1">
            <w:pPr>
              <w:pStyle w:val="14"/>
            </w:pPr>
          </w:p>
        </w:tc>
      </w:tr>
      <w:tr w14:paraId="539CB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2826" w:type="pct"/>
            <w:vAlign w:val="center"/>
          </w:tcPr>
          <w:p w14:paraId="0D099CAF">
            <w:pPr>
              <w:pStyle w:val="12"/>
            </w:pPr>
            <w:r>
              <w:t>4、其他固定资产</w:t>
            </w:r>
          </w:p>
        </w:tc>
        <w:tc>
          <w:tcPr>
            <w:tcW w:w="1086" w:type="pct"/>
            <w:vAlign w:val="center"/>
          </w:tcPr>
          <w:p w14:paraId="64F46AA5">
            <w:pPr>
              <w:pStyle w:val="15"/>
            </w:pPr>
            <w:r>
              <w:t>3810</w:t>
            </w:r>
          </w:p>
        </w:tc>
        <w:tc>
          <w:tcPr>
            <w:tcW w:w="1087" w:type="pct"/>
            <w:vAlign w:val="center"/>
          </w:tcPr>
          <w:p w14:paraId="6AFE169A">
            <w:pPr>
              <w:pStyle w:val="14"/>
            </w:pPr>
            <w:r>
              <w:t>1371.51</w:t>
            </w:r>
          </w:p>
        </w:tc>
      </w:tr>
    </w:tbl>
    <w:p w14:paraId="36C44497">
      <w:pPr>
        <w:adjustRightInd w:val="0"/>
        <w:snapToGrid w:val="0"/>
        <w:spacing w:line="560" w:lineRule="exact"/>
        <w:ind w:firstLine="640" w:firstLineChars="200"/>
        <w:rPr>
          <w:rFonts w:hint="eastAsia" w:ascii="楷体" w:hAnsi="楷体" w:eastAsia="楷体" w:cs="楷体_GB2312"/>
          <w:bCs/>
          <w:sz w:val="32"/>
          <w:szCs w:val="32"/>
        </w:rPr>
      </w:pPr>
    </w:p>
    <w:p w14:paraId="0EDC1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75E2B02A">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1、收入支出预算安排情况。</w:t>
      </w:r>
    </w:p>
    <w:p w14:paraId="4CDC2F99">
      <w:pPr>
        <w:pStyle w:val="13"/>
        <w:widowControl/>
        <w:pBdr>
          <w:top w:val="none" w:color="auto" w:sz="0" w:space="0"/>
          <w:left w:val="none" w:color="auto" w:sz="0" w:space="0"/>
          <w:bottom w:val="none" w:color="auto" w:sz="0" w:space="0"/>
          <w:right w:val="none" w:color="auto" w:sz="0" w:space="0"/>
        </w:pBdr>
        <w:shd w:val="clear" w:color="070000" w:fill="FFFFFF"/>
        <w:wordWrap/>
        <w:autoSpaceDN w:val="0"/>
        <w:adjustRightInd/>
        <w:snapToGrid/>
        <w:spacing w:before="0" w:beforeAutospacing="0" w:after="0" w:afterAutospacing="0" w:line="560" w:lineRule="exact"/>
        <w:ind w:left="0" w:leftChars="0"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年初安排预算收入和支出均为10258.15万元；与上年相比收入、支出预算均增加1646.27万元，增幅19.12%，主要原因：退休人员统筹外待遇自2024年度由部门负责发放；专项项目资金增加。</w:t>
      </w:r>
    </w:p>
    <w:p w14:paraId="5B534D80">
      <w:pPr>
        <w:adjustRightInd w:val="0"/>
        <w:snapToGrid w:val="0"/>
        <w:spacing w:line="560" w:lineRule="exac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2、收入支出预算执行情况。</w:t>
      </w:r>
    </w:p>
    <w:p w14:paraId="30244A3E">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年初预算收入10258.15万元，年终决算收入8371.17万元，差异率18.39%。原因主要是：部分项目列入年初预算，年中因项目正在进行当中，达不到支付条件，当年未能执行。</w:t>
      </w:r>
    </w:p>
    <w:p w14:paraId="484DA3FC">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C69E7B7">
      <w:pPr>
        <w:pStyle w:val="13"/>
        <w:widowControl/>
        <w:pBdr>
          <w:top w:val="none" w:color="auto" w:sz="0" w:space="0"/>
          <w:left w:val="none" w:color="auto" w:sz="0" w:space="0"/>
          <w:bottom w:val="none" w:color="auto" w:sz="0" w:space="0"/>
          <w:right w:val="none" w:color="auto" w:sz="0" w:space="0"/>
        </w:pBdr>
        <w:shd w:val="clear" w:color="070000" w:fill="FFFFFF"/>
        <w:wordWrap/>
        <w:autoSpaceDN w:val="0"/>
        <w:adjustRightInd/>
        <w:snapToGrid/>
        <w:spacing w:before="0" w:beforeAutospacing="0" w:after="0" w:afterAutospacing="0" w:line="560" w:lineRule="exact"/>
        <w:ind w:left="0" w:leftChars="0" w:right="0" w:firstLine="640" w:firstLineChars="0"/>
        <w:textAlignment w:val="auto"/>
        <w:outlineLvl w:val="9"/>
        <w:rPr>
          <w:rFonts w:hint="eastAsia" w:ascii="仿宋" w:hAnsi="仿宋" w:eastAsia="仿宋" w:cs="仿宋"/>
          <w:color w:val="auto"/>
          <w:sz w:val="32"/>
          <w:szCs w:val="32"/>
          <w:lang w:val="en-US" w:eastAsia="zh-CN"/>
        </w:rPr>
      </w:pPr>
      <w:bookmarkStart w:id="0" w:name="_Toc68960407"/>
      <w:r>
        <w:rPr>
          <w:rFonts w:hint="eastAsia" w:ascii="仿宋" w:hAnsi="仿宋" w:eastAsia="仿宋" w:cs="仿宋"/>
          <w:b/>
          <w:bCs/>
          <w:color w:val="auto"/>
          <w:sz w:val="32"/>
          <w:szCs w:val="32"/>
          <w:lang w:val="en-US" w:eastAsia="zh-CN"/>
        </w:rPr>
        <w:t>总体绩效目标</w:t>
      </w:r>
      <w:bookmarkEnd w:id="0"/>
      <w:r>
        <w:rPr>
          <w:rFonts w:hint="eastAsia" w:ascii="仿宋" w:hAnsi="仿宋" w:eastAsia="仿宋" w:cs="仿宋"/>
          <w:color w:val="auto"/>
          <w:sz w:val="32"/>
          <w:szCs w:val="32"/>
          <w:lang w:val="en-US" w:eastAsia="zh-CN"/>
        </w:rPr>
        <w:t>：</w:t>
      </w:r>
    </w:p>
    <w:p w14:paraId="59CBD45F">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2024年，正定县文化广电体育和旅游局将继续坚定不移走“旅游兴县”之路，深入贯彻落实习近平总书记系列指示、批示精神，坚持以人民为中心的发展思想和高质量发展要求，在县委、县政府的领导和省市有关部门正确指导下，以建设文化名县、旅游大县、体育强县为目标，积极探索发展新途径和新方法，坚持宜融则融、能融尽融，推进正定古城文化和旅游全方位、深层次、宽领域融合，力争实现文化、文物、旅游、体育等各项事业再上新台阶，更好带动正定经济社会高质量发展。年度发展规划目标如下：</w:t>
      </w:r>
    </w:p>
    <w:p w14:paraId="744AF72C">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进一步完善提升县乡村“三级”公共文化服务设施建设。一是全面完善图书馆功能，增加电子阅览、电子读报、电子借阅等服务，实现图书数字化管理，总分馆全面开馆运行，满足更多读者需求。二是完善文化馆（站）设备设施，加强文艺人才培养及队伍建设，为群众文化活动提供更专业的服务。三是进一步加大公共体育基础设施建设力度，进一步提升全县健身设施覆盖率，逐步形成城市社区“15分钟健身圈”。四是全面启动以县图书馆、文化馆为总馆，各乡镇文化站为分馆的建设，有效引导乡镇综合文化站发挥桥梁纽带作用，更好的带动农村群众文化活动的开展。五是建好、管好、用好文化信息资源共享工程、村级文化广场等乡村级文化设施。六是对县乡村文化志愿者实行规范化管理，扶植发展群文队伍，提升我县文化志愿服务整体水平。</w:t>
      </w:r>
    </w:p>
    <w:p w14:paraId="3874239B">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做大做强特色文化品牌。1、举办群众性文体活动。组织开展好鼓王争霸赛、正定讲堂、全民阅读、彩色周末、戏曲进校园、全民健身等群众文体活动。2、面向农村做好文化下乡服务，开展送图书、送演出、送培训、送戏曲、送体育下乡。3、文化志愿者实行规范化管理，在更多村街建立农村文艺辅导基地，开展“种”文化活动，扶植发展基层群文队伍，提升文艺骨干业务水平。4、重点推进元旦长跑、篮球邀请赛、乒乓球赛、象棋赛等精品赛事活动，推动全民健身运动的开展。5、积极开展文化交流。充分依托京津冀协同发展平台和我县中国民间文化艺术之乡、中国书法之乡的资源优势开展文化交流活动，展示我县特色文化品牌、精品项目。</w:t>
      </w:r>
    </w:p>
    <w:p w14:paraId="3539BBC3">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3、大力推进文化产业发展。大力发展演艺娱乐产业，书画产业，努力打造具有浓郁正定特色的书画产业聚散地。创新思路，加强艺术交流合作。</w:t>
      </w:r>
    </w:p>
    <w:p w14:paraId="0073A84C">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4、建立高效的文化市场管理体系。规范网络市场、音像市场、印刷市场、出版物市场，不断探索和创新文化市场长效管理机制，深入持久地开展“扫黄打非”，提高文化市场执法质量。</w:t>
      </w:r>
    </w:p>
    <w:p w14:paraId="7F6E3CC2">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坚持“保护为主、抢救第一、合理利用、加强管理”的文物工作方针，做好文物保护、管理和利用等工作。开展文物保护前期相关工作，实施文物本体保护，做好文物档案、资料整理、学术研究和出版等工作，做好文物保护项目实施过程中的管理、验收及绩效考核等工作，做好文物行政执法、安全管理与督查工作，开展文物鉴定工作，改善文物保管条件与保存环境，提供文物保护工作相关设备。督促、指导全县的文物安全保卫、消防技防等工作，通过技术手段，提高文物保护的防护水平。</w:t>
      </w:r>
    </w:p>
    <w:p w14:paraId="08570312">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加快推动古城创建5A级景区，推进文旅资源整合利用；指导全县重点旅游区域、旅游目的地和旅游线路的规划开发；监测全县旅游经济运行；协调和指导全县红色旅游、乡村旅游、农家乐工作;推进重点旅游项目实施。利用各种媒体开展旅游政务宣传、形象宣传；策划各种旅游节庆活动；投放旅游广告；组织重点旅游线路和旅游目的地宣传推广；旅游宣传品的设计、制作；开展新闻媒体记者采访考察工作；策划、推广全县旅游产品及旅游线路，开展国内外旅游市场促销工作。规范旅游市场秩序，监督管理服务质量，维护旅游消费者和经营者合法权益；开展旅游行业管理，负责日常监管、行业培训、接受游客投诉、从业人员资格核准工作；接受游客投诉，开展行风评议。</w:t>
      </w:r>
    </w:p>
    <w:p w14:paraId="56047A19">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7、做好文物保护、管理、宣传、利用等工作，提升群众文物保护意识。</w:t>
      </w:r>
    </w:p>
    <w:p w14:paraId="308139C0">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8、落实广播电视行业管理、指导工作，督导广播电视安全运行，确保广播电视安全播出。</w:t>
      </w:r>
    </w:p>
    <w:p w14:paraId="437DF7E2">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9、综合政务管理。保障机关正常运转；组织设备购置及管理；机关办公环境建设与维护；确保各项业务顺利开展；完成县委县政府交办的其他任务。</w:t>
      </w:r>
    </w:p>
    <w:p w14:paraId="1D689D9B">
      <w:pPr>
        <w:adjustRightInd w:val="0"/>
        <w:snapToGrid w:val="0"/>
        <w:spacing w:line="560" w:lineRule="exact"/>
        <w:ind w:firstLine="643" w:firstLineChars="200"/>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分项绩效目标：</w:t>
      </w:r>
    </w:p>
    <w:p w14:paraId="1D62EBC9">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文化、艺术管理。管理和指导全县文化建设，提供公共文化服务、文化艺术资源建设和文化艺术生产。保障文化发展环境健康向上，文化发展能力不断增强，文化艺术资源进一步丰富，公共文化服务和文化艺术生产水平不断提高，我县文化影响力日益扩大。</w:t>
      </w:r>
    </w:p>
    <w:p w14:paraId="4884CFD1">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2、非遗保护。对我县非物质文化遗产抢救、传承和保护，保障我县非物质文化遗产得到良好的传承、保护和发展。 3、广播影视事业建设。落实广播电视行业管理、指导工作，督导广播电视安全运行，确保广播电视安全播出。</w:t>
      </w:r>
    </w:p>
    <w:p w14:paraId="078E09A2">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文化市场监管。开展对网吧、歌舞娱乐场所的检查，加强文化市场管理的宣传、培训，采集文化市场监管对象基础数据；开展对印刷企业、图书经营场所、音像制品店的检查，加强法律法规宣传、培训，数据采集；开展对广播电视播出、传输机构、使用卫星地面接收设施单位的检查，确保文化市场健康有序。</w:t>
      </w:r>
    </w:p>
    <w:p w14:paraId="7B70ABDC">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5、“扫黄打非”工作的监督与督查。加强“扫黄打非”工作的督查，案件与举报的核查处理，提高全县“扫黄打非”工作质量，确保不发生重大事故。</w:t>
      </w:r>
    </w:p>
    <w:p w14:paraId="756018A0">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6、发展体育事业。推动多元化体育服务体系建设，推动体育公共服务和体育体制改革。加强体育公共服务体系建设，促进全县体育事业全面协调可持续发展。</w:t>
      </w:r>
    </w:p>
    <w:p w14:paraId="295CFC66">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7、做好大悲阁修缮等文物保护工程，加强文物保护管理、宣传、利用等工作，提升群众文物保护意识。</w:t>
      </w:r>
    </w:p>
    <w:p w14:paraId="266FE0CC">
      <w:pPr>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8、综合政务管理。保障机关工作正常高效运转，确保各项工作谋划到位、顺利开展。</w:t>
      </w:r>
    </w:p>
    <w:p w14:paraId="604DE43F">
      <w:pPr>
        <w:adjustRightInd w:val="0"/>
        <w:snapToGrid w:val="0"/>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二、自评工作开展情况</w:t>
      </w:r>
    </w:p>
    <w:p w14:paraId="01B3C94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6E02EED">
      <w:pPr>
        <w:autoSpaceDE w:val="0"/>
        <w:autoSpaceDN w:val="0"/>
        <w:ind w:firstLine="640"/>
        <w:rPr>
          <w:rFonts w:hint="eastAsia" w:ascii="仿宋" w:hAnsi="仿宋" w:eastAsia="仿宋" w:cs="Times New Roman"/>
          <w:color w:val="auto"/>
          <w:sz w:val="32"/>
          <w:szCs w:val="32"/>
          <w:lang w:val="en-US" w:eastAsia="zh-CN"/>
        </w:rPr>
      </w:pPr>
      <w:r>
        <w:rPr>
          <w:rFonts w:hint="eastAsia" w:ascii="仿宋" w:hAnsi="仿宋" w:eastAsia="仿宋" w:cs="仿宋"/>
          <w:color w:val="auto"/>
          <w:kern w:val="2"/>
          <w:sz w:val="32"/>
          <w:szCs w:val="32"/>
          <w:lang w:val="en-US" w:eastAsia="zh-CN" w:bidi="ar-SA"/>
        </w:rPr>
        <w:t>我局高度重视项目绩效自评工作，局党组书记、局长亲自部署，分管领导主抓落实，及时将2024年度各预算项目自评任务进行了分解，成立了由业务</w:t>
      </w:r>
      <w:r>
        <w:rPr>
          <w:rFonts w:hint="eastAsia" w:ascii="仿宋" w:hAnsi="仿宋" w:eastAsia="仿宋" w:cs="Times New Roman"/>
          <w:color w:val="auto"/>
          <w:sz w:val="32"/>
          <w:szCs w:val="32"/>
          <w:lang w:val="en-US" w:eastAsia="zh-CN"/>
        </w:rPr>
        <w:t>、财务等人员组成的评价小组，明确了绩效评价指标体系、评价方法及步骤时限等。</w:t>
      </w:r>
    </w:p>
    <w:p w14:paraId="7C70D5F3">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35CD6C7">
      <w:pPr>
        <w:autoSpaceDE w:val="0"/>
        <w:autoSpaceDN w:val="0"/>
        <w:ind w:firstLine="640"/>
        <w:rPr>
          <w:rFonts w:hint="eastAsia" w:ascii="仿宋_GB2312" w:hAnsi="仿宋" w:eastAsia="仿宋_GB2312"/>
          <w:color w:val="auto"/>
          <w:sz w:val="32"/>
          <w:szCs w:val="32"/>
        </w:rPr>
      </w:pPr>
      <w:r>
        <w:rPr>
          <w:rFonts w:hint="eastAsia" w:ascii="仿宋" w:hAnsi="仿宋" w:eastAsia="仿宋" w:cs="Times New Roman"/>
          <w:color w:val="auto"/>
          <w:sz w:val="32"/>
          <w:szCs w:val="32"/>
          <w:lang w:val="en-US" w:eastAsia="zh-CN"/>
        </w:rPr>
        <w:t>在</w:t>
      </w:r>
      <w:r>
        <w:rPr>
          <w:rFonts w:hint="eastAsia" w:ascii="仿宋" w:hAnsi="仿宋" w:eastAsia="仿宋" w:cs="Times New Roman"/>
          <w:color w:val="auto"/>
          <w:sz w:val="32"/>
          <w:szCs w:val="32"/>
          <w:lang w:val="zh-CN" w:eastAsia="zh-CN"/>
        </w:rPr>
        <w:t>绩效评价指标体系中，除共性指标外，还结合各项目实际，设置了能够体现项目特点和绩效的个性指标。组织评价人员认真学习</w:t>
      </w:r>
      <w:r>
        <w:rPr>
          <w:rFonts w:hint="eastAsia" w:ascii="仿宋" w:hAnsi="仿宋" w:eastAsia="仿宋"/>
          <w:color w:val="auto"/>
          <w:sz w:val="32"/>
          <w:szCs w:val="32"/>
        </w:rPr>
        <w:t>《关于全面落实预算绩效管理的实施意见》</w:t>
      </w:r>
      <w:r>
        <w:rPr>
          <w:rFonts w:hint="eastAsia" w:ascii="仿宋" w:hAnsi="仿宋" w:eastAsia="仿宋" w:cs="仿宋"/>
          <w:color w:val="auto"/>
          <w:kern w:val="2"/>
          <w:sz w:val="32"/>
          <w:szCs w:val="32"/>
          <w:lang w:val="zh-CN" w:eastAsia="zh-CN" w:bidi="ar-SA"/>
        </w:rPr>
        <w:t>《正定县县级部门预算项目绩效自评管理办法》《正定县县级预算重点评价管理办法》等文件精神，研究其具体内容和目标责任。</w:t>
      </w:r>
      <w:r>
        <w:rPr>
          <w:rFonts w:hint="eastAsia" w:ascii="仿宋" w:hAnsi="仿宋" w:eastAsia="仿宋" w:cs="仿宋"/>
          <w:color w:val="auto"/>
          <w:kern w:val="2"/>
          <w:sz w:val="32"/>
          <w:szCs w:val="32"/>
          <w:lang w:val="en-US" w:eastAsia="zh-CN" w:bidi="ar-SA"/>
        </w:rPr>
        <w:t>通过收集资料、实地查验、组织调查等方式，采用定量分析和定性分析相结合的方法，从预算管理、职责履行、预算执行、实施效果、制度建设等方面进行了综合评价，较好地完成了部门绩效自评工作。</w:t>
      </w:r>
      <w:r>
        <w:rPr>
          <w:rFonts w:hint="eastAsia" w:ascii="仿宋" w:hAnsi="仿宋" w:eastAsia="仿宋" w:cs="仿宋"/>
          <w:color w:val="auto"/>
          <w:kern w:val="2"/>
          <w:sz w:val="32"/>
          <w:szCs w:val="32"/>
          <w:lang w:val="zh-CN" w:eastAsia="zh-CN" w:bidi="ar-SA"/>
        </w:rPr>
        <w:t xml:space="preserve">   </w:t>
      </w:r>
    </w:p>
    <w:p w14:paraId="27A400E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BAA4883">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D12261D">
      <w:pPr>
        <w:ind w:firstLine="640" w:firstLineChars="200"/>
        <w:rPr>
          <w:rFonts w:hint="eastAsia" w:ascii="仿宋_GB2312" w:hAnsi="仿宋_GB2312" w:eastAsia="仿宋_GB2312" w:cs="仿宋_GB2312"/>
          <w:sz w:val="32"/>
          <w:szCs w:val="32"/>
        </w:rPr>
      </w:pPr>
      <w:r>
        <w:rPr>
          <w:rFonts w:hint="eastAsia" w:ascii="仿宋" w:hAnsi="仿宋" w:eastAsia="仿宋" w:cs="仿宋"/>
          <w:sz w:val="32"/>
          <w:szCs w:val="32"/>
        </w:rPr>
        <w:t>2024年，在县委、县政府的正确领导下，坚持以习近平新时代中国特色社会主义思想为指导，全面贯彻落实党中央、国务院和省、市、县决策部署，围绕县委、县政府中心工作，把旅游业作为推动县域经济高质量发展的重要抓手和重要载体，坚持文化旅游事业和产业同步发展，较好地完成了既定的各项工作任务。</w:t>
      </w:r>
      <w:r>
        <w:rPr>
          <w:rFonts w:hint="eastAsia" w:ascii="楷体" w:hAnsi="楷体" w:eastAsia="楷体" w:cs="楷体"/>
          <w:sz w:val="32"/>
          <w:szCs w:val="32"/>
        </w:rPr>
        <w:t>一是引领文旅融合发展新潮流。</w:t>
      </w:r>
      <w:r>
        <w:rPr>
          <w:rFonts w:hint="eastAsia" w:ascii="仿宋_GB2312" w:hAnsi="仿宋_GB2312" w:eastAsia="仿宋_GB2312" w:cs="仿宋_GB2312"/>
          <w:sz w:val="32"/>
          <w:szCs w:val="32"/>
        </w:rPr>
        <w:t>文旅深度融合，新场景基本建成；发展夜间文化旅游，丰富夜间消费场景；乡村旅游成效突显；宣传营销有效，品牌内涵更加丰富；市场快速拓展，综合效益显著提升。</w:t>
      </w:r>
      <w:r>
        <w:rPr>
          <w:rFonts w:hint="eastAsia" w:ascii="楷体" w:hAnsi="楷体" w:eastAsia="楷体" w:cs="楷体"/>
          <w:sz w:val="32"/>
          <w:szCs w:val="32"/>
        </w:rPr>
        <w:t>二是推动文化事业取得新成效。</w:t>
      </w:r>
      <w:r>
        <w:rPr>
          <w:rFonts w:hint="eastAsia" w:ascii="仿宋_GB2312" w:hAnsi="仿宋_GB2312" w:eastAsia="仿宋_GB2312" w:cs="仿宋_GB2312"/>
          <w:sz w:val="32"/>
          <w:szCs w:val="32"/>
        </w:rPr>
        <w:t>实施文化惠民工程，丰富群众精神文化生活，文化惠民演出、“四季村晚”、“彩色周末”三百多场；健全公共文化服务体系，提升公共文化服务效能。县级公共图书馆、文化馆、乡镇综合文化站、村（社区）综合性文化服务中心均已达标；积极打造正定文化品牌，承办了全国古城过大年、全国鼓王大会等国家、省级大型群众文化活动，鼓王争霸赛、民间艺术节、正定夜巡游等节庆文化品牌越来越响亮；打造“旅游+非遗”的新业态，开展非遗进景区、非遗项目展演、培训等，真正实现“人民的非遗人民共享”。</w:t>
      </w:r>
      <w:r>
        <w:rPr>
          <w:rFonts w:hint="eastAsia" w:ascii="楷体" w:hAnsi="楷体" w:eastAsia="楷体" w:cs="楷体"/>
          <w:sz w:val="32"/>
          <w:szCs w:val="32"/>
        </w:rPr>
        <w:t>三是续写文物保护工作新篇章。</w:t>
      </w:r>
      <w:r>
        <w:rPr>
          <w:rFonts w:hint="eastAsia" w:ascii="仿宋_GB2312" w:hAnsi="仿宋_GB2312" w:eastAsia="仿宋_GB2312" w:cs="仿宋_GB2312"/>
          <w:sz w:val="32"/>
          <w:szCs w:val="32"/>
        </w:rPr>
        <w:t>《正定城墙保护规划（2021-2035年）》由河北省人民政府办公厅批准并公布实施；新增广济桥、小客烈士陵园、新城铺烈士纪念碑、邵同村石碑4处不可移动文物为第四批县保单位；推荐荣国府等四处申报第七批省级文物保护单位；完成并由县人民政府公布《正定县人民政府关于进一步加强正定县革命文物保护利用工作实施方案》；有序开展第四次全国文物普查工作，新发现不可以移动文物15处；隆兴寺大悲阁及其东西耳阁保护工程顺利开工、完成开元寺南侧新发掘考古遗址保护性设施建设项目设计招标工作、谋划开展正定城墙北城墙和东城墙北段现状保护修缮项目、正定城墙西城墙北段遗址保护修缮项目。</w:t>
      </w:r>
      <w:r>
        <w:rPr>
          <w:rFonts w:hint="eastAsia" w:ascii="楷体" w:hAnsi="楷体" w:eastAsia="楷体" w:cs="楷体"/>
          <w:sz w:val="32"/>
          <w:szCs w:val="32"/>
        </w:rPr>
        <w:t>四是实现体育事业再创新佳绩。</w:t>
      </w:r>
      <w:r>
        <w:rPr>
          <w:rFonts w:hint="eastAsia" w:ascii="仿宋_GB2312" w:hAnsi="仿宋_GB2312" w:eastAsia="仿宋_GB2312" w:cs="仿宋_GB2312"/>
          <w:sz w:val="32"/>
          <w:szCs w:val="32"/>
        </w:rPr>
        <w:t>健全体育设施，完成提升标准化体育公园1个、建设更新行政村（社区）新型健身器材1处、建设多功能运动场1个、百姓健身房1个；举办元旦长跑、</w:t>
      </w:r>
      <w:r>
        <w:rPr>
          <w:rFonts w:ascii="仿宋_GB2312" w:hAnsi="仿宋_GB2312" w:eastAsia="仿宋_GB2312" w:cs="仿宋_GB2312"/>
          <w:sz w:val="32"/>
          <w:szCs w:val="32"/>
        </w:rPr>
        <w:t>篮球赛</w:t>
      </w:r>
      <w:r>
        <w:rPr>
          <w:rFonts w:hint="eastAsia" w:ascii="仿宋_GB2312" w:hAnsi="仿宋_GB2312" w:eastAsia="仿宋_GB2312" w:cs="仿宋_GB2312"/>
          <w:sz w:val="32"/>
          <w:szCs w:val="32"/>
        </w:rPr>
        <w:t>、足球赛、羽毛球赛等各类体育赛事，推进体旅融合发展。</w:t>
      </w:r>
      <w:r>
        <w:rPr>
          <w:rFonts w:hint="eastAsia" w:ascii="楷体" w:hAnsi="楷体" w:eastAsia="楷体" w:cs="楷体"/>
          <w:sz w:val="32"/>
          <w:szCs w:val="32"/>
        </w:rPr>
        <w:t>五是适应重点工作发展新常态。</w:t>
      </w:r>
      <w:r>
        <w:rPr>
          <w:rFonts w:hint="eastAsia" w:ascii="仿宋_GB2312" w:hAnsi="仿宋_GB2312" w:eastAsia="仿宋_GB2312" w:cs="仿宋_GB2312"/>
          <w:sz w:val="32"/>
          <w:szCs w:val="32"/>
        </w:rPr>
        <w:t>做好广电工作，确保广播电视安全播出；扎实推进境外电视传播秩序和非法卫星电视接收设施整治工作；尽心竭力做好安全生产工作。牢固树立安全发展理念，以重大安全隐患排查治理贯穿全年工作，营造安全稳定、欢乐祥和的文化旅游环境；坚持不懈维系文旅市场健康有序发展。严格市场监管，加强旅游景区、旅行社检查力度以及电竞酒店、网吧、游戏厅和娱乐场所的监管，严查大型营业性演出活动市场以及出版物、印刷企业、书店等侵权盗版行为，查处未成年人进入电竞酒店案件1起、娱乐场所违规经营1起，现场处置游乐园兼营游艺游戏设备未备案1起，发行单位邮寄、储存非法出版物1起，现场整改违规书店1家。</w:t>
      </w:r>
    </w:p>
    <w:p w14:paraId="155A511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C3B4D8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旅游发展方面。涉及3个项目，分别是:公共自行车、电动观光车运营管理经费；正定游客服务中心、城隍庙运营费用；2023年“十佳旅游名县”奖补资金。2024年共投入公共自行车、电动观光车运营车辆840辆，极大方便了游客在景点之间转移，受到游客一致好评。成功获评河北省“十佳旅游名县”，先后开展了春季文旅系列活动推介、古城趣玩、百家旅行商邀约、旅游数据服务、“我在正定”宣传短剧、微信公众号运营、中秋国庆巡游等活动，提高了正定旅游业服务水平，丰富了我县旅游产品内容，优化了旅游环境，正定旅游知名度进一步得到提升。正定城隍庙亮化正常运转，美化了景区环境，更好的服务了来正游客。上述项目中运营任务完成率、月均运营成本、提升公共服务能力、高质量旅游产品、旅游接待人次增长率和年旅游收入增长率、供电保障面积、亮化效果、财政资金拨付及时率、月均运营成本、接待人次、满意度等指标均达到预期目标。</w:t>
      </w:r>
    </w:p>
    <w:p w14:paraId="0AD87C6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县文联业务方面。涉及4个项目，分别是：文联书法经费；文联业务经费书法经费；文联文艺繁荣奖；文联业务经费。2024年先后组织56名文艺爱好者加入中国楹联学会、中华诗词学会等国家级协会，截至目前，我县各协会共有国家级会员总数已达100人。成功打造正定“文艺繁荣奖”“海棠诗会”“同题诗创作”三大文化品牌：连续20年评选“文艺繁荣奖”，发现培养文艺人才1000余人；连续九年举办“海棠诗会”，受众30000余人次；连续7年举办“同题诗创作”459期（2024年组织29期），发表诗词曲、文章、赏析、评论14000篇（2024年发表1200篇）。举办各类文艺演出等活动177项（次），惠及群众50万人次。上述项目中举办活动次数、作品推介及宣传活动完成率、观众增长率、参与评选人次、文艺服务水平提升情况、群众满意度等指标均达到预期目标。</w:t>
      </w:r>
    </w:p>
    <w:p w14:paraId="51E7E3F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公共文化服务方面。涉及12个项目，分别是:三馆一站免费开放各级补助资金、2023年中央补助地方公服资金、卫星数字农家书屋信息服务费、2024年国家非物质文化遗产保护资金、2024年省级非物质文化遗产保护专项资金、2024年市级非物质文化遗产保护专项资金、2023年市级非物质文化遗产保护专项资金、2023年中央非物质文化遗产保护资金、图书馆免费开放工作经费及图书购置费、常山影剧院财政补贴资金、电影放映厅建设资金、河北梆子剧团事业费。2024年实施文化惠民工程，开展阳和楼常态演出、“四季村晚”示范性展示、“彩色周末”等各类惠民演出269场，惠及15万人次。积极建设完善公共文化服务设施，努力提升公共文化服务效能，为市民游客提供多种服务。县级公共图书馆、文化馆，11个乡镇综合文化站，198个村（社区）综合性文化服务中心全部达标。县文化馆开设声乐、舞蹈、书画等免费培训课程，全年累计培训学员1000余人次；开展文艺辅导60余次；深入乡镇、社区，组织举办60余场文艺演出，服务观众12000余人次。举办了正定县2024年迎春书画展、“清风廉韵”廉政文化书画展、首届正定县青少年书画大赛等展览。县图书馆全年接待读者29.2万人次，借阅图书21.6万册次。举办线上线下全民阅读及各种阅读宣传活动共120余场。春节灯谜竞猜、“4.23”世界读书日系列宣传活动、“阅读达人”评选表彰、“这么近，那么美，周末到河北——跟着课本游河北”第20届燕赵少年读书、经典阅读亲子系列等活动、讲座、展览等深受群众喜爱。积极打造正定文化品牌，承办了全国古城过大年、全国鼓王大会等国家、鼓王争霸赛、民间艺术节、正定夜巡游、“这么近，那么美，周末到河北”——2024“5·19中国旅游日”河北融媒大直播等活动，节庆文化品牌越来越响亮；常山影剧院新改建电影放映厅一个，提升了群众观影体验；打造“旅游+非遗”的新业态，开展非遗进景区、非遗项目展演、培训等，真正实现“人民的非遗人民共享”。</w:t>
      </w:r>
    </w:p>
    <w:p w14:paraId="1EDEF7F6">
      <w:pPr>
        <w:numPr>
          <w:ilvl w:val="0"/>
          <w:numId w:val="0"/>
        </w:numPr>
        <w:rPr>
          <w:rFonts w:hint="eastAsia" w:ascii="楷体" w:hAnsi="楷体" w:eastAsia="楷体" w:cs="楷体"/>
          <w:color w:val="FF0000"/>
          <w:sz w:val="32"/>
          <w:szCs w:val="32"/>
          <w:lang w:val="en-US" w:eastAsia="zh-CN"/>
        </w:rPr>
      </w:pPr>
      <w:r>
        <w:rPr>
          <w:rFonts w:hint="eastAsia" w:ascii="楷体" w:hAnsi="楷体" w:eastAsia="楷体" w:cs="楷体"/>
          <w:color w:val="FF0000"/>
          <w:sz w:val="32"/>
          <w:szCs w:val="32"/>
          <w:lang w:val="en-US" w:eastAsia="zh-CN"/>
        </w:rPr>
        <w:t xml:space="preserve">    </w:t>
      </w:r>
      <w:r>
        <w:rPr>
          <w:rFonts w:hint="eastAsia" w:ascii="仿宋" w:hAnsi="仿宋" w:eastAsia="仿宋" w:cs="仿宋"/>
          <w:color w:val="auto"/>
          <w:sz w:val="32"/>
          <w:szCs w:val="32"/>
          <w:lang w:val="en-US" w:eastAsia="zh-CN"/>
        </w:rPr>
        <w:t>以上项目的实施，保障了广大群众享受基本公共文化服务，丰富了全县人民精神文化生活，促进了文化事业发展。各项目均较好的完成了预期目标。</w:t>
      </w:r>
    </w:p>
    <w:p w14:paraId="551240E1">
      <w:pPr>
        <w:numPr>
          <w:ilvl w:val="0"/>
          <w:numId w:val="0"/>
        </w:numPr>
        <w:ind w:firstLine="640" w:firstLineChars="200"/>
        <w:rPr>
          <w:rFonts w:hint="eastAsia" w:ascii="楷体" w:hAnsi="楷体" w:eastAsia="楷体" w:cs="楷体"/>
          <w:color w:val="FF0000"/>
          <w:sz w:val="32"/>
          <w:szCs w:val="32"/>
          <w:lang w:val="en-US" w:eastAsia="zh-CN"/>
        </w:rPr>
      </w:pPr>
      <w:r>
        <w:rPr>
          <w:rFonts w:hint="eastAsia" w:ascii="仿宋" w:hAnsi="仿宋" w:eastAsia="仿宋" w:cs="仿宋"/>
          <w:color w:val="auto"/>
          <w:sz w:val="32"/>
          <w:szCs w:val="32"/>
          <w:lang w:val="en-US" w:eastAsia="zh-CN"/>
        </w:rPr>
        <w:t>4、文物保护方面。涉及6个项目，分别是:城墙内侧租地费、东外环护城河延伸与环境整治工程租地费、正定县部分文保单位附属建筑维修工程、开元寺南广场遗址大棚建设、正定古城保护宣传展示资金、景区运营费。对天宁寺、隆兴寺、开元寺等文保单位票房、厕所、围墙、大门等附属建筑进行了加固、维修、油饰等，</w:t>
      </w:r>
      <w:r>
        <w:rPr>
          <w:rFonts w:hint="eastAsia" w:ascii="仿宋" w:hAnsi="仿宋" w:eastAsia="仿宋" w:cs="仿宋"/>
          <w:color w:val="auto"/>
          <w:sz w:val="32"/>
          <w:szCs w:val="32"/>
          <w:lang w:val="zh-CN" w:eastAsia="zh-CN"/>
        </w:rPr>
        <w:t>排除建筑安全隐患，提升文物景区形象，促进</w:t>
      </w:r>
      <w:r>
        <w:rPr>
          <w:rFonts w:hint="eastAsia" w:ascii="仿宋" w:hAnsi="仿宋" w:eastAsia="仿宋" w:cs="仿宋"/>
          <w:color w:val="auto"/>
          <w:sz w:val="32"/>
          <w:szCs w:val="32"/>
          <w:lang w:val="en-US" w:eastAsia="zh-CN"/>
        </w:rPr>
        <w:t>了</w:t>
      </w:r>
      <w:r>
        <w:rPr>
          <w:rFonts w:hint="eastAsia" w:ascii="仿宋" w:hAnsi="仿宋" w:eastAsia="仿宋" w:cs="仿宋"/>
          <w:color w:val="auto"/>
          <w:sz w:val="32"/>
          <w:szCs w:val="32"/>
          <w:lang w:val="zh-CN" w:eastAsia="zh-CN"/>
        </w:rPr>
        <w:t>旅游发展。</w:t>
      </w:r>
      <w:r>
        <w:rPr>
          <w:rFonts w:hint="eastAsia" w:ascii="仿宋" w:hAnsi="仿宋" w:eastAsia="仿宋" w:cs="仿宋"/>
          <w:color w:val="auto"/>
          <w:sz w:val="32"/>
          <w:szCs w:val="32"/>
          <w:lang w:val="en-US" w:eastAsia="zh-CN"/>
        </w:rPr>
        <w:t>对各文物保护单位进行日常安全保卫，文物景区日常运营修缮维护，排除了安全隐患。举办正定古城灯会，吸引了众多游客，提升了正定古城的知名度和美誉度。支付四合街、东门里两村城墙内侧、东外环护城河延伸与环境整治工程租地费，为做好城墙保护工作打下良好基础。建设了开元寺南广场考古遗址大棚，保护了地下遗址，促进了考古工作的推进。以上项目各指标完成良好，自评结果均为优秀。</w:t>
      </w:r>
    </w:p>
    <w:p w14:paraId="4117961B">
      <w:pPr>
        <w:numPr>
          <w:ilvl w:val="0"/>
          <w:numId w:val="0"/>
        </w:num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体育工作方面。涉及4个项目，分别是公共体育场馆向社会免费或低收费开放补助资金、省级体育彩票公益金专项资金、全民健身器材补短板工程、老年人体育活动经费。2024年度，实施全民健身器材补短板工程，先后在迎旭体育公园建设五人制足球场1个，篮球场2个，二代智能健身器材12件，适儿化场地设施1处，步行骑行综合道1条；在太平庄村新建二代智能健身器材10件；新建多功能运动场1处；新建百姓健身房1处；更新二代健身器材24处。继续推进全民健身活动中心免费、低收费开放，全年累计接待运功人次11.3万，免费开放时长达1872小时。积极开展老年人体育健身活动，多次参加省市体育比赛、健身培训，开展老年人健身舞展演展示等活动，展现了我县老年人的良好心态和健康风采。上述各项目预期指标完成良好，自评结果均为优秀。</w:t>
      </w:r>
    </w:p>
    <w:p w14:paraId="14E54476">
      <w:pPr>
        <w:numPr>
          <w:ilvl w:val="0"/>
          <w:numId w:val="0"/>
        </w:num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其他方面。涉及3个项目，分别是残疾人保障金、机关事业单位离退休人员一次性丧葬补助金、退休人员（文保所、常山影剧院、梆子剧团、电影公司）统筹外待遇。补缴2021、2022年度残疾人保障金，促进了残疾人事业发展。发放一次性丧葬补助4人，保障了遗属生活。 按时按质完成退休人员统筹外各项待遇的审批、发放等工作，保障了退休人员生活待遇，受到广大退休人员一致好评。上述各项目预期指标完成良好，自评结果均为优秀。</w:t>
      </w:r>
    </w:p>
    <w:p w14:paraId="22B54AB1">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四、评价结论和评价等级</w:t>
      </w:r>
    </w:p>
    <w:p w14:paraId="1639B35E">
      <w:pPr>
        <w:autoSpaceDE w:val="0"/>
        <w:autoSpaceDN w:val="0"/>
        <w:ind w:firstLine="64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sz w:val="32"/>
          <w:szCs w:val="32"/>
        </w:rPr>
        <w:t>我部门列入202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年度绩效自评的项目共</w:t>
      </w:r>
      <w:r>
        <w:rPr>
          <w:rFonts w:hint="eastAsia" w:ascii="仿宋" w:hAnsi="仿宋" w:eastAsia="仿宋" w:cs="仿宋"/>
          <w:color w:val="auto"/>
          <w:sz w:val="32"/>
          <w:szCs w:val="32"/>
          <w:lang w:val="en-US" w:eastAsia="zh-CN"/>
        </w:rPr>
        <w:t>32</w:t>
      </w:r>
      <w:r>
        <w:rPr>
          <w:rFonts w:hint="eastAsia" w:ascii="仿宋" w:hAnsi="仿宋" w:eastAsia="仿宋" w:cs="仿宋"/>
          <w:color w:val="auto"/>
          <w:sz w:val="32"/>
          <w:szCs w:val="32"/>
        </w:rPr>
        <w:t>个，预算资金总额</w:t>
      </w:r>
      <w:r>
        <w:rPr>
          <w:rFonts w:hint="eastAsia" w:ascii="仿宋" w:hAnsi="仿宋" w:eastAsia="仿宋" w:cs="仿宋"/>
          <w:color w:val="auto"/>
          <w:sz w:val="32"/>
          <w:szCs w:val="32"/>
          <w:lang w:val="en-US" w:eastAsia="zh-CN"/>
        </w:rPr>
        <w:t>2947.666957</w:t>
      </w:r>
      <w:r>
        <w:rPr>
          <w:rFonts w:hint="eastAsia" w:ascii="仿宋" w:hAnsi="仿宋" w:eastAsia="仿宋" w:cs="仿宋"/>
          <w:color w:val="auto"/>
          <w:sz w:val="32"/>
          <w:szCs w:val="32"/>
        </w:rPr>
        <w:t>万元，</w:t>
      </w:r>
      <w:r>
        <w:rPr>
          <w:rFonts w:hint="eastAsia" w:ascii="仿宋" w:hAnsi="仿宋" w:eastAsia="仿宋" w:cs="仿宋"/>
          <w:color w:val="auto"/>
          <w:sz w:val="32"/>
          <w:szCs w:val="32"/>
          <w:lang w:val="en-US" w:eastAsia="zh-CN"/>
        </w:rPr>
        <w:t>其中：财政资金2177.706957万元；单位资金769.96万元。</w:t>
      </w:r>
      <w:r>
        <w:rPr>
          <w:rFonts w:hint="eastAsia" w:ascii="仿宋" w:hAnsi="仿宋" w:eastAsia="仿宋" w:cs="仿宋"/>
          <w:color w:val="auto"/>
          <w:sz w:val="32"/>
          <w:szCs w:val="32"/>
        </w:rPr>
        <w:t>资金到位数</w:t>
      </w:r>
      <w:r>
        <w:rPr>
          <w:rFonts w:hint="eastAsia" w:ascii="仿宋" w:hAnsi="仿宋" w:eastAsia="仿宋" w:cs="仿宋"/>
          <w:color w:val="auto"/>
          <w:sz w:val="32"/>
          <w:szCs w:val="32"/>
          <w:lang w:val="en-US" w:eastAsia="zh-CN"/>
        </w:rPr>
        <w:t>2947.666957</w:t>
      </w:r>
      <w:r>
        <w:rPr>
          <w:rFonts w:hint="eastAsia" w:ascii="仿宋" w:hAnsi="仿宋" w:eastAsia="仿宋" w:cs="仿宋"/>
          <w:color w:val="auto"/>
          <w:sz w:val="32"/>
          <w:szCs w:val="32"/>
        </w:rPr>
        <w:t>万元，资金到位率</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预算执行数2943.866957万元，预算执行率99.87 %。本次共完成绩效自评项目32个，自评平均得分为98.88分，项目综合绩效评价等级为优秀的项目32个，占比100%。</w:t>
      </w:r>
      <w:bookmarkStart w:id="1" w:name="_GoBack"/>
      <w:bookmarkEnd w:id="1"/>
    </w:p>
    <w:p w14:paraId="6B4CAC17">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五、存在的问题及改进措施</w:t>
      </w:r>
    </w:p>
    <w:p w14:paraId="629D7FDC">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b/>
          <w:bCs/>
          <w:color w:val="auto"/>
          <w:sz w:val="32"/>
          <w:szCs w:val="32"/>
        </w:rPr>
      </w:pPr>
      <w:r>
        <w:rPr>
          <w:rFonts w:hint="eastAsia" w:ascii="仿宋" w:hAnsi="仿宋" w:eastAsia="仿宋"/>
          <w:b/>
          <w:bCs/>
          <w:color w:val="auto"/>
          <w:sz w:val="32"/>
          <w:szCs w:val="32"/>
        </w:rPr>
        <w:t>（一）存在的主要问题</w:t>
      </w:r>
    </w:p>
    <w:p w14:paraId="5482A6F8">
      <w:pPr>
        <w:autoSpaceDE w:val="0"/>
        <w:autoSpaceDN w:val="0"/>
        <w:ind w:firstLine="64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 xml:space="preserve"> 通过绩效自评结果与年初绩效目标设定情况对比发现，多数项目绩效目标设定较清晰准确，评价指标体系具有较好的合理性，绩效标准相对恰当适宜，易于评价。但同时也存在个别项目评价指标不够细化，共性指标多，个性指标少，个别指标预期值与实际值偏差较大等缺陷，在绩效指标全面性、完整性、科学性等方面还有所欠缺，有待完善。</w:t>
      </w:r>
    </w:p>
    <w:p w14:paraId="0BE6F9F6">
      <w:pPr>
        <w:autoSpaceDE w:val="0"/>
        <w:autoSpaceDN w:val="0"/>
        <w:ind w:firstLine="640"/>
        <w:rPr>
          <w:rFonts w:hint="eastAsia" w:ascii="仿宋" w:hAnsi="仿宋" w:eastAsia="仿宋"/>
          <w:b/>
          <w:bCs/>
          <w:color w:val="auto"/>
          <w:sz w:val="32"/>
          <w:szCs w:val="32"/>
        </w:rPr>
      </w:pPr>
      <w:r>
        <w:rPr>
          <w:rFonts w:hint="eastAsia" w:ascii="仿宋" w:hAnsi="仿宋" w:eastAsia="仿宋" w:cs="Times New Roman"/>
          <w:b/>
          <w:bCs/>
          <w:color w:val="auto"/>
          <w:sz w:val="32"/>
          <w:szCs w:val="32"/>
          <w:lang w:val="en-US" w:eastAsia="zh-CN"/>
        </w:rPr>
        <w:t>（二）</w:t>
      </w:r>
      <w:r>
        <w:rPr>
          <w:rFonts w:hint="eastAsia" w:ascii="仿宋" w:hAnsi="仿宋" w:eastAsia="仿宋"/>
          <w:b/>
          <w:bCs/>
          <w:color w:val="auto"/>
          <w:sz w:val="32"/>
          <w:szCs w:val="32"/>
        </w:rPr>
        <w:t>针对问题提出具体的改进措施或建议</w:t>
      </w:r>
    </w:p>
    <w:p w14:paraId="74161E39">
      <w:pPr>
        <w:numPr>
          <w:ilvl w:val="0"/>
          <w:numId w:val="0"/>
        </w:num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在今后的工作中，我局主要在以下方面进行整改:一是加强项目预算绩效培训，强化“成本效益”意识和“花钱必问效，无效必问责”理念，增强业务及财务人员绩效意识。二是强化预算项目事前绩效评价，在编制项目预算前期进行科学论证、评价、力争各绩效指标科学合理、全面完整、既突出项目特点，又易于评价。三是加强项目实施进程监督管理，督促推进各项目按进度安排，取得相应成果完成阶段性绩效目标。四是加快项目支出管理，提高预算执行率。财务与业务部门进一步加强沟通和配合，及时推进项目实施，调整整合资金项目，规范经费支出，切实提高预算资金的执行率。五是加强与财政等部门的沟通联系，在资金安排拨付，绩效评价开展等方面给予指导和培训。六是加强自评结果应用，参照本年评价情况，并结合项目实际，及时调整2025年度预算项目。同时，在安排2026项目预算时将绩效自评结果作为重要参考依据。</w:t>
      </w:r>
    </w:p>
    <w:p w14:paraId="426FC694">
      <w:pPr>
        <w:numPr>
          <w:ilvl w:val="0"/>
          <w:numId w:val="0"/>
        </w:numPr>
        <w:ind w:firstLine="640" w:firstLineChars="200"/>
        <w:rPr>
          <w:rFonts w:hint="eastAsia" w:ascii="仿宋" w:hAnsi="仿宋" w:eastAsia="仿宋" w:cs="仿宋"/>
          <w:color w:val="auto"/>
          <w:sz w:val="32"/>
          <w:szCs w:val="32"/>
          <w:lang w:val="en-US" w:eastAsia="zh-CN"/>
        </w:rPr>
      </w:pPr>
    </w:p>
    <w:p w14:paraId="4D800D25">
      <w:pPr>
        <w:numPr>
          <w:ilvl w:val="0"/>
          <w:numId w:val="0"/>
        </w:numPr>
        <w:ind w:firstLine="640" w:firstLineChars="200"/>
        <w:jc w:val="right"/>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2025年7月28日</w:t>
      </w:r>
    </w:p>
    <w:p w14:paraId="589B88A1">
      <w:pPr>
        <w:numPr>
          <w:ilvl w:val="0"/>
          <w:numId w:val="0"/>
        </w:numPr>
        <w:ind w:firstLine="640" w:firstLineChars="200"/>
        <w:rPr>
          <w:rFonts w:hint="eastAsia" w:ascii="仿宋" w:hAnsi="仿宋" w:eastAsia="仿宋" w:cs="仿宋"/>
          <w:color w:val="auto"/>
          <w:sz w:val="32"/>
          <w:szCs w:val="32"/>
          <w:lang w:val="en-US" w:eastAsia="zh-CN"/>
        </w:rPr>
      </w:pPr>
    </w:p>
    <w:p w14:paraId="35F8C06D">
      <w:pPr>
        <w:autoSpaceDE w:val="0"/>
        <w:autoSpaceDN w:val="0"/>
        <w:ind w:firstLine="640"/>
        <w:rPr>
          <w:rFonts w:hint="eastAsia" w:ascii="仿宋" w:hAnsi="仿宋" w:eastAsia="仿宋" w:cs="仿宋"/>
          <w:color w:val="auto"/>
          <w:kern w:val="2"/>
          <w:sz w:val="32"/>
          <w:szCs w:val="32"/>
          <w:lang w:val="en-US" w:eastAsia="zh-CN" w:bidi="ar-SA"/>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swiss"/>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swiss"/>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C41DE">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00622F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00622F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yNjhjN2Q1Y2VjOGEzYjU0MmZkNzRlNmRhZWEyNj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0D747A"/>
    <w:rsid w:val="02106AB0"/>
    <w:rsid w:val="02B43A28"/>
    <w:rsid w:val="046F331E"/>
    <w:rsid w:val="04F64013"/>
    <w:rsid w:val="07956271"/>
    <w:rsid w:val="09721397"/>
    <w:rsid w:val="0B0B0DFD"/>
    <w:rsid w:val="0B6550B8"/>
    <w:rsid w:val="0BB63BED"/>
    <w:rsid w:val="0EB97A43"/>
    <w:rsid w:val="0EBD2122"/>
    <w:rsid w:val="0F214EAE"/>
    <w:rsid w:val="11B71E6A"/>
    <w:rsid w:val="14EE0368"/>
    <w:rsid w:val="17DA2655"/>
    <w:rsid w:val="1AAF0063"/>
    <w:rsid w:val="1ADB5375"/>
    <w:rsid w:val="1BBB45CD"/>
    <w:rsid w:val="1BE140DE"/>
    <w:rsid w:val="1BF546EF"/>
    <w:rsid w:val="1C0306F4"/>
    <w:rsid w:val="1D6D0123"/>
    <w:rsid w:val="1DCF09F3"/>
    <w:rsid w:val="1E553F4E"/>
    <w:rsid w:val="248C197D"/>
    <w:rsid w:val="252959AF"/>
    <w:rsid w:val="2539485F"/>
    <w:rsid w:val="277A6671"/>
    <w:rsid w:val="27C82116"/>
    <w:rsid w:val="29094B16"/>
    <w:rsid w:val="292D35B7"/>
    <w:rsid w:val="2A307F53"/>
    <w:rsid w:val="2E06323D"/>
    <w:rsid w:val="2E6E0227"/>
    <w:rsid w:val="33EB6CFF"/>
    <w:rsid w:val="34B82C73"/>
    <w:rsid w:val="35A12947"/>
    <w:rsid w:val="37387040"/>
    <w:rsid w:val="380522C4"/>
    <w:rsid w:val="38ED1B4B"/>
    <w:rsid w:val="3B1C38C8"/>
    <w:rsid w:val="3B625C0A"/>
    <w:rsid w:val="3CEE1963"/>
    <w:rsid w:val="3DBF1B05"/>
    <w:rsid w:val="40786601"/>
    <w:rsid w:val="42D81056"/>
    <w:rsid w:val="43042694"/>
    <w:rsid w:val="436B78D3"/>
    <w:rsid w:val="44CB45A0"/>
    <w:rsid w:val="47414FB0"/>
    <w:rsid w:val="4A830BD7"/>
    <w:rsid w:val="4C9C27FE"/>
    <w:rsid w:val="512260B4"/>
    <w:rsid w:val="52BD6ACB"/>
    <w:rsid w:val="53AC29B3"/>
    <w:rsid w:val="550F1D53"/>
    <w:rsid w:val="55537534"/>
    <w:rsid w:val="561A74F1"/>
    <w:rsid w:val="563E2F73"/>
    <w:rsid w:val="566C0126"/>
    <w:rsid w:val="57C17B91"/>
    <w:rsid w:val="594A3EE1"/>
    <w:rsid w:val="597244E8"/>
    <w:rsid w:val="5A6956C3"/>
    <w:rsid w:val="5BFC74F4"/>
    <w:rsid w:val="5EB71C30"/>
    <w:rsid w:val="5FB5188F"/>
    <w:rsid w:val="60AA72F6"/>
    <w:rsid w:val="60BE3BD6"/>
    <w:rsid w:val="61D04EA0"/>
    <w:rsid w:val="66AF0CE5"/>
    <w:rsid w:val="69140E8F"/>
    <w:rsid w:val="696E342C"/>
    <w:rsid w:val="6A872166"/>
    <w:rsid w:val="6AC537CF"/>
    <w:rsid w:val="6B8256EE"/>
    <w:rsid w:val="6E5B14A6"/>
    <w:rsid w:val="6EA156E3"/>
    <w:rsid w:val="711B255E"/>
    <w:rsid w:val="753D175A"/>
    <w:rsid w:val="7BB51E06"/>
    <w:rsid w:val="7C311EC6"/>
    <w:rsid w:val="7C387F7C"/>
    <w:rsid w:val="7F250EC5"/>
    <w:rsid w:val="7FE17456"/>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Normal Indent"/>
    <w:basedOn w:val="1"/>
    <w:qFormat/>
    <w:uiPriority w:val="0"/>
    <w:pPr>
      <w:spacing w:line="360" w:lineRule="auto"/>
      <w:ind w:firstLine="420" w:firstLineChars="200"/>
    </w:pPr>
    <w:rPr>
      <w:rFonts w:eastAsia="仿宋_GB2312"/>
      <w:sz w:val="28"/>
    </w:rPr>
  </w:style>
  <w:style w:type="paragraph" w:styleId="3">
    <w:name w:val="Body Text Indent"/>
    <w:basedOn w:val="1"/>
    <w:next w:val="4"/>
    <w:autoRedefine/>
    <w:qFormat/>
    <w:uiPriority w:val="0"/>
    <w:pPr>
      <w:spacing w:after="120"/>
      <w:ind w:left="420" w:leftChars="200"/>
    </w:pPr>
  </w:style>
  <w:style w:type="paragraph" w:styleId="4">
    <w:name w:val="toc 4"/>
    <w:basedOn w:val="1"/>
    <w:next w:val="1"/>
    <w:qFormat/>
    <w:uiPriority w:val="0"/>
    <w:pPr>
      <w:ind w:left="1260" w:leftChars="600"/>
    </w:pPr>
    <w:rPr>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Normal (Web)"/>
    <w:basedOn w:val="1"/>
    <w:qFormat/>
    <w:uiPriority w:val="0"/>
    <w:pPr>
      <w:jc w:val="both"/>
    </w:pPr>
    <w:rPr>
      <w:rFonts w:ascii="Calibri" w:hAnsi="Calibri" w:eastAsia="宋体" w:cs="Times New Roman"/>
      <w:kern w:val="2"/>
      <w:sz w:val="24"/>
      <w:szCs w:val="24"/>
      <w:lang w:val="en-US" w:bidi="ar-SA"/>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HTML Address"/>
    <w:basedOn w:val="1"/>
    <w:qFormat/>
    <w:uiPriority w:val="0"/>
    <w:rPr>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8714</Words>
  <Characters>9036</Characters>
  <Lines>4</Lines>
  <Paragraphs>1</Paragraphs>
  <TotalTime>0</TotalTime>
  <ScaleCrop>false</ScaleCrop>
  <LinksUpToDate>false</LinksUpToDate>
  <CharactersWithSpaces>9072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雨中花曼</cp:lastModifiedBy>
  <cp:lastPrinted>2024-03-06T07:40:00Z</cp:lastPrinted>
  <dcterms:modified xsi:type="dcterms:W3CDTF">2025-11-17T06:20:26Z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21CBBF74EEDB4EB3812F1F9FFAC23D58_13</vt:lpwstr>
  </property>
  <property fmtid="{D5CDD505-2E9C-101B-9397-08002B2CF9AE}" pid="4" name="KSOTemplateDocerSaveRecord">
    <vt:lpwstr>eyJoZGlkIjoiMDEyNjhjN2Q1Y2VjOGEzYjU0MmZkNzRlNmRhZWEyNjQiLCJ1c2VySWQiOiI1MDIzNTkwOTYifQ==</vt:lpwstr>
  </property>
</Properties>
</file>