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3A03C4">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center"/>
        <w:textAlignment w:val="auto"/>
        <w:outlineLvl w:val="9"/>
        <w:rPr>
          <w:rFonts w:hint="eastAsia" w:asciiTheme="majorEastAsia" w:hAnsiTheme="majorEastAsia" w:eastAsiaTheme="majorEastAsia" w:cstheme="majorEastAsia"/>
          <w:b/>
          <w:bCs/>
          <w:i w:val="0"/>
          <w:iCs w:val="0"/>
          <w:caps w:val="0"/>
          <w:color w:val="000000"/>
          <w:spacing w:val="0"/>
          <w:sz w:val="44"/>
          <w:szCs w:val="44"/>
          <w:shd w:val="clear" w:fill="FFFFFF"/>
        </w:rPr>
      </w:pPr>
      <w:r>
        <w:rPr>
          <w:rFonts w:hint="eastAsia" w:asciiTheme="majorEastAsia" w:hAnsiTheme="majorEastAsia" w:eastAsiaTheme="majorEastAsia" w:cstheme="majorEastAsia"/>
          <w:b/>
          <w:bCs/>
          <w:i w:val="0"/>
          <w:iCs w:val="0"/>
          <w:caps w:val="0"/>
          <w:color w:val="000000"/>
          <w:spacing w:val="0"/>
          <w:sz w:val="44"/>
          <w:szCs w:val="44"/>
          <w:shd w:val="clear" w:fill="FFFFFF"/>
        </w:rPr>
        <w:t>正定县</w:t>
      </w:r>
      <w:r>
        <w:rPr>
          <w:rFonts w:hint="eastAsia" w:asciiTheme="majorEastAsia" w:hAnsiTheme="majorEastAsia" w:eastAsiaTheme="majorEastAsia" w:cstheme="majorEastAsia"/>
          <w:b/>
          <w:bCs/>
          <w:i w:val="0"/>
          <w:iCs w:val="0"/>
          <w:caps w:val="0"/>
          <w:color w:val="000000"/>
          <w:spacing w:val="0"/>
          <w:sz w:val="44"/>
          <w:szCs w:val="44"/>
          <w:shd w:val="clear" w:fill="FFFFFF"/>
          <w:lang w:eastAsia="zh-CN"/>
        </w:rPr>
        <w:t>新安镇</w:t>
      </w:r>
      <w:r>
        <w:rPr>
          <w:rFonts w:hint="eastAsia" w:asciiTheme="majorEastAsia" w:hAnsiTheme="majorEastAsia" w:eastAsiaTheme="majorEastAsia" w:cstheme="majorEastAsia"/>
          <w:b/>
          <w:bCs/>
          <w:i w:val="0"/>
          <w:iCs w:val="0"/>
          <w:caps w:val="0"/>
          <w:color w:val="000000"/>
          <w:spacing w:val="0"/>
          <w:sz w:val="44"/>
          <w:szCs w:val="44"/>
          <w:shd w:val="clear" w:fill="FFFFFF"/>
        </w:rPr>
        <w:t>人民政府行政执法事项清单</w:t>
      </w:r>
    </w:p>
    <w:p w14:paraId="0F908E34">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center"/>
        <w:textAlignment w:val="auto"/>
        <w:outlineLvl w:val="9"/>
        <w:rPr>
          <w:rFonts w:hint="eastAsia" w:asciiTheme="majorEastAsia" w:hAnsiTheme="majorEastAsia" w:eastAsiaTheme="majorEastAsia" w:cstheme="majorEastAsia"/>
          <w:b/>
          <w:bCs/>
          <w:i w:val="0"/>
          <w:iCs w:val="0"/>
          <w:caps w:val="0"/>
          <w:color w:val="000000"/>
          <w:spacing w:val="0"/>
          <w:sz w:val="44"/>
          <w:szCs w:val="44"/>
          <w:shd w:val="clear" w:fill="FFFFFF"/>
          <w:lang w:eastAsia="zh-CN"/>
        </w:rPr>
      </w:pPr>
      <w:r>
        <w:rPr>
          <w:rFonts w:hint="eastAsia" w:asciiTheme="majorEastAsia" w:hAnsiTheme="majorEastAsia" w:eastAsiaTheme="majorEastAsia" w:cstheme="majorEastAsia"/>
          <w:b/>
          <w:bCs/>
          <w:i w:val="0"/>
          <w:iCs w:val="0"/>
          <w:caps w:val="0"/>
          <w:color w:val="000000"/>
          <w:spacing w:val="0"/>
          <w:sz w:val="44"/>
          <w:szCs w:val="44"/>
          <w:shd w:val="clear" w:fill="FFFFFF"/>
          <w:lang w:eastAsia="zh-CN"/>
        </w:rPr>
        <w:t>（</w:t>
      </w:r>
      <w:r>
        <w:rPr>
          <w:rFonts w:hint="eastAsia" w:asciiTheme="majorEastAsia" w:hAnsiTheme="majorEastAsia" w:eastAsiaTheme="majorEastAsia" w:cstheme="majorEastAsia"/>
          <w:b/>
          <w:bCs/>
          <w:i w:val="0"/>
          <w:iCs w:val="0"/>
          <w:caps w:val="0"/>
          <w:color w:val="000000"/>
          <w:spacing w:val="0"/>
          <w:sz w:val="44"/>
          <w:szCs w:val="44"/>
          <w:shd w:val="clear" w:fill="FFFFFF"/>
          <w:lang w:val="en-US" w:eastAsia="zh-CN"/>
        </w:rPr>
        <w:t>2024年版</w:t>
      </w:r>
      <w:r>
        <w:rPr>
          <w:rFonts w:hint="eastAsia" w:asciiTheme="majorEastAsia" w:hAnsiTheme="majorEastAsia" w:eastAsiaTheme="majorEastAsia" w:cstheme="majorEastAsia"/>
          <w:b/>
          <w:bCs/>
          <w:i w:val="0"/>
          <w:iCs w:val="0"/>
          <w:caps w:val="0"/>
          <w:color w:val="000000"/>
          <w:spacing w:val="0"/>
          <w:sz w:val="44"/>
          <w:szCs w:val="44"/>
          <w:shd w:val="clear" w:fill="FFFFFF"/>
          <w:lang w:eastAsia="zh-CN"/>
        </w:rPr>
        <w:t>）</w:t>
      </w:r>
    </w:p>
    <w:p w14:paraId="30536BF5">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center"/>
        <w:textAlignment w:val="auto"/>
        <w:outlineLvl w:val="9"/>
        <w:rPr>
          <w:rFonts w:hint="eastAsia" w:asciiTheme="majorEastAsia" w:hAnsiTheme="majorEastAsia" w:eastAsiaTheme="majorEastAsia" w:cstheme="majorEastAsia"/>
          <w:b/>
          <w:bCs/>
          <w:i w:val="0"/>
          <w:iCs w:val="0"/>
          <w:caps w:val="0"/>
          <w:color w:val="000000"/>
          <w:spacing w:val="0"/>
          <w:sz w:val="44"/>
          <w:szCs w:val="44"/>
          <w:shd w:val="clear" w:fill="FFFFFF"/>
          <w:lang w:val="en-US" w:eastAsia="zh-CN"/>
        </w:rPr>
      </w:pPr>
      <w:bookmarkStart w:id="0" w:name="_GoBack"/>
      <w:bookmarkEnd w:id="0"/>
    </w:p>
    <w:tbl>
      <w:tblPr>
        <w:tblStyle w:val="4"/>
        <w:tblW w:w="935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7" w:type="dxa"/>
          <w:left w:w="28" w:type="dxa"/>
          <w:bottom w:w="57" w:type="dxa"/>
          <w:right w:w="28" w:type="dxa"/>
        </w:tblCellMar>
      </w:tblPr>
      <w:tblGrid>
        <w:gridCol w:w="539"/>
        <w:gridCol w:w="1160"/>
        <w:gridCol w:w="3105"/>
        <w:gridCol w:w="4550"/>
      </w:tblGrid>
      <w:tr w14:paraId="1966F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blHeader/>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6CF0E9EC">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黑体" w:hAnsi="黑体" w:eastAsia="黑体"/>
                <w:b w:val="0"/>
                <w:i w:val="0"/>
                <w:snapToGrid/>
                <w:color w:val="000000"/>
                <w:sz w:val="22"/>
                <w:u w:val="none"/>
                <w:lang w:eastAsia="zh-CN"/>
              </w:rPr>
            </w:pPr>
            <w:r>
              <w:rPr>
                <w:rFonts w:hint="default" w:ascii="黑体" w:hAnsi="黑体" w:eastAsia="黑体"/>
                <w:b w:val="0"/>
                <w:i w:val="0"/>
                <w:snapToGrid/>
                <w:color w:val="000000"/>
                <w:sz w:val="22"/>
                <w:u w:val="none"/>
                <w:lang w:eastAsia="zh-CN"/>
              </w:rPr>
              <w:t>序号</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0105165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黑体" w:hAnsi="黑体" w:eastAsia="黑体"/>
                <w:b w:val="0"/>
                <w:i w:val="0"/>
                <w:snapToGrid/>
                <w:color w:val="000000"/>
                <w:sz w:val="22"/>
                <w:u w:val="none"/>
                <w:lang w:eastAsia="zh-CN"/>
              </w:rPr>
            </w:pPr>
            <w:r>
              <w:rPr>
                <w:rFonts w:hint="default" w:ascii="黑体" w:hAnsi="黑体" w:eastAsia="黑体"/>
                <w:b w:val="0"/>
                <w:i w:val="0"/>
                <w:snapToGrid/>
                <w:color w:val="000000"/>
                <w:sz w:val="22"/>
                <w:u w:val="none"/>
                <w:lang w:eastAsia="zh-CN"/>
              </w:rPr>
              <w:t>领域类别</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561A348C">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黑体" w:hAnsi="黑体" w:eastAsia="黑体"/>
                <w:b w:val="0"/>
                <w:i w:val="0"/>
                <w:snapToGrid/>
                <w:color w:val="000000"/>
                <w:sz w:val="22"/>
                <w:u w:val="none"/>
                <w:lang w:eastAsia="zh-CN"/>
              </w:rPr>
            </w:pPr>
            <w:r>
              <w:rPr>
                <w:rFonts w:hint="default" w:ascii="黑体" w:hAnsi="黑体" w:eastAsia="黑体"/>
                <w:b w:val="0"/>
                <w:i w:val="0"/>
                <w:snapToGrid/>
                <w:color w:val="000000"/>
                <w:sz w:val="22"/>
                <w:u w:val="none"/>
                <w:lang w:eastAsia="zh-CN"/>
              </w:rPr>
              <w:t>事项名称</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20808E4A">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黑体" w:hAnsi="黑体" w:eastAsia="黑体"/>
                <w:b w:val="0"/>
                <w:i w:val="0"/>
                <w:snapToGrid/>
                <w:color w:val="000000"/>
                <w:sz w:val="22"/>
                <w:u w:val="none"/>
                <w:lang w:eastAsia="zh-CN"/>
              </w:rPr>
            </w:pPr>
            <w:r>
              <w:rPr>
                <w:rFonts w:hint="default" w:ascii="黑体" w:hAnsi="黑体" w:eastAsia="黑体"/>
                <w:b w:val="0"/>
                <w:i w:val="0"/>
                <w:snapToGrid/>
                <w:color w:val="000000"/>
                <w:sz w:val="22"/>
                <w:u w:val="none"/>
                <w:lang w:eastAsia="zh-CN"/>
              </w:rPr>
              <w:t>设定依据</w:t>
            </w:r>
          </w:p>
        </w:tc>
      </w:tr>
      <w:tr w14:paraId="21FBF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7DA54191">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1</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7EA711AA">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23AC42D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对栽培、整修或者其他作业遗留的渣土、枝叶等杂物，临街树木、绿篱、花坛(池)、草坪等管理单位或者个人逾期未清除的行为的行政处罚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7BA12A15">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《河北省城市市容和环境卫生条例》(2023年11月30日修正)第十五条第二款</w:t>
            </w:r>
          </w:p>
        </w:tc>
      </w:tr>
      <w:tr w14:paraId="0F7A3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481E0548">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2</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41541D29">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6B9B75DD">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未按规定利用悬挂物、充气装置、实物造型等载体设置广告或期满后未及时撒除，或者不及时整修、清洗、更换影响市容的户外广告牌或不予加固、拆除有安全隐患的广告牌、招牌，责令改正，拒不改正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5AAD5259">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《河北省城市市容和环境卫生条例》(2023年11月30日修正)第十八条</w:t>
            </w:r>
          </w:p>
        </w:tc>
      </w:tr>
      <w:tr w14:paraId="6CC42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50B1F93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3</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64F11376">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1D83034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对擅自在城市的道路两侧和公共场地堆放物料等行为的行政处罚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0F34BF11">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《河北省城市市容和环境卫生条例》(2023年11月30日修正)第二十二条第二款</w:t>
            </w:r>
          </w:p>
        </w:tc>
      </w:tr>
      <w:tr w14:paraId="2C0EF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72FE18A6">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4</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68EFCDB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0A72144E">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对不按照规定清理垃圾、粪便、积雪的行政处罚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7F568D1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《河北省城市市容和环境卫生条例》(2023年11月30日修正)第三十二条</w:t>
            </w:r>
          </w:p>
        </w:tc>
      </w:tr>
      <w:tr w14:paraId="61101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013A1E0A">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5</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62F204A4">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5FA59147">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对从事车辆清洗、维修经营活动，未在室内进行，占用道路、绿地、公共场所等的行政处罚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3993AB7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河北省城市市容和环境卫生条例》(2023年11月30日修正)第三十八条</w:t>
            </w:r>
          </w:p>
        </w:tc>
      </w:tr>
      <w:tr w14:paraId="04480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25777BC7">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6</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2DA5AC9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79E75118">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对影响环境卫生行为的行政处罚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0B1B8225">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《河北省城市市容和环境卫生条例》(2023年11月30日修正)第四十条</w:t>
            </w:r>
          </w:p>
        </w:tc>
      </w:tr>
      <w:tr w14:paraId="6E228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34C43311">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7</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16FA2D7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生态环境</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618C357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对露天焚烧秸秆及落叶、荒草等的行政处罚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3297EB80">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中华人民共和国大气污染防治法》(2018年10月26日修正)第一百一十九条第一款《河北省大气污染防治条例》(2021年9月29日修正)第八十七条《河北省人民代表大会常务委员会关于促进农作物秸秆综合利用和禁止露天焚烧的决定》(20</w:t>
            </w:r>
            <w:r>
              <w:rPr>
                <w:rFonts w:hint="eastAsia" w:ascii="仿宋_GB2312" w:hAnsi="仿宋_GB2312" w:eastAsia="仿宋_GB2312" w:cs="仿宋_GB2312"/>
                <w:b w:val="0"/>
                <w:i w:val="0"/>
                <w:snapToGrid/>
                <w:color w:val="000000"/>
                <w:sz w:val="24"/>
                <w:szCs w:val="24"/>
                <w:u w:val="none"/>
                <w:lang w:val="en-US" w:eastAsia="zh-CN"/>
              </w:rPr>
              <w:t>24</w:t>
            </w:r>
            <w:r>
              <w:rPr>
                <w:rFonts w:hint="eastAsia" w:ascii="仿宋_GB2312" w:hAnsi="仿宋_GB2312" w:eastAsia="仿宋_GB2312" w:cs="仿宋_GB2312"/>
                <w:b w:val="0"/>
                <w:i w:val="0"/>
                <w:snapToGrid/>
                <w:color w:val="000000"/>
                <w:sz w:val="24"/>
                <w:szCs w:val="24"/>
                <w:u w:val="none"/>
                <w:lang w:eastAsia="zh-CN"/>
              </w:rPr>
              <w:t>年</w:t>
            </w:r>
            <w:r>
              <w:rPr>
                <w:rFonts w:hint="eastAsia" w:ascii="仿宋_GB2312" w:hAnsi="仿宋_GB2312" w:eastAsia="仿宋_GB2312" w:cs="仿宋_GB2312"/>
                <w:b w:val="0"/>
                <w:i w:val="0"/>
                <w:snapToGrid/>
                <w:color w:val="000000"/>
                <w:sz w:val="24"/>
                <w:szCs w:val="24"/>
                <w:u w:val="none"/>
                <w:lang w:val="en-US" w:eastAsia="zh-CN"/>
              </w:rPr>
              <w:t>11</w:t>
            </w:r>
            <w:r>
              <w:rPr>
                <w:rFonts w:hint="eastAsia" w:ascii="仿宋_GB2312" w:hAnsi="仿宋_GB2312" w:eastAsia="仿宋_GB2312" w:cs="仿宋_GB2312"/>
                <w:b w:val="0"/>
                <w:i w:val="0"/>
                <w:snapToGrid/>
                <w:color w:val="000000"/>
                <w:sz w:val="24"/>
                <w:szCs w:val="24"/>
                <w:u w:val="none"/>
                <w:lang w:eastAsia="zh-CN"/>
              </w:rPr>
              <w:t>月2</w:t>
            </w:r>
            <w:r>
              <w:rPr>
                <w:rFonts w:hint="eastAsia" w:ascii="仿宋_GB2312" w:hAnsi="仿宋_GB2312" w:eastAsia="仿宋_GB2312" w:cs="仿宋_GB2312"/>
                <w:b w:val="0"/>
                <w:i w:val="0"/>
                <w:snapToGrid/>
                <w:color w:val="000000"/>
                <w:sz w:val="24"/>
                <w:szCs w:val="24"/>
                <w:u w:val="none"/>
                <w:lang w:val="en-US" w:eastAsia="zh-CN"/>
              </w:rPr>
              <w:t>8</w:t>
            </w:r>
            <w:r>
              <w:rPr>
                <w:rFonts w:hint="eastAsia" w:ascii="仿宋_GB2312" w:hAnsi="仿宋_GB2312" w:eastAsia="仿宋_GB2312" w:cs="仿宋_GB2312"/>
                <w:b w:val="0"/>
                <w:i w:val="0"/>
                <w:snapToGrid/>
                <w:color w:val="000000"/>
                <w:sz w:val="24"/>
                <w:szCs w:val="24"/>
                <w:u w:val="none"/>
                <w:lang w:eastAsia="zh-CN"/>
              </w:rPr>
              <w:t>日修订)第二十四条</w:t>
            </w:r>
          </w:p>
        </w:tc>
      </w:tr>
      <w:tr w14:paraId="071AE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2265F396">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8</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73B526D8">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生态环境</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23D8778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对农业经营主体因未妥善采取综合利用措施，对农产品采收后的秸秆及树叶、荒草予以处理，致使露天焚烧的行政处罚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66FFCB68">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《河北省人民代表大会常务委员会关于促进农作物秸秆综合利用和禁止露天焚烧的决定》(20</w:t>
            </w:r>
            <w:r>
              <w:rPr>
                <w:rFonts w:hint="eastAsia" w:ascii="仿宋_GB2312" w:hAnsi="仿宋_GB2312" w:eastAsia="仿宋_GB2312" w:cs="仿宋_GB2312"/>
                <w:b w:val="0"/>
                <w:i w:val="0"/>
                <w:snapToGrid/>
                <w:color w:val="000000"/>
                <w:sz w:val="24"/>
                <w:szCs w:val="24"/>
                <w:u w:val="none"/>
                <w:lang w:val="en-US" w:eastAsia="zh-CN"/>
              </w:rPr>
              <w:t>24</w:t>
            </w:r>
            <w:r>
              <w:rPr>
                <w:rFonts w:hint="eastAsia" w:ascii="仿宋_GB2312" w:hAnsi="仿宋_GB2312" w:eastAsia="仿宋_GB2312" w:cs="仿宋_GB2312"/>
                <w:b w:val="0"/>
                <w:i w:val="0"/>
                <w:snapToGrid/>
                <w:color w:val="000000"/>
                <w:sz w:val="24"/>
                <w:szCs w:val="24"/>
                <w:u w:val="none"/>
                <w:lang w:eastAsia="zh-CN"/>
              </w:rPr>
              <w:t>年</w:t>
            </w:r>
            <w:r>
              <w:rPr>
                <w:rFonts w:hint="eastAsia" w:ascii="仿宋_GB2312" w:hAnsi="仿宋_GB2312" w:eastAsia="仿宋_GB2312" w:cs="仿宋_GB2312"/>
                <w:b w:val="0"/>
                <w:i w:val="0"/>
                <w:snapToGrid/>
                <w:color w:val="000000"/>
                <w:sz w:val="24"/>
                <w:szCs w:val="24"/>
                <w:u w:val="none"/>
                <w:lang w:val="en-US" w:eastAsia="zh-CN"/>
              </w:rPr>
              <w:t>11</w:t>
            </w:r>
            <w:r>
              <w:rPr>
                <w:rFonts w:hint="eastAsia" w:ascii="仿宋_GB2312" w:hAnsi="仿宋_GB2312" w:eastAsia="仿宋_GB2312" w:cs="仿宋_GB2312"/>
                <w:b w:val="0"/>
                <w:i w:val="0"/>
                <w:snapToGrid/>
                <w:color w:val="000000"/>
                <w:sz w:val="24"/>
                <w:szCs w:val="24"/>
                <w:u w:val="none"/>
                <w:lang w:eastAsia="zh-CN"/>
              </w:rPr>
              <w:t>月2</w:t>
            </w:r>
            <w:r>
              <w:rPr>
                <w:rFonts w:hint="eastAsia" w:ascii="仿宋_GB2312" w:hAnsi="仿宋_GB2312" w:eastAsia="仿宋_GB2312" w:cs="仿宋_GB2312"/>
                <w:b w:val="0"/>
                <w:i w:val="0"/>
                <w:snapToGrid/>
                <w:color w:val="000000"/>
                <w:sz w:val="24"/>
                <w:szCs w:val="24"/>
                <w:u w:val="none"/>
                <w:lang w:val="en-US" w:eastAsia="zh-CN"/>
              </w:rPr>
              <w:t>8</w:t>
            </w:r>
            <w:r>
              <w:rPr>
                <w:rFonts w:hint="eastAsia" w:ascii="仿宋_GB2312" w:hAnsi="仿宋_GB2312" w:eastAsia="仿宋_GB2312" w:cs="仿宋_GB2312"/>
                <w:b w:val="0"/>
                <w:i w:val="0"/>
                <w:snapToGrid/>
                <w:color w:val="000000"/>
                <w:sz w:val="24"/>
                <w:szCs w:val="24"/>
                <w:u w:val="none"/>
                <w:lang w:eastAsia="zh-CN"/>
              </w:rPr>
              <w:t>日修订)第二十五条</w:t>
            </w:r>
          </w:p>
        </w:tc>
      </w:tr>
      <w:tr w14:paraId="7DCCC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2065DF6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val="en-US" w:eastAsia="zh-CN"/>
              </w:rPr>
              <w:t>9</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441A7A45">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农业农村</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27674549">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对农村村民未经批准或者采取欺骗手段骗取批准非法占用土地建住宅的行政处罚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0922B8E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《中华人民共和国土地管理法》(2019年8月26日修正)第七十八条</w:t>
            </w:r>
            <w:r>
              <w:rPr>
                <w:rFonts w:hint="eastAsia" w:ascii="仿宋_GB2312" w:hAnsi="仿宋_GB2312" w:eastAsia="仿宋_GB2312" w:cs="仿宋_GB2312"/>
                <w:b w:val="0"/>
                <w:i w:val="0"/>
                <w:snapToGrid/>
                <w:color w:val="000000"/>
                <w:sz w:val="24"/>
                <w:szCs w:val="24"/>
                <w:u w:val="none"/>
                <w:lang w:eastAsia="zh-CN"/>
              </w:rPr>
              <w:br w:type="textWrapping"/>
            </w:r>
            <w:r>
              <w:rPr>
                <w:rFonts w:hint="eastAsia" w:ascii="仿宋_GB2312" w:hAnsi="仿宋_GB2312" w:eastAsia="仿宋_GB2312" w:cs="仿宋_GB2312"/>
                <w:b w:val="0"/>
                <w:i w:val="0"/>
                <w:snapToGrid/>
                <w:color w:val="000000"/>
                <w:sz w:val="24"/>
                <w:szCs w:val="24"/>
                <w:u w:val="none"/>
                <w:lang w:eastAsia="zh-CN"/>
              </w:rPr>
              <w:t>《河北省土地管理条例》(2022年3月30日修订)第六十八条</w:t>
            </w:r>
          </w:p>
        </w:tc>
      </w:tr>
      <w:tr w14:paraId="1FB75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16402B61">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1</w:t>
            </w:r>
            <w:r>
              <w:rPr>
                <w:rFonts w:hint="eastAsia" w:ascii="仿宋_GB2312" w:hAnsi="仿宋_GB2312" w:eastAsia="仿宋_GB2312" w:cs="仿宋_GB2312"/>
                <w:b w:val="0"/>
                <w:i w:val="0"/>
                <w:snapToGrid/>
                <w:color w:val="000000"/>
                <w:sz w:val="24"/>
                <w:szCs w:val="24"/>
                <w:u w:val="none"/>
                <w:lang w:val="en-US" w:eastAsia="zh-CN"/>
              </w:rPr>
              <w:t>0</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4F999091">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民族事务</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3E47F46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对未按照要求生产、经营清真食品的行政处罚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639ED285">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《河北省清真食品管理条例》(1999年11月29日河北省第九届人民代表大会常务委员会第十二次会议通过)第十七条第(一)(二)(三)(四)(六)(七)(八)项</w:t>
            </w:r>
          </w:p>
        </w:tc>
      </w:tr>
      <w:tr w14:paraId="5B6B8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48A5D593">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1</w:t>
            </w:r>
            <w:r>
              <w:rPr>
                <w:rFonts w:hint="eastAsia" w:ascii="仿宋_GB2312" w:hAnsi="仿宋_GB2312" w:eastAsia="仿宋_GB2312" w:cs="仿宋_GB2312"/>
                <w:b w:val="0"/>
                <w:i w:val="0"/>
                <w:snapToGrid/>
                <w:color w:val="000000"/>
                <w:sz w:val="24"/>
                <w:szCs w:val="24"/>
                <w:u w:val="none"/>
                <w:lang w:val="en-US" w:eastAsia="zh-CN"/>
              </w:rPr>
              <w:t>1</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1442F80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宗教事务</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7E87547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对假冒宗教教职人员进行宗教活动或者骗取钱财等违法活动的行政处罚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6FC6BCB4">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《宗教事务条例》(2017年8月26日国务院令第686号)第七十四条</w:t>
            </w:r>
          </w:p>
        </w:tc>
      </w:tr>
    </w:tbl>
    <w:p w14:paraId="72232569">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both"/>
        <w:textAlignment w:val="auto"/>
        <w:outlineLvl w:val="9"/>
        <w:rPr>
          <w:rFonts w:hint="eastAsia" w:ascii="仿宋_GB2312" w:hAnsi="仿宋_GB2312" w:eastAsia="仿宋_GB2312" w:cs="仿宋_GB2312"/>
          <w:sz w:val="24"/>
          <w:szCs w:val="24"/>
          <w:lang w:val="en-US" w:eastAsia="zh-CN"/>
        </w:rPr>
      </w:pPr>
    </w:p>
    <w:p w14:paraId="74A1904B">
      <w:pPr>
        <w:pStyle w:val="6"/>
        <w:rPr>
          <w:rFonts w:hint="eastAsia" w:ascii="仿宋_GB2312" w:hAnsi="仿宋_GB2312" w:eastAsia="仿宋_GB2312" w:cs="仿宋_GB2312"/>
          <w:sz w:val="24"/>
          <w:szCs w:val="24"/>
          <w:lang w:val="en-US" w:eastAsia="zh-CN"/>
        </w:rPr>
      </w:pPr>
    </w:p>
    <w:p w14:paraId="69A640CE">
      <w:pPr>
        <w:pStyle w:val="6"/>
        <w:rPr>
          <w:rFonts w:hint="eastAsia" w:ascii="仿宋_GB2312" w:hAnsi="仿宋_GB2312" w:eastAsia="仿宋_GB2312" w:cs="仿宋_GB2312"/>
          <w:sz w:val="24"/>
          <w:szCs w:val="24"/>
          <w:lang w:val="en-US" w:eastAsia="zh-CN"/>
        </w:rPr>
      </w:pPr>
    </w:p>
    <w:p w14:paraId="020078A3">
      <w:pPr>
        <w:pStyle w:val="6"/>
        <w:rPr>
          <w:rFonts w:hint="eastAsia" w:ascii="仿宋_GB2312" w:hAnsi="仿宋_GB2312" w:eastAsia="仿宋_GB2312" w:cs="仿宋_GB2312"/>
          <w:sz w:val="24"/>
          <w:szCs w:val="24"/>
          <w:lang w:val="en-US" w:eastAsia="zh-CN"/>
        </w:rPr>
      </w:pPr>
    </w:p>
    <w:p w14:paraId="52E1F3BA">
      <w:pPr>
        <w:pStyle w:val="6"/>
        <w:rPr>
          <w:rFonts w:hint="eastAsia" w:ascii="仿宋_GB2312" w:hAnsi="仿宋_GB2312" w:eastAsia="仿宋_GB2312" w:cs="仿宋_GB2312"/>
          <w:sz w:val="24"/>
          <w:szCs w:val="24"/>
          <w:lang w:val="en-US" w:eastAsia="zh-CN"/>
        </w:rPr>
      </w:pPr>
    </w:p>
    <w:p w14:paraId="4EE92E20">
      <w:pPr>
        <w:pStyle w:val="6"/>
        <w:rPr>
          <w:rFonts w:hint="eastAsia" w:ascii="仿宋_GB2312" w:hAnsi="仿宋_GB2312" w:eastAsia="仿宋_GB2312" w:cs="仿宋_GB2312"/>
          <w:sz w:val="24"/>
          <w:szCs w:val="24"/>
          <w:lang w:val="en-US" w:eastAsia="zh-CN"/>
        </w:rPr>
      </w:pPr>
    </w:p>
    <w:p w14:paraId="0B13C1BA">
      <w:pPr>
        <w:pStyle w:val="6"/>
        <w:rPr>
          <w:rFonts w:hint="eastAsia" w:ascii="仿宋_GB2312" w:hAnsi="仿宋_GB2312" w:eastAsia="仿宋_GB2312" w:cs="仿宋_GB2312"/>
          <w:sz w:val="24"/>
          <w:szCs w:val="24"/>
          <w:lang w:val="en-US" w:eastAsia="zh-CN"/>
        </w:rPr>
      </w:pPr>
    </w:p>
    <w:p w14:paraId="1570A06D">
      <w:pPr>
        <w:pStyle w:val="6"/>
        <w:rPr>
          <w:rFonts w:hint="eastAsia" w:ascii="仿宋_GB2312" w:hAnsi="仿宋_GB2312" w:eastAsia="仿宋_GB2312" w:cs="仿宋_GB2312"/>
          <w:sz w:val="24"/>
          <w:szCs w:val="24"/>
          <w:lang w:val="en-US" w:eastAsia="zh-CN"/>
        </w:rPr>
      </w:pPr>
    </w:p>
    <w:p w14:paraId="11A43ECF">
      <w:pPr>
        <w:pStyle w:val="6"/>
        <w:rPr>
          <w:rFonts w:hint="eastAsia" w:ascii="仿宋_GB2312" w:hAnsi="仿宋_GB2312" w:eastAsia="仿宋_GB2312" w:cs="仿宋_GB2312"/>
          <w:sz w:val="24"/>
          <w:szCs w:val="24"/>
          <w:lang w:val="en-US" w:eastAsia="zh-CN"/>
        </w:rPr>
      </w:pPr>
    </w:p>
    <w:p w14:paraId="1EE0F79B">
      <w:pPr>
        <w:pStyle w:val="6"/>
        <w:rPr>
          <w:rFonts w:hint="default" w:ascii="仿宋_GB2312" w:hAnsi="仿宋_GB2312" w:eastAsia="仿宋_GB2312" w:cs="仿宋_GB2312"/>
          <w:sz w:val="24"/>
          <w:szCs w:val="24"/>
          <w:lang w:val="en-US" w:eastAsia="zh-CN"/>
        </w:rPr>
      </w:pPr>
    </w:p>
    <w:sectPr>
      <w:headerReference r:id="rId3" w:type="default"/>
      <w:footerReference r:id="rId4" w:type="default"/>
      <w:pgSz w:w="11906" w:h="16838"/>
      <w:pgMar w:top="2098" w:right="1531" w:bottom="1984" w:left="1531" w:header="851" w:footer="1361"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59E26D">
    <w:pPr>
      <w:pStyle w:val="2"/>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210" w:leftChars="100" w:right="210" w:rightChars="100" w:firstLine="0" w:firstLineChars="0"/>
      <w:jc w:val="both"/>
      <w:textAlignment w:val="auto"/>
      <w:outlineLvl w:val="9"/>
      <w:rPr>
        <w:rFonts w:hint="eastAsia" w:eastAsia="宋体"/>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F7D1DAC">
                          <w:pPr>
                            <w:pStyle w:val="2"/>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210" w:leftChars="100" w:right="210" w:rightChars="100" w:firstLine="0" w:firstLineChars="0"/>
                            <w:jc w:val="both"/>
                            <w:textAlignment w:val="auto"/>
                            <w:outlineLvl w:val="9"/>
                          </w:pPr>
                          <w:r>
                            <w:rPr>
                              <w:rFonts w:hint="eastAsia" w:ascii="宋体" w:hAnsi="宋体" w:cs="宋体"/>
                              <w:sz w:val="28"/>
                              <w:szCs w:val="28"/>
                              <w:lang w:eastAsia="zh-CN"/>
                            </w:rPr>
                            <w:t>—</w:t>
                          </w: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r>
                            <w:rPr>
                              <w:rFonts w:hint="eastAsia" w:ascii="宋体" w:hAnsi="宋体" w:cs="宋体"/>
                              <w:sz w:val="28"/>
                              <w:szCs w:val="28"/>
                              <w:lang w:eastAsia="zh-CN"/>
                            </w:rPr>
                            <w:t>—</w:t>
                          </w:r>
                        </w:p>
                      </w:txbxContent>
                    </wps:txbx>
                    <wps:bodyPr vert="horz" wrap="none" lIns="0" tIns="0" rIns="0" bIns="0" upright="0">
                      <a:spAutoFit/>
                    </wps:bodyPr>
                  </wps:wsp>
                </a:graphicData>
              </a:graphic>
            </wp:anchor>
          </w:drawing>
        </mc:Choice>
        <mc:Fallback>
          <w:pict>
            <v:shape id="文本框1"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OqXm5zwAAAAUBAAAPAAAAAAAAAAEAIAAAACIAAABkcnMvZG93&#10;bnJldi54bWxQSwECFAAUAAAACACHTuJAx6+gK9ABAACkAwAADgAAAAAAAAABACAAAAAeAQAAZHJz&#10;L2Uyb0RvYy54bWxQSwUGAAAAAAYABgBZAQAAYAUAAAAA&#10;">
              <v:fill on="f" focussize="0,0"/>
              <v:stroke on="f"/>
              <v:imagedata o:title=""/>
              <o:lock v:ext="edit" aspectratio="f"/>
              <v:textbox inset="0mm,0mm,0mm,0mm" style="mso-fit-shape-to-text:t;">
                <w:txbxContent>
                  <w:p w14:paraId="5F7D1DAC">
                    <w:pPr>
                      <w:pStyle w:val="2"/>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210" w:leftChars="100" w:right="210" w:rightChars="100" w:firstLine="0" w:firstLineChars="0"/>
                      <w:jc w:val="both"/>
                      <w:textAlignment w:val="auto"/>
                      <w:outlineLvl w:val="9"/>
                    </w:pPr>
                    <w:r>
                      <w:rPr>
                        <w:rFonts w:hint="eastAsia" w:ascii="宋体" w:hAnsi="宋体" w:cs="宋体"/>
                        <w:sz w:val="28"/>
                        <w:szCs w:val="28"/>
                        <w:lang w:eastAsia="zh-CN"/>
                      </w:rPr>
                      <w:t>—</w:t>
                    </w: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r>
                      <w:rPr>
                        <w:rFonts w:hint="eastAsia" w:ascii="宋体" w:hAnsi="宋体" w:cs="宋体"/>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1A2C35">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A03446D"/>
    <w:rsid w:val="10661611"/>
    <w:rsid w:val="11AA5D0A"/>
    <w:rsid w:val="146D70B2"/>
    <w:rsid w:val="17273B47"/>
    <w:rsid w:val="1CBA632D"/>
    <w:rsid w:val="23356FED"/>
    <w:rsid w:val="30607673"/>
    <w:rsid w:val="353E35D3"/>
    <w:rsid w:val="38D46E50"/>
    <w:rsid w:val="39F53AFD"/>
    <w:rsid w:val="3B0C1801"/>
    <w:rsid w:val="42686D32"/>
    <w:rsid w:val="458F482B"/>
    <w:rsid w:val="48627FD5"/>
    <w:rsid w:val="53037122"/>
    <w:rsid w:val="53417DF8"/>
    <w:rsid w:val="555962BC"/>
    <w:rsid w:val="577962B5"/>
    <w:rsid w:val="637530B8"/>
    <w:rsid w:val="64305555"/>
    <w:rsid w:val="66703465"/>
    <w:rsid w:val="688C7DEC"/>
    <w:rsid w:val="69F44A1A"/>
    <w:rsid w:val="6BA047ED"/>
    <w:rsid w:val="776D2F9E"/>
    <w:rsid w:val="7B1D40B5"/>
    <w:rsid w:val="7CFE1373"/>
    <w:rsid w:val="7F19049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Plain Text"/>
    <w:basedOn w:val="1"/>
    <w:qFormat/>
    <w:uiPriority w:val="0"/>
    <w:rPr>
      <w:rFonts w:ascii="宋体" w:hAnsi="Courier New" w:cs="Courier New"/>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1005</Words>
  <Characters>1098</Characters>
  <Lines>0</Lines>
  <Paragraphs>0</Paragraphs>
  <TotalTime>11</TotalTime>
  <ScaleCrop>false</ScaleCrop>
  <LinksUpToDate>false</LinksUpToDate>
  <CharactersWithSpaces>1098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星空之下</cp:lastModifiedBy>
  <cp:lastPrinted>2024-12-31T07:06:00Z</cp:lastPrinted>
  <dcterms:modified xsi:type="dcterms:W3CDTF">2025-12-25T03:43:50Z</dcterms:modified>
  <dc:title>正定县人民政府</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6C6A39D1A1B044B4952DED64CB8298BF_13</vt:lpwstr>
  </property>
  <property fmtid="{D5CDD505-2E9C-101B-9397-08002B2CF9AE}" pid="4" name="KSOTemplateDocerSaveRecord">
    <vt:lpwstr>eyJoZGlkIjoiNjUyNWYwMzlhNDYzMDRhMjJmYTUwMDY0NDg3ZGUwMWUiLCJ1c2VySWQiOiI0NzM1ODg2NjMifQ==</vt:lpwstr>
  </property>
</Properties>
</file>