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A38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正定县教育局</w:t>
      </w:r>
    </w:p>
    <w:p w14:paraId="10CD5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2025年政府信息公开工作年度报告</w:t>
      </w:r>
    </w:p>
    <w:p w14:paraId="1E0B66B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一、总体情况</w:t>
      </w:r>
    </w:p>
    <w:p w14:paraId="1BC1B41D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025年，我局深入贯彻《中华人民共和国政府信息公开条例》及省、市、县相关工作要求，以提升教育治理透明度、保障群众知情权为核心，从主动公开、依申请公开、政府信息管理、平台建设、监督保障五个维度扎实推进信息公开工作，全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质量和效果</w:t>
      </w:r>
      <w:r>
        <w:rPr>
          <w:rFonts w:hint="eastAsia" w:ascii="仿宋_GB2312" w:hAnsi="仿宋_GB2312" w:eastAsia="仿宋_GB2312" w:cs="仿宋_GB2312"/>
          <w:sz w:val="32"/>
          <w:szCs w:val="32"/>
        </w:rPr>
        <w:t>稳步提升。</w:t>
      </w:r>
    </w:p>
    <w:p w14:paraId="32E3803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在主动公开方面，聚焦群众关切的教育民生事项，重点公开2025年义务教育招生入学方案、暑期托管服务细则、民办学校年检结果等核心信息，通过政策解读、问答手册等形式，让群众精准理解政策。全年主动公开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36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条，其中招生、减负、资助等民生类信息占比超60%，切实保障群众教育权益。</w:t>
      </w:r>
    </w:p>
    <w:p w14:paraId="2903A4D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依申请公开工作规范有序，全年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未</w:t>
      </w:r>
      <w:r>
        <w:rPr>
          <w:rFonts w:hint="eastAsia" w:ascii="仿宋_GB2312" w:hAnsi="仿宋_GB2312" w:eastAsia="仿宋_GB2312" w:cs="仿宋_GB2312"/>
          <w:sz w:val="32"/>
          <w:szCs w:val="32"/>
        </w:rPr>
        <w:t>收到政府信息公开申请，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未发生因依申请公开引发的行政复议或诉讼。</w:t>
      </w:r>
    </w:p>
    <w:p w14:paraId="40D691ED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管理上，严格落实“先审查、后发布”“涉密信息不上网”原则，对拟公开信息进行合法性、安全性双重审核，全年未发生信息安全事件。同时优化信息更新机制，建立“业务股室+公开专员”联动审核流程，确保信息及时、准确、全面。</w:t>
      </w:r>
    </w:p>
    <w:p w14:paraId="6ACB03B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四）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公开平台建设持续优化，依托县政府门户网站、“正定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发布</w:t>
      </w:r>
      <w:r>
        <w:rPr>
          <w:rFonts w:hint="eastAsia" w:ascii="仿宋_GB2312" w:hAnsi="仿宋_GB2312" w:eastAsia="仿宋_GB2312" w:cs="仿宋_GB2312"/>
          <w:sz w:val="32"/>
          <w:szCs w:val="32"/>
        </w:rPr>
        <w:t>”等渠道，打造“线上+线下”融合的公开矩阵。线上升级政策解读专栏，推出图文、短视频等多元解读产品；线下在政务服务中心设置公开查询窗口，为群众提供纸质版信息查阅服务，全年平台访问量突破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0.5</w:t>
      </w:r>
      <w:r>
        <w:rPr>
          <w:rFonts w:hint="eastAsia" w:ascii="仿宋_GB2312" w:hAnsi="仿宋_GB2312" w:eastAsia="仿宋_GB2312" w:cs="仿宋_GB2312"/>
          <w:sz w:val="32"/>
          <w:szCs w:val="32"/>
        </w:rPr>
        <w:t>万人次。</w:t>
      </w:r>
    </w:p>
    <w:p w14:paraId="5DD951F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五）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监督保障体系不断完善，将信息公开纳入年度绩效考核，定期开展专项检查，对公开不及时、内容不规范等问题限期整改。同时畅通群众监督渠道，通过意见箱、热线电话收集反馈建议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86</w:t>
      </w:r>
      <w:r>
        <w:rPr>
          <w:rFonts w:hint="eastAsia" w:ascii="仿宋_GB2312" w:hAnsi="仿宋_GB2312" w:eastAsia="仿宋_GB2312" w:cs="仿宋_GB2312"/>
          <w:sz w:val="32"/>
          <w:szCs w:val="32"/>
        </w:rPr>
        <w:t>条，全部整改到位，推动公开工作闭环管理。</w:t>
      </w:r>
    </w:p>
    <w:p w14:paraId="5F27A98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二、主动公开政府信息情况</w:t>
      </w:r>
    </w:p>
    <w:p w14:paraId="487FD235">
      <w:pPr>
        <w:rPr>
          <w:rFonts w:hint="eastAsia"/>
        </w:rPr>
      </w:pPr>
    </w:p>
    <w:tbl>
      <w:tblPr>
        <w:tblStyle w:val="3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95943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020657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第二十条第（一）项</w:t>
            </w:r>
          </w:p>
        </w:tc>
      </w:tr>
      <w:tr w14:paraId="35F87BCC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33BF4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F32C6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本年制发件数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A174B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237B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现行有效件数</w:t>
            </w:r>
          </w:p>
        </w:tc>
      </w:tr>
      <w:tr w14:paraId="1EE03E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95D7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62A83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6D094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FCB06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E0481D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8049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22D65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1F2A9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A8116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6E79D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4F347F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第二十条第（五）项</w:t>
            </w:r>
          </w:p>
        </w:tc>
      </w:tr>
      <w:tr w14:paraId="5AD9FB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934785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ABCD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本年处理决定数量</w:t>
            </w:r>
          </w:p>
        </w:tc>
      </w:tr>
      <w:tr w14:paraId="5A9032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2E42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6E7FB">
            <w:pPr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150</w:t>
            </w:r>
          </w:p>
        </w:tc>
      </w:tr>
      <w:tr w14:paraId="72A756C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3945AA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第二十条第（六）项</w:t>
            </w:r>
          </w:p>
        </w:tc>
      </w:tr>
      <w:tr w14:paraId="46047C8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B030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65BF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本年处理决定数量</w:t>
            </w:r>
          </w:p>
        </w:tc>
      </w:tr>
      <w:tr w14:paraId="5EB21D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EFA5D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5318B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8DCF2C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566CD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E782F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03EDBA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5E6CCC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第二十条第（八）项</w:t>
            </w:r>
          </w:p>
        </w:tc>
      </w:tr>
      <w:tr w14:paraId="4D3853A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209B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A4D4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本年收费金额（单位：万元）</w:t>
            </w:r>
          </w:p>
        </w:tc>
      </w:tr>
      <w:tr w14:paraId="4EFD25F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B5AF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CCC4DB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1003.51</w:t>
            </w:r>
          </w:p>
        </w:tc>
      </w:tr>
    </w:tbl>
    <w:p w14:paraId="0527275F">
      <w:pPr>
        <w:rPr>
          <w:rFonts w:hint="eastAsia"/>
        </w:rPr>
      </w:pPr>
      <w:r>
        <w:rPr>
          <w:rFonts w:hint="eastAsia"/>
        </w:rPr>
        <w:t>三、收到和处理政府信息公开申请情况</w:t>
      </w:r>
    </w:p>
    <w:tbl>
      <w:tblPr>
        <w:tblStyle w:val="3"/>
        <w:tblW w:w="974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54"/>
        <w:gridCol w:w="921"/>
        <w:gridCol w:w="3271"/>
        <w:gridCol w:w="685"/>
        <w:gridCol w:w="685"/>
        <w:gridCol w:w="685"/>
        <w:gridCol w:w="685"/>
        <w:gridCol w:w="685"/>
        <w:gridCol w:w="685"/>
        <w:gridCol w:w="685"/>
      </w:tblGrid>
      <w:tr w14:paraId="495F45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EFCE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79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978644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申请人情况</w:t>
            </w:r>
          </w:p>
        </w:tc>
      </w:tr>
      <w:tr w14:paraId="790159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378CB">
            <w:pPr>
              <w:rPr>
                <w:rFonts w:hint="eastAsia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67841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自然人</w:t>
            </w:r>
          </w:p>
        </w:tc>
        <w:tc>
          <w:tcPr>
            <w:tcW w:w="342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9F106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法人或其他组织</w:t>
            </w:r>
          </w:p>
        </w:tc>
        <w:tc>
          <w:tcPr>
            <w:tcW w:w="685" w:type="dxa"/>
            <w:vMerge w:val="restart"/>
            <w:tcBorders>
              <w:top w:val="single" w:color="auto" w:sz="8" w:space="0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5F2C504B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总计</w:t>
            </w:r>
          </w:p>
        </w:tc>
      </w:tr>
      <w:tr w14:paraId="63B1B4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EA247">
            <w:pPr>
              <w:rPr>
                <w:rFonts w:hint="eastAsia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6B16F9">
            <w:pPr>
              <w:rPr>
                <w:rFonts w:hint="eastAsia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5A2615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商业</w:t>
            </w:r>
          </w:p>
          <w:p w14:paraId="784136B0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企业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26530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科研</w:t>
            </w:r>
          </w:p>
          <w:p w14:paraId="70AC138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7F28C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CCA09D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2983B3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其他</w:t>
            </w:r>
          </w:p>
        </w:tc>
        <w:tc>
          <w:tcPr>
            <w:tcW w:w="685" w:type="dxa"/>
            <w:vMerge w:val="continue"/>
            <w:tcBorders>
              <w:top w:val="single" w:color="auto" w:sz="8" w:space="0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2FED9BB">
            <w:pPr>
              <w:rPr>
                <w:rFonts w:hint="eastAsia"/>
              </w:rPr>
            </w:pPr>
          </w:p>
        </w:tc>
      </w:tr>
      <w:tr w14:paraId="1B22C2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AF30D5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B8DA4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C4241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301AFE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3C7D13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994818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8F8959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E42A465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EAE64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4EB6E5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2627F5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80630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AD64DD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AABAB95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A3C3EE8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8F09A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9062A70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6850C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restart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C9AF4D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三、本年度办理结果</w:t>
            </w:r>
          </w:p>
        </w:tc>
        <w:tc>
          <w:tcPr>
            <w:tcW w:w="419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FD96E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3BB03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87C0D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DE4971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C701D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9B097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205BD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19F905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49434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8A929FB">
            <w:pPr>
              <w:rPr>
                <w:rFonts w:hint="eastAsia"/>
              </w:rPr>
            </w:pPr>
          </w:p>
        </w:tc>
        <w:tc>
          <w:tcPr>
            <w:tcW w:w="419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C9C218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A1418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9E41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D20F2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8E5B0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76DA0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738E1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CF86F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9BADF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B39C7F0">
            <w:pPr>
              <w:rPr>
                <w:rFonts w:hint="eastAsia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9BFE60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（三）不予公开</w:t>
            </w: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1FB9CC9B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8C287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DA249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CD0A9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0C75B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A5EE8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0AF39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149B886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B061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9FFF205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681FF8E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170E044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BAB23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AEF23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BD162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8496E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4B53E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86776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1911FB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89829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6C19C1E7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4C1645B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573D21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96091F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54AFE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D6716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C9D94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0C1A8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CB2FB5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B78A25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7E29E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02F6443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39EEAFDC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40A27DB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A8F80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BFCE5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F3D22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0DA19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754AB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237A3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6F8825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1B33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725BF36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36726F7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35F2C11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7CEA6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3C261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C775B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0777A6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763DD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63ED4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2047D8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96DE46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B013589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A2C45C4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C38D473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26408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C9DC3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FF019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E539BC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9177A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74B00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21AF69B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E3FF7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86DC007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4EB5750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9C3F5B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26147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3B4B1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36B1A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CA88D4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FF3C3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6A255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A66A74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A4FC1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678580E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0C346D2B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2B603D8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82031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AA5DE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387CDE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9AAF2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5B730B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A17DE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876E8D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65AD1B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0FE2FE8">
            <w:pPr>
              <w:rPr>
                <w:rFonts w:hint="eastAsia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387C74B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（四）无法提供</w:t>
            </w: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39862044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7D401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6688E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6742D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8624C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D7A5CC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9BDF8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3563E05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ABEBA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0D7D017D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228AFEC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510C6BD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38E3E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B7B2D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295F2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7F7CBA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77997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AC5D7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7E09D14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D2D08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E5523AD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5370C565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736EC1A8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BD5DD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B2B1DC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D328F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D1560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6FDDB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83BC6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25F383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A8C38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DE01AB2">
            <w:pPr>
              <w:rPr>
                <w:rFonts w:hint="eastAsia"/>
              </w:rPr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5BA55C3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（五）不予处理</w:t>
            </w: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83A250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70A98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759FE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A5208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3EAE6B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DDD1B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DE8A5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E9A793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AA9EB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6FA7D9D6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F609E6F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714D61E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2.重复申请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A7272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1B6C7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66B07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7D100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3ACA0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9AB259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B7C4AF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3DE70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6808406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5E66E88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9F69C27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3.要求提供公开出版物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FC7FF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F4C13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A53D4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3B858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81CC7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B246CC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E9F5CE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B25C2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67764D7A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2D660475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70B15AE6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4.无正当理由大量反复申请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D59A7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7F8E3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03AD9B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7310C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94CDB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1C347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5A9D2AB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52492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79" w:hRule="atLeast"/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5BD2657A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F427D15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349BB6B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09D39B1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6299C01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0BFF0DA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60FE845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5EDDEF5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1698590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182B77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E6BB5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E36A682">
            <w:pPr>
              <w:rPr>
                <w:rFonts w:hint="eastAsia"/>
              </w:rPr>
            </w:pPr>
          </w:p>
        </w:tc>
        <w:tc>
          <w:tcPr>
            <w:tcW w:w="921" w:type="dxa"/>
            <w:vMerge w:val="restart"/>
            <w:tcBorders>
              <w:top w:val="outset" w:color="auto" w:sz="6" w:space="0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5C0FCC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（六）其他处理</w:t>
            </w: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0811FE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28CA3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16BAEA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7D327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1DEEB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035CA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4419D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0B0B6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03147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07346317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outset" w:color="auto" w:sz="6" w:space="0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FDBD99B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F72C6A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5E86E9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58A67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E8B13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FF2D96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89F76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4375F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240CC7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5B7FE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7200D49A">
            <w:pPr>
              <w:rPr>
                <w:rFonts w:hint="eastAsia"/>
              </w:rPr>
            </w:pPr>
          </w:p>
        </w:tc>
        <w:tc>
          <w:tcPr>
            <w:tcW w:w="921" w:type="dxa"/>
            <w:vMerge w:val="continue"/>
            <w:tcBorders>
              <w:top w:val="outset" w:color="auto" w:sz="6" w:space="0"/>
              <w:left w:val="nil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4F619518">
            <w:pPr>
              <w:rPr>
                <w:rFonts w:hint="eastAsia"/>
              </w:rPr>
            </w:pPr>
          </w:p>
        </w:tc>
        <w:tc>
          <w:tcPr>
            <w:tcW w:w="3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A03453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BBF77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77698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BAE0A1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F53ECA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3FB5C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905145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694CF6D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9F5C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754" w:type="dxa"/>
            <w:vMerge w:val="continue"/>
            <w:tcBorders>
              <w:top w:val="nil"/>
              <w:left w:val="single" w:color="auto" w:sz="8" w:space="0"/>
              <w:bottom w:val="outset" w:color="auto" w:sz="6" w:space="0"/>
              <w:right w:val="single" w:color="auto" w:sz="8" w:space="0"/>
            </w:tcBorders>
            <w:shd w:val="clear" w:color="auto" w:fill="auto"/>
            <w:vAlign w:val="center"/>
          </w:tcPr>
          <w:p w14:paraId="56135D7C">
            <w:pPr>
              <w:rPr>
                <w:rFonts w:hint="eastAsia"/>
              </w:rPr>
            </w:pPr>
          </w:p>
        </w:tc>
        <w:tc>
          <w:tcPr>
            <w:tcW w:w="419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C2FD3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84FE8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95C5B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C841E6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B10599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8B3DE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B386C2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44923BE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8198D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E1FE8C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7E61D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5C41D1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5656A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03A4E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08B3CA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 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45A68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3A58BC4B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4A6F249F">
      <w:pPr>
        <w:rPr>
          <w:rFonts w:hint="eastAsia"/>
        </w:rPr>
      </w:pPr>
      <w:r>
        <w:rPr>
          <w:rFonts w:hint="eastAsia"/>
        </w:rPr>
        <w:t>四、政府信息公开行政复议、行政诉讼情况</w:t>
      </w:r>
    </w:p>
    <w:tbl>
      <w:tblPr>
        <w:tblStyle w:val="3"/>
        <w:tblW w:w="97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14:paraId="6662F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00E0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行政复议</w:t>
            </w:r>
          </w:p>
        </w:tc>
        <w:tc>
          <w:tcPr>
            <w:tcW w:w="649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FF088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行政诉讼</w:t>
            </w:r>
          </w:p>
        </w:tc>
      </w:tr>
      <w:tr w14:paraId="0B737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E14D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D698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F6004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其他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AF6C8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尚未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85A06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053A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F0BF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复议后起诉</w:t>
            </w:r>
          </w:p>
        </w:tc>
      </w:tr>
      <w:tr w14:paraId="4C0DD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F69F5">
            <w:pPr>
              <w:rPr>
                <w:rFonts w:hint="eastAsia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57B09">
            <w:pPr>
              <w:rPr>
                <w:rFonts w:hint="eastAsia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8CAEC">
            <w:pPr>
              <w:rPr>
                <w:rFonts w:hint="eastAsia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2945D">
            <w:pPr>
              <w:rPr>
                <w:rFonts w:hint="eastAsia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0AB75">
            <w:pPr>
              <w:rPr>
                <w:rFonts w:hint="eastAsia"/>
              </w:rPr>
            </w:pP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9A9D1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维持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CF26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纠正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92AFD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其他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结果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AEFB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尚未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审结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428EF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总计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9ED93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维持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916938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结果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纠正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5D559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其他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结果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97292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尚未</w:t>
            </w:r>
            <w:r>
              <w:rPr>
                <w:rFonts w:hint="eastAsia"/>
                <w:lang w:val="en-US" w:eastAsia="zh-CN"/>
              </w:rPr>
              <w:br w:type="textWrapping"/>
            </w:r>
            <w:r>
              <w:rPr>
                <w:rFonts w:hint="eastAsia"/>
                <w:lang w:val="en-US" w:eastAsia="zh-CN"/>
              </w:rPr>
              <w:t>审结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108C04"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总计</w:t>
            </w:r>
          </w:p>
        </w:tc>
      </w:tr>
      <w:tr w14:paraId="60059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F060D8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E7CD1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010B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278E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DE340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DECA7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BD2A6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0F89C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E7B8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B5744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6313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6BB7F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213ED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7E86E"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BE1C2">
            <w:pPr>
              <w:rPr>
                <w:rFonts w:hint="eastAsia"/>
                <w:lang w:val="en-US"/>
              </w:rPr>
            </w:pPr>
            <w:r>
              <w:rPr>
                <w:rFonts w:hint="eastAsia"/>
                <w:lang w:val="en-US"/>
              </w:rPr>
              <w:t>0</w:t>
            </w:r>
          </w:p>
        </w:tc>
      </w:tr>
    </w:tbl>
    <w:p w14:paraId="2B38785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五、存在的主要问题及改进情况</w:t>
      </w:r>
    </w:p>
    <w:p w14:paraId="15E89FE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存在问题</w:t>
      </w:r>
    </w:p>
    <w:p w14:paraId="16BE36E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公开内容的深度和针对性仍需加强，部分政策解读仅停留在文字说明层面，缺乏场景化、案例化解读。</w:t>
      </w:r>
    </w:p>
    <w:p w14:paraId="598B734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新媒体平台互动性不足，群众留言回复时效性有待提升。</w:t>
      </w:r>
    </w:p>
    <w:p w14:paraId="52FD74A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基层学校信息公开专员业务能力不均衡，部分学校公开信息更新不及时。</w:t>
      </w:r>
    </w:p>
    <w:p w14:paraId="3A1D3F4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改进措施</w:t>
      </w:r>
    </w:p>
    <w:p w14:paraId="4F1B014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深化内容供给：建立“政策+案例”解读机制，针对招生、托管等高频关切事项，制作场景化解读视频、流程图，提升政策易懂性。</w:t>
      </w:r>
    </w:p>
    <w:p w14:paraId="366F2860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优化平台互动：明确新媒体留言24小时响应机制，定期开展“局长信箱”“在线答疑”活动，及时回应群众诉求。</w:t>
      </w:r>
    </w:p>
    <w:p w14:paraId="7C95D54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强化能力建设：组织全县教育系统信息公开专员培训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次，开展校际交叉检查，建立“优秀公开案例库”供基层参考，推动公开工作标准化。</w:t>
      </w:r>
    </w:p>
    <w:p w14:paraId="0A7C2DCC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六、其他需要报告的事项</w:t>
      </w:r>
    </w:p>
    <w:p w14:paraId="0FEFA75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2025年，我局未收取任何政府信息公开申请处理费用，未发生违规收费行为。</w:t>
      </w:r>
    </w:p>
    <w:p w14:paraId="40C1DD14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21D34CC6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</w:p>
    <w:p w14:paraId="266B0B37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60541033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72BD5"/>
    <w:rsid w:val="26A101C0"/>
    <w:rsid w:val="29801BC7"/>
    <w:rsid w:val="2CE7557B"/>
    <w:rsid w:val="3677139C"/>
    <w:rsid w:val="5AF3052A"/>
    <w:rsid w:val="5D2676E2"/>
    <w:rsid w:val="61C13BD8"/>
    <w:rsid w:val="62FF023A"/>
    <w:rsid w:val="757C5CD4"/>
    <w:rsid w:val="783E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1911</Words>
  <Characters>1960</Characters>
  <Lines>0</Lines>
  <Paragraphs>0</Paragraphs>
  <TotalTime>73</TotalTime>
  <ScaleCrop>false</ScaleCrop>
  <LinksUpToDate>false</LinksUpToDate>
  <CharactersWithSpaces>2106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2026-01-12T07:08:00Z</dcterms:created>
  <dc:creator>Administrator</dc:creator>
  <cp:lastModifiedBy>Administrator</cp:lastModifiedBy>
  <dcterms:modified xsi:type="dcterms:W3CDTF">2026-01-15T01:56:45Z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0AAED19037FB4C1BAA37A5EC141FC909_12</vt:lpwstr>
  </property>
  <property fmtid="{D5CDD505-2E9C-101B-9397-08002B2CF9AE}" pid="4" name="KSOTemplateDocerSaveRecord">
    <vt:lpwstr>eyJoZGlkIjoiOTQxNjNjODc5MTEzYTZmYzdjYTVkYzc3MDc1MGFjZjMiLCJ1c2VySWQiOiI0MDYyOTM1MDEifQ==</vt:lpwstr>
  </property>
</Properties>
</file>