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华文中宋" w:hAnsi="华文中宋" w:eastAsia="华文中宋" w:cs="华文中宋"/>
          <w:sz w:val="44"/>
          <w:szCs w:val="44"/>
          <w:lang w:val="en-US" w:eastAsia="zh-CN"/>
        </w:rPr>
      </w:pPr>
      <w:r>
        <w:rPr>
          <w:rFonts w:hint="eastAsia" w:ascii="华文中宋" w:hAnsi="华文中宋" w:eastAsia="华文中宋" w:cs="华文中宋"/>
          <w:sz w:val="44"/>
          <w:szCs w:val="44"/>
          <w:lang w:val="en-US" w:eastAsia="zh-CN"/>
        </w:rPr>
        <w:t>正定县自然资源和规划局（正定县林业局）2026年涉企行政检查计划</w:t>
      </w:r>
    </w:p>
    <w:tbl>
      <w:tblPr>
        <w:tblStyle w:val="5"/>
        <w:tblW w:w="15870" w:type="dxa"/>
        <w:tblInd w:w="-8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0"/>
        <w:gridCol w:w="1185"/>
        <w:gridCol w:w="9045"/>
        <w:gridCol w:w="1590"/>
        <w:gridCol w:w="900"/>
        <w:gridCol w:w="780"/>
        <w:gridCol w:w="855"/>
        <w:gridCol w:w="8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0" w:type="dxa"/>
            <w:vAlign w:val="center"/>
          </w:tcPr>
          <w:p>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序号</w:t>
            </w:r>
          </w:p>
        </w:tc>
        <w:tc>
          <w:tcPr>
            <w:tcW w:w="1185" w:type="dxa"/>
            <w:vAlign w:val="center"/>
          </w:tcPr>
          <w:p>
            <w:pPr>
              <w:jc w:val="center"/>
              <w:rPr>
                <w:rFonts w:hint="eastAsia" w:ascii="宋体" w:hAnsi="宋体" w:eastAsia="宋体" w:cs="宋体"/>
                <w:b/>
                <w:bCs/>
                <w:sz w:val="44"/>
                <w:szCs w:val="44"/>
                <w:vertAlign w:val="baseline"/>
                <w:lang w:val="en-US" w:eastAsia="zh-CN"/>
              </w:rPr>
            </w:pPr>
            <w:r>
              <w:rPr>
                <w:rFonts w:hint="eastAsia" w:ascii="宋体" w:hAnsi="宋体" w:eastAsia="宋体" w:cs="宋体"/>
                <w:b/>
                <w:bCs/>
                <w:sz w:val="21"/>
                <w:szCs w:val="21"/>
                <w:vertAlign w:val="baseline"/>
                <w:lang w:val="en-US" w:eastAsia="zh-CN"/>
              </w:rPr>
              <w:t>检查主体</w:t>
            </w:r>
          </w:p>
        </w:tc>
        <w:tc>
          <w:tcPr>
            <w:tcW w:w="9045" w:type="dxa"/>
            <w:vAlign w:val="center"/>
          </w:tcPr>
          <w:p>
            <w:pPr>
              <w:jc w:val="center"/>
              <w:rPr>
                <w:rFonts w:hint="eastAsia" w:ascii="宋体" w:hAnsi="宋体" w:eastAsia="宋体" w:cs="宋体"/>
                <w:b/>
                <w:bCs/>
                <w:sz w:val="44"/>
                <w:szCs w:val="44"/>
                <w:vertAlign w:val="baseline"/>
                <w:lang w:val="en-US" w:eastAsia="zh-CN"/>
              </w:rPr>
            </w:pPr>
            <w:r>
              <w:rPr>
                <w:rFonts w:hint="eastAsia" w:ascii="宋体" w:hAnsi="宋体" w:eastAsia="宋体" w:cs="宋体"/>
                <w:b/>
                <w:bCs/>
                <w:sz w:val="21"/>
                <w:szCs w:val="21"/>
                <w:vertAlign w:val="baseline"/>
                <w:lang w:val="en-US" w:eastAsia="zh-CN"/>
              </w:rPr>
              <w:t>检查依据</w:t>
            </w:r>
          </w:p>
        </w:tc>
        <w:tc>
          <w:tcPr>
            <w:tcW w:w="1590" w:type="dxa"/>
            <w:vAlign w:val="center"/>
          </w:tcPr>
          <w:p>
            <w:pPr>
              <w:jc w:val="center"/>
              <w:rPr>
                <w:rFonts w:hint="default" w:ascii="华文中宋" w:hAnsi="华文中宋" w:eastAsia="华文中宋" w:cs="华文中宋"/>
                <w:sz w:val="44"/>
                <w:szCs w:val="44"/>
                <w:vertAlign w:val="baseline"/>
                <w:lang w:val="en-US" w:eastAsia="zh-CN"/>
              </w:rPr>
            </w:pPr>
            <w:r>
              <w:rPr>
                <w:rFonts w:hint="eastAsia" w:ascii="宋体" w:hAnsi="宋体" w:eastAsia="宋体" w:cs="宋体"/>
                <w:b/>
                <w:bCs/>
                <w:sz w:val="21"/>
                <w:szCs w:val="21"/>
                <w:vertAlign w:val="baseline"/>
                <w:lang w:val="en-US" w:eastAsia="zh-CN"/>
              </w:rPr>
              <w:t>检查事项</w:t>
            </w:r>
          </w:p>
        </w:tc>
        <w:tc>
          <w:tcPr>
            <w:tcW w:w="900" w:type="dxa"/>
            <w:vAlign w:val="center"/>
          </w:tcPr>
          <w:p>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检查</w:t>
            </w:r>
          </w:p>
          <w:p>
            <w:pPr>
              <w:jc w:val="center"/>
              <w:rPr>
                <w:rFonts w:hint="default" w:ascii="华文中宋" w:hAnsi="华文中宋" w:eastAsia="华文中宋" w:cs="华文中宋"/>
                <w:sz w:val="44"/>
                <w:szCs w:val="44"/>
                <w:vertAlign w:val="baseline"/>
                <w:lang w:val="en-US" w:eastAsia="zh-CN"/>
              </w:rPr>
            </w:pPr>
            <w:r>
              <w:rPr>
                <w:rFonts w:hint="eastAsia" w:ascii="宋体" w:hAnsi="宋体" w:eastAsia="宋体" w:cs="宋体"/>
                <w:b/>
                <w:bCs/>
                <w:sz w:val="21"/>
                <w:szCs w:val="21"/>
                <w:vertAlign w:val="baseline"/>
                <w:lang w:val="en-US" w:eastAsia="zh-CN"/>
              </w:rPr>
              <w:t>对象</w:t>
            </w:r>
          </w:p>
        </w:tc>
        <w:tc>
          <w:tcPr>
            <w:tcW w:w="780" w:type="dxa"/>
            <w:vAlign w:val="center"/>
          </w:tcPr>
          <w:p>
            <w:pPr>
              <w:jc w:val="center"/>
              <w:rPr>
                <w:rFonts w:hint="default" w:ascii="华文中宋" w:hAnsi="华文中宋" w:eastAsia="华文中宋" w:cs="华文中宋"/>
                <w:sz w:val="44"/>
                <w:szCs w:val="44"/>
                <w:vertAlign w:val="baseline"/>
                <w:lang w:val="en-US" w:eastAsia="zh-CN"/>
              </w:rPr>
            </w:pPr>
            <w:r>
              <w:rPr>
                <w:rFonts w:hint="eastAsia" w:ascii="宋体" w:hAnsi="宋体" w:eastAsia="宋体" w:cs="宋体"/>
                <w:b/>
                <w:bCs/>
                <w:sz w:val="21"/>
                <w:szCs w:val="21"/>
                <w:vertAlign w:val="baseline"/>
                <w:lang w:val="en-US" w:eastAsia="zh-CN"/>
              </w:rPr>
              <w:t>检查频次</w:t>
            </w:r>
          </w:p>
        </w:tc>
        <w:tc>
          <w:tcPr>
            <w:tcW w:w="855" w:type="dxa"/>
            <w:vAlign w:val="center"/>
          </w:tcPr>
          <w:p>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检查</w:t>
            </w:r>
          </w:p>
          <w:p>
            <w:pPr>
              <w:jc w:val="center"/>
              <w:rPr>
                <w:rFonts w:hint="default" w:ascii="宋体" w:hAnsi="宋体" w:eastAsia="宋体" w:cs="宋体"/>
                <w:sz w:val="21"/>
                <w:szCs w:val="21"/>
                <w:vertAlign w:val="baseline"/>
                <w:lang w:val="en-US" w:eastAsia="zh-CN"/>
              </w:rPr>
            </w:pPr>
            <w:r>
              <w:rPr>
                <w:rFonts w:hint="eastAsia" w:ascii="宋体" w:hAnsi="宋体" w:eastAsia="宋体" w:cs="宋体"/>
                <w:b/>
                <w:bCs/>
                <w:sz w:val="21"/>
                <w:szCs w:val="21"/>
                <w:vertAlign w:val="baseline"/>
                <w:lang w:val="en-US" w:eastAsia="zh-CN"/>
              </w:rPr>
              <w:t>方式</w:t>
            </w:r>
          </w:p>
        </w:tc>
        <w:tc>
          <w:tcPr>
            <w:tcW w:w="855" w:type="dxa"/>
            <w:vAlign w:val="center"/>
          </w:tcPr>
          <w:p>
            <w:pPr>
              <w:jc w:val="center"/>
              <w:rPr>
                <w:rFonts w:hint="default" w:ascii="华文中宋" w:hAnsi="华文中宋" w:eastAsia="华文中宋" w:cs="华文中宋"/>
                <w:sz w:val="44"/>
                <w:szCs w:val="44"/>
                <w:vertAlign w:val="baseline"/>
                <w:lang w:val="en-US" w:eastAsia="zh-CN"/>
              </w:rPr>
            </w:pPr>
            <w:r>
              <w:rPr>
                <w:rFonts w:hint="eastAsia" w:ascii="宋体" w:hAnsi="宋体" w:eastAsia="宋体" w:cs="宋体"/>
                <w:b/>
                <w:bCs/>
                <w:sz w:val="21"/>
                <w:szCs w:val="21"/>
                <w:vertAlign w:val="baseline"/>
                <w:lang w:val="en-US" w:eastAsia="zh-CN"/>
              </w:rPr>
              <w:t>是否跨部门联合检查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9" w:hRule="atLeast"/>
        </w:trPr>
        <w:tc>
          <w:tcPr>
            <w:tcW w:w="660" w:type="dxa"/>
            <w:vAlign w:val="center"/>
          </w:tcPr>
          <w:p>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w:t>
            </w:r>
          </w:p>
        </w:tc>
        <w:tc>
          <w:tcPr>
            <w:tcW w:w="1185" w:type="dxa"/>
            <w:vAlign w:val="center"/>
          </w:tcPr>
          <w:p>
            <w:pPr>
              <w:jc w:val="both"/>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正定县自然资源和规划局</w:t>
            </w:r>
          </w:p>
        </w:tc>
        <w:tc>
          <w:tcPr>
            <w:tcW w:w="9045" w:type="dxa"/>
            <w:vAlign w:val="center"/>
          </w:tcPr>
          <w:p>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 xml:space="preserve">《土地复垦条例》第五条：“国务院国土资源主管部门负责全国土地复垦的监督管理工作。县级以上地方人民政府国土资源主管部门负责本行政区域土地复垦的监督管理工作。”第七条：“国务院国土资源主管部门和省、自治区、直辖市人民政府国土资源主管部门应当建立健全土地复垦信息管理系统，收集、汇总和发布土地复垦数据信息。” 第八条：“县级以上人民政府国土资源主管部门应当依据职责加强对土地复垦情况的监督检查。被检查的单位或者个人应当如实反映情况，提供必要的资料。”第十三条：“土地复垦义务人应当在办理建设用地申请或者采矿权申请手续时，随有关报批材料报送土地复垦方案。”                 </w:t>
            </w:r>
            <w:r>
              <w:rPr>
                <w:rFonts w:hint="eastAsia" w:ascii="仿宋" w:hAnsi="仿宋" w:eastAsia="仿宋" w:cs="仿宋"/>
                <w:i w:val="0"/>
                <w:iCs w:val="0"/>
                <w:color w:val="auto"/>
                <w:kern w:val="0"/>
                <w:sz w:val="24"/>
                <w:szCs w:val="24"/>
                <w:u w:val="none"/>
                <w:lang w:val="en-US" w:eastAsia="zh-CN" w:bidi="ar"/>
              </w:rPr>
              <w:br w:type="textWrapping"/>
            </w:r>
            <w:r>
              <w:rPr>
                <w:rFonts w:hint="eastAsia" w:ascii="仿宋" w:hAnsi="仿宋" w:eastAsia="仿宋" w:cs="仿宋"/>
                <w:i w:val="0"/>
                <w:iCs w:val="0"/>
                <w:color w:val="auto"/>
                <w:kern w:val="0"/>
                <w:sz w:val="24"/>
                <w:szCs w:val="24"/>
                <w:u w:val="none"/>
                <w:lang w:val="en-US" w:eastAsia="zh-CN" w:bidi="ar"/>
              </w:rPr>
              <w:t>《河北省土地复垦管理办法（试行）》（冀自然资发〔2024〕6号）第五条：“省级自然资源主管部门负责全省范围内土地复垦的政策指导、监督管理。按照管理权限负责全省矿山地质环境保护与土地复垦方案审查。”</w:t>
            </w:r>
            <w:bookmarkStart w:id="1" w:name="_GoBack"/>
            <w:bookmarkEnd w:id="1"/>
          </w:p>
        </w:tc>
        <w:tc>
          <w:tcPr>
            <w:tcW w:w="1590" w:type="dxa"/>
            <w:vAlign w:val="center"/>
          </w:tcPr>
          <w:p>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对建设项目土地复垦义务人履行土地复垦义务情况的检查</w:t>
            </w:r>
          </w:p>
        </w:tc>
        <w:tc>
          <w:tcPr>
            <w:tcW w:w="900" w:type="dxa"/>
            <w:vAlign w:val="center"/>
          </w:tcPr>
          <w:p>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有关项目单位</w:t>
            </w:r>
          </w:p>
        </w:tc>
        <w:tc>
          <w:tcPr>
            <w:tcW w:w="780" w:type="dxa"/>
            <w:vAlign w:val="center"/>
          </w:tcPr>
          <w:p>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1</w:t>
            </w:r>
          </w:p>
        </w:tc>
        <w:tc>
          <w:tcPr>
            <w:tcW w:w="855" w:type="dxa"/>
            <w:vAlign w:val="center"/>
          </w:tcPr>
          <w:p>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现场检查</w:t>
            </w:r>
          </w:p>
        </w:tc>
        <w:tc>
          <w:tcPr>
            <w:tcW w:w="855" w:type="dxa"/>
            <w:vAlign w:val="center"/>
          </w:tcPr>
          <w:p>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3" w:hRule="atLeast"/>
        </w:trPr>
        <w:tc>
          <w:tcPr>
            <w:tcW w:w="660" w:type="dxa"/>
            <w:vAlign w:val="center"/>
          </w:tcPr>
          <w:p>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w:t>
            </w:r>
          </w:p>
        </w:tc>
        <w:tc>
          <w:tcPr>
            <w:tcW w:w="1185" w:type="dxa"/>
            <w:vAlign w:val="center"/>
          </w:tcPr>
          <w:p>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正定县自然资源和规划局</w:t>
            </w:r>
          </w:p>
        </w:tc>
        <w:tc>
          <w:tcPr>
            <w:tcW w:w="9045" w:type="dxa"/>
            <w:vAlign w:val="center"/>
          </w:tcPr>
          <w:p>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《中华人民共和国测绘法》第四十九条：“县级以上人民政府测绘地理信息主管部门应当建立健全随机抽查机制，依法履行监督检查职责。”</w:t>
            </w:r>
          </w:p>
        </w:tc>
        <w:tc>
          <w:tcPr>
            <w:tcW w:w="1590" w:type="dxa"/>
            <w:vAlign w:val="center"/>
          </w:tcPr>
          <w:p>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对测绘行业的行政检查</w:t>
            </w:r>
          </w:p>
        </w:tc>
        <w:tc>
          <w:tcPr>
            <w:tcW w:w="900" w:type="dxa"/>
          </w:tcPr>
          <w:p>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测绘地理信息单位</w:t>
            </w:r>
          </w:p>
        </w:tc>
        <w:tc>
          <w:tcPr>
            <w:tcW w:w="780" w:type="dxa"/>
            <w:vAlign w:val="center"/>
          </w:tcPr>
          <w:p>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1</w:t>
            </w:r>
          </w:p>
        </w:tc>
        <w:tc>
          <w:tcPr>
            <w:tcW w:w="855" w:type="dxa"/>
            <w:vAlign w:val="center"/>
          </w:tcPr>
          <w:p>
            <w:pPr>
              <w:jc w:val="center"/>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“双随机、一公开”</w:t>
            </w:r>
          </w:p>
        </w:tc>
        <w:tc>
          <w:tcPr>
            <w:tcW w:w="855" w:type="dxa"/>
            <w:vAlign w:val="center"/>
          </w:tcPr>
          <w:p>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0" w:type="dxa"/>
            <w:vAlign w:val="center"/>
          </w:tcPr>
          <w:p>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w:t>
            </w:r>
          </w:p>
        </w:tc>
        <w:tc>
          <w:tcPr>
            <w:tcW w:w="1185" w:type="dxa"/>
            <w:vAlign w:val="center"/>
          </w:tcPr>
          <w:p>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正定县自然资源和规划局</w:t>
            </w:r>
          </w:p>
        </w:tc>
        <w:tc>
          <w:tcPr>
            <w:tcW w:w="9045" w:type="dxa"/>
            <w:vAlign w:val="center"/>
          </w:tcPr>
          <w:p>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中华人民共和国测绘法》第三十八条第三款：“县级以上人民政府和测绘地理信息主管部门、网信部门等有关部门应当加强对地图编制、出版、展示、登载和互联网地图服务的监督管理，保证地图质量，维护国家主权、安全和利益。”</w:t>
            </w:r>
          </w:p>
        </w:tc>
        <w:tc>
          <w:tcPr>
            <w:tcW w:w="1590" w:type="dxa"/>
            <w:vAlign w:val="center"/>
          </w:tcPr>
          <w:p>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对地图编制、出版、展示、登载和互联网地图服务的行政检查</w:t>
            </w:r>
          </w:p>
        </w:tc>
        <w:tc>
          <w:tcPr>
            <w:tcW w:w="900" w:type="dxa"/>
            <w:vAlign w:val="center"/>
          </w:tcPr>
          <w:p>
            <w:pPr>
              <w:jc w:val="center"/>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测绘地理信息单位</w:t>
            </w:r>
          </w:p>
        </w:tc>
        <w:tc>
          <w:tcPr>
            <w:tcW w:w="780" w:type="dxa"/>
            <w:vAlign w:val="center"/>
          </w:tcPr>
          <w:p>
            <w:pPr>
              <w:jc w:val="center"/>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1</w:t>
            </w:r>
          </w:p>
        </w:tc>
        <w:tc>
          <w:tcPr>
            <w:tcW w:w="855" w:type="dxa"/>
            <w:vAlign w:val="center"/>
          </w:tcPr>
          <w:p>
            <w:pPr>
              <w:jc w:val="center"/>
              <w:rPr>
                <w:rFonts w:hint="eastAsia" w:ascii="华文中宋" w:hAnsi="华文中宋" w:eastAsia="华文中宋" w:cs="华文中宋"/>
                <w:kern w:val="2"/>
                <w:sz w:val="44"/>
                <w:szCs w:val="44"/>
                <w:vertAlign w:val="baseline"/>
                <w:lang w:val="en-US" w:eastAsia="zh-CN" w:bidi="ar-SA"/>
              </w:rPr>
            </w:pPr>
            <w:r>
              <w:rPr>
                <w:rFonts w:hint="eastAsia" w:ascii="仿宋" w:hAnsi="仿宋" w:eastAsia="仿宋" w:cs="仿宋"/>
                <w:i w:val="0"/>
                <w:iCs w:val="0"/>
                <w:color w:val="auto"/>
                <w:kern w:val="0"/>
                <w:sz w:val="24"/>
                <w:szCs w:val="24"/>
                <w:u w:val="none"/>
                <w:lang w:val="en-US" w:eastAsia="zh-CN" w:bidi="ar"/>
              </w:rPr>
              <w:t>“双随机、一公开”</w:t>
            </w:r>
          </w:p>
        </w:tc>
        <w:tc>
          <w:tcPr>
            <w:tcW w:w="855" w:type="dxa"/>
            <w:vAlign w:val="center"/>
          </w:tcPr>
          <w:p>
            <w:pPr>
              <w:jc w:val="center"/>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 w:hRule="atLeast"/>
        </w:trPr>
        <w:tc>
          <w:tcPr>
            <w:tcW w:w="660" w:type="dxa"/>
            <w:vAlign w:val="center"/>
          </w:tcPr>
          <w:p>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w:t>
            </w:r>
          </w:p>
        </w:tc>
        <w:tc>
          <w:tcPr>
            <w:tcW w:w="1185" w:type="dxa"/>
            <w:vAlign w:val="center"/>
          </w:tcPr>
          <w:p>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正定县自然资源和规划局</w:t>
            </w:r>
          </w:p>
        </w:tc>
        <w:tc>
          <w:tcPr>
            <w:tcW w:w="9045" w:type="dxa"/>
            <w:vAlign w:val="center"/>
          </w:tcPr>
          <w:p>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《中华人民共和国测绘法》第四十六条：“县级以上人民政府测绘地理信息主管部门应当会同本级人民政府其他有关部门建立地理信息安全管理制度和技术防控体系，并加强对地理信息安全的监督管理。”</w:t>
            </w:r>
          </w:p>
        </w:tc>
        <w:tc>
          <w:tcPr>
            <w:tcW w:w="1590" w:type="dxa"/>
            <w:vAlign w:val="center"/>
          </w:tcPr>
          <w:p>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对地理信息安全的行政检查</w:t>
            </w:r>
          </w:p>
        </w:tc>
        <w:tc>
          <w:tcPr>
            <w:tcW w:w="900" w:type="dxa"/>
            <w:vAlign w:val="top"/>
          </w:tcPr>
          <w:p>
            <w:pPr>
              <w:jc w:val="center"/>
              <w:rPr>
                <w:rFonts w:hint="eastAsia" w:ascii="华文中宋" w:hAnsi="华文中宋" w:eastAsia="华文中宋" w:cs="华文中宋"/>
                <w:kern w:val="2"/>
                <w:sz w:val="44"/>
                <w:szCs w:val="44"/>
                <w:vertAlign w:val="baseline"/>
                <w:lang w:val="en-US" w:eastAsia="zh-CN" w:bidi="ar-SA"/>
              </w:rPr>
            </w:pPr>
            <w:r>
              <w:rPr>
                <w:rFonts w:hint="eastAsia" w:ascii="仿宋" w:hAnsi="仿宋" w:eastAsia="仿宋" w:cs="仿宋"/>
                <w:i w:val="0"/>
                <w:iCs w:val="0"/>
                <w:color w:val="auto"/>
                <w:kern w:val="0"/>
                <w:sz w:val="24"/>
                <w:szCs w:val="24"/>
                <w:u w:val="none"/>
                <w:lang w:val="en-US" w:eastAsia="zh-CN" w:bidi="ar"/>
              </w:rPr>
              <w:t>测绘地理信息单位</w:t>
            </w:r>
          </w:p>
        </w:tc>
        <w:tc>
          <w:tcPr>
            <w:tcW w:w="780" w:type="dxa"/>
            <w:vAlign w:val="center"/>
          </w:tcPr>
          <w:p>
            <w:pPr>
              <w:jc w:val="center"/>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1</w:t>
            </w:r>
          </w:p>
        </w:tc>
        <w:tc>
          <w:tcPr>
            <w:tcW w:w="855" w:type="dxa"/>
            <w:vAlign w:val="center"/>
          </w:tcPr>
          <w:p>
            <w:pPr>
              <w:jc w:val="center"/>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“双随机、一公开”</w:t>
            </w:r>
          </w:p>
        </w:tc>
        <w:tc>
          <w:tcPr>
            <w:tcW w:w="855" w:type="dxa"/>
            <w:vAlign w:val="center"/>
          </w:tcPr>
          <w:p>
            <w:pPr>
              <w:jc w:val="center"/>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3" w:hRule="atLeast"/>
        </w:trPr>
        <w:tc>
          <w:tcPr>
            <w:tcW w:w="660" w:type="dxa"/>
            <w:vAlign w:val="center"/>
          </w:tcPr>
          <w:p>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w:t>
            </w:r>
          </w:p>
        </w:tc>
        <w:tc>
          <w:tcPr>
            <w:tcW w:w="1185" w:type="dxa"/>
            <w:vAlign w:val="center"/>
          </w:tcPr>
          <w:p>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正定县自然资源和规划局</w:t>
            </w:r>
          </w:p>
        </w:tc>
        <w:tc>
          <w:tcPr>
            <w:tcW w:w="9045" w:type="dxa"/>
            <w:vAlign w:val="center"/>
          </w:tcPr>
          <w:p>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《基础测绘条例》第二十四条：“县级以上人民政府测绘行政主管部门应当采取措施，加强对基础地理信息测制、加工、处理、提供的监督管理，确保基础测绘成果质量。”</w:t>
            </w:r>
          </w:p>
        </w:tc>
        <w:tc>
          <w:tcPr>
            <w:tcW w:w="1590" w:type="dxa"/>
            <w:vAlign w:val="center"/>
          </w:tcPr>
          <w:p>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对基础测绘成果使用情况的行政检查</w:t>
            </w:r>
          </w:p>
        </w:tc>
        <w:tc>
          <w:tcPr>
            <w:tcW w:w="900" w:type="dxa"/>
            <w:vAlign w:val="top"/>
          </w:tcPr>
          <w:p>
            <w:pPr>
              <w:jc w:val="center"/>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测绘地理信息单位</w:t>
            </w:r>
          </w:p>
        </w:tc>
        <w:tc>
          <w:tcPr>
            <w:tcW w:w="780" w:type="dxa"/>
            <w:vAlign w:val="center"/>
          </w:tcPr>
          <w:p>
            <w:pPr>
              <w:jc w:val="center"/>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1</w:t>
            </w:r>
          </w:p>
        </w:tc>
        <w:tc>
          <w:tcPr>
            <w:tcW w:w="855" w:type="dxa"/>
            <w:vAlign w:val="center"/>
          </w:tcPr>
          <w:p>
            <w:pPr>
              <w:jc w:val="center"/>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“双随机、一公开”</w:t>
            </w:r>
          </w:p>
        </w:tc>
        <w:tc>
          <w:tcPr>
            <w:tcW w:w="855" w:type="dxa"/>
            <w:vAlign w:val="center"/>
          </w:tcPr>
          <w:p>
            <w:pPr>
              <w:jc w:val="center"/>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7" w:hRule="atLeast"/>
        </w:trPr>
        <w:tc>
          <w:tcPr>
            <w:tcW w:w="660" w:type="dxa"/>
            <w:vAlign w:val="center"/>
          </w:tcPr>
          <w:p>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w:t>
            </w:r>
          </w:p>
        </w:tc>
        <w:tc>
          <w:tcPr>
            <w:tcW w:w="1185" w:type="dxa"/>
            <w:vAlign w:val="center"/>
          </w:tcPr>
          <w:p>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正定县自然资源和规划局</w:t>
            </w:r>
          </w:p>
        </w:tc>
        <w:tc>
          <w:tcPr>
            <w:tcW w:w="9045" w:type="dxa"/>
            <w:vAlign w:val="center"/>
          </w:tcPr>
          <w:p>
            <w:pPr>
              <w:jc w:val="both"/>
              <w:rPr>
                <w:rFonts w:hint="eastAsia" w:ascii="仿宋" w:hAnsi="仿宋" w:eastAsia="仿宋" w:cs="仿宋"/>
                <w:b w:val="0"/>
                <w:bCs w:val="0"/>
                <w:i w:val="0"/>
                <w:iCs w:val="0"/>
                <w:color w:val="auto"/>
                <w:kern w:val="0"/>
                <w:sz w:val="24"/>
                <w:szCs w:val="24"/>
                <w:u w:val="none"/>
                <w:lang w:val="en-US" w:eastAsia="zh-CN" w:bidi="ar"/>
              </w:rPr>
            </w:pPr>
            <w:bookmarkStart w:id="0" w:name="Title"/>
            <w:r>
              <w:rPr>
                <w:rFonts w:hint="eastAsia" w:ascii="仿宋" w:hAnsi="仿宋" w:eastAsia="仿宋" w:cs="仿宋"/>
                <w:bCs/>
                <w:sz w:val="24"/>
                <w:szCs w:val="24"/>
                <w:lang w:eastAsia="zh-CN"/>
              </w:rPr>
              <w:t>《</w:t>
            </w:r>
            <w:r>
              <w:rPr>
                <w:rFonts w:hint="eastAsia" w:ascii="仿宋" w:hAnsi="仿宋" w:eastAsia="仿宋" w:cs="仿宋"/>
                <w:bCs/>
                <w:sz w:val="24"/>
                <w:szCs w:val="24"/>
              </w:rPr>
              <w:t>中华人民共和国城乡规划法</w:t>
            </w:r>
            <w:bookmarkEnd w:id="0"/>
            <w:r>
              <w:rPr>
                <w:rFonts w:hint="eastAsia" w:ascii="仿宋" w:hAnsi="仿宋" w:eastAsia="仿宋" w:cs="仿宋"/>
                <w:bCs/>
                <w:sz w:val="24"/>
                <w:szCs w:val="24"/>
                <w:lang w:eastAsia="zh-CN"/>
              </w:rPr>
              <w:t>》</w:t>
            </w:r>
            <w:r>
              <w:rPr>
                <w:rFonts w:hint="eastAsia" w:ascii="仿宋" w:hAnsi="仿宋" w:eastAsia="仿宋" w:cs="仿宋"/>
                <w:i w:val="0"/>
                <w:iCs w:val="0"/>
                <w:color w:val="auto"/>
                <w:kern w:val="0"/>
                <w:sz w:val="24"/>
                <w:szCs w:val="24"/>
                <w:u w:val="none"/>
                <w:lang w:val="en-US" w:eastAsia="zh-CN" w:bidi="ar"/>
              </w:rPr>
              <w:t>第五十一条　县级以上人民政府及其城乡规划主管部门应当加强对城乡规划编制、审</w:t>
            </w:r>
            <w:r>
              <w:rPr>
                <w:rFonts w:hint="eastAsia" w:ascii="仿宋" w:hAnsi="仿宋" w:eastAsia="仿宋" w:cs="仿宋"/>
                <w:b w:val="0"/>
                <w:bCs w:val="0"/>
                <w:i w:val="0"/>
                <w:iCs w:val="0"/>
                <w:color w:val="auto"/>
                <w:kern w:val="0"/>
                <w:sz w:val="24"/>
                <w:szCs w:val="24"/>
                <w:u w:val="none"/>
                <w:lang w:val="en-US" w:eastAsia="zh-CN" w:bidi="ar"/>
              </w:rPr>
              <w:t>批、实施、修改的监督检查。</w:t>
            </w:r>
          </w:p>
          <w:p>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b w:val="0"/>
                <w:bCs w:val="0"/>
                <w:i w:val="0"/>
                <w:iCs w:val="0"/>
                <w:color w:val="auto"/>
                <w:kern w:val="0"/>
                <w:sz w:val="24"/>
                <w:szCs w:val="24"/>
                <w:u w:val="none"/>
                <w:lang w:val="en-US" w:eastAsia="zh-CN" w:bidi="ar"/>
              </w:rPr>
              <w:t>《河北省城乡规划条例》第七十二条　城市、县人民政府城乡规划主管部门、省人民政府授权的镇人民政府应当对批准后的建设工程的基槽开挖、基</w:t>
            </w:r>
            <w:r>
              <w:rPr>
                <w:rFonts w:hint="eastAsia" w:ascii="仿宋" w:hAnsi="仿宋" w:eastAsia="仿宋" w:cs="仿宋"/>
                <w:i w:val="0"/>
                <w:iCs w:val="0"/>
                <w:color w:val="auto"/>
                <w:kern w:val="0"/>
                <w:sz w:val="24"/>
                <w:szCs w:val="24"/>
                <w:u w:val="none"/>
                <w:lang w:val="en-US" w:eastAsia="zh-CN" w:bidi="ar"/>
              </w:rPr>
              <w:t>础施工、地面首层和顶层封顶、建设工程外装修、室外工程和景观环境设施等建设过程进行监管。经检查不合格的，责令改正；改正后符合要求的，方可进行下一阶段施工。</w:t>
            </w:r>
          </w:p>
          <w:p>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《石家庄市城乡规划条例》第五十三条 城乡规划主管部门应当对批准后的建设工程进行监管。建设单位在开工前应委托具有相应资质的测绘单位对建设工程进行定线和槽底定位，并在建筑工程的基槽开挖、基础施工、地面首层、顶层封顶、外立面装修、室外工程及景观环境设施建设环节，以及市政工程的基槽开挖、地下工程覆土前和覆土后接受规划核验。经核验不合格的，责令建设单位立即停止施工并改正。</w:t>
            </w:r>
          </w:p>
          <w:p>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《河北省城市地下管网条例》第十四条　城市地下管线工程开工前，建设单位应当委托具有相应资质的测绘单位进行放线，并接受所在地人民政府城乡规划主管部门的监督检查。第十五条　城市地下管线工程覆土前，建设单位应当委托具有相应资质的测绘单位进行竣工测量，形成准确的竣工测量数据文件和工程测量图等资料，并向所在地人民政府城乡规划主管部门申请规划核实。</w:t>
            </w:r>
          </w:p>
        </w:tc>
        <w:tc>
          <w:tcPr>
            <w:tcW w:w="1590" w:type="dxa"/>
            <w:vAlign w:val="center"/>
          </w:tcPr>
          <w:p>
            <w:pPr>
              <w:jc w:val="both"/>
              <w:rPr>
                <w:rFonts w:hint="eastAsia" w:ascii="华文中宋" w:hAnsi="华文中宋" w:eastAsia="华文中宋" w:cs="华文中宋"/>
                <w:sz w:val="44"/>
                <w:szCs w:val="44"/>
                <w:vertAlign w:val="baseline"/>
                <w:lang w:val="en-US" w:eastAsia="zh-CN"/>
              </w:rPr>
            </w:pPr>
            <w:r>
              <w:rPr>
                <w:rFonts w:hint="eastAsia" w:eastAsia="仿宋" w:cs="仿宋"/>
                <w:b w:val="0"/>
                <w:bCs w:val="0"/>
                <w:i w:val="0"/>
                <w:iCs w:val="0"/>
                <w:color w:val="000000"/>
                <w:kern w:val="0"/>
                <w:sz w:val="22"/>
                <w:szCs w:val="22"/>
                <w:u w:val="none"/>
                <w:lang w:val="en-US" w:eastAsia="zh-CN" w:bidi="ar"/>
              </w:rPr>
              <w:t>建设工程批后监督检查</w:t>
            </w:r>
          </w:p>
        </w:tc>
        <w:tc>
          <w:tcPr>
            <w:tcW w:w="900" w:type="dxa"/>
            <w:vAlign w:val="center"/>
          </w:tcPr>
          <w:p>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建设单位</w:t>
            </w:r>
          </w:p>
        </w:tc>
        <w:tc>
          <w:tcPr>
            <w:tcW w:w="780" w:type="dxa"/>
            <w:vAlign w:val="center"/>
          </w:tcPr>
          <w:p>
            <w:pPr>
              <w:jc w:val="both"/>
              <w:rPr>
                <w:rFonts w:hint="eastAsia" w:ascii="华文中宋" w:hAnsi="华文中宋" w:eastAsia="华文中宋" w:cs="华文中宋"/>
                <w:sz w:val="44"/>
                <w:szCs w:val="44"/>
                <w:vertAlign w:val="baseline"/>
                <w:lang w:val="en-US" w:eastAsia="zh-CN"/>
              </w:rPr>
            </w:pPr>
            <w:r>
              <w:rPr>
                <w:rFonts w:hint="eastAsia" w:eastAsia="仿宋" w:cs="仿宋"/>
                <w:b w:val="0"/>
                <w:bCs w:val="0"/>
                <w:i w:val="0"/>
                <w:iCs w:val="0"/>
                <w:color w:val="000000"/>
                <w:sz w:val="22"/>
                <w:szCs w:val="22"/>
                <w:u w:val="none"/>
                <w:lang w:val="en-US" w:eastAsia="zh-CN"/>
              </w:rPr>
              <w:t>随工程进度确定</w:t>
            </w:r>
          </w:p>
        </w:tc>
        <w:tc>
          <w:tcPr>
            <w:tcW w:w="855" w:type="dxa"/>
            <w:vAlign w:val="center"/>
          </w:tcPr>
          <w:p>
            <w:pPr>
              <w:jc w:val="center"/>
              <w:rPr>
                <w:rFonts w:hint="eastAsia" w:ascii="华文中宋" w:hAnsi="华文中宋" w:eastAsia="华文中宋" w:cs="华文中宋"/>
                <w:sz w:val="44"/>
                <w:szCs w:val="44"/>
                <w:vertAlign w:val="baseline"/>
                <w:lang w:val="en-US" w:eastAsia="zh-CN"/>
              </w:rPr>
            </w:pPr>
            <w:r>
              <w:rPr>
                <w:rFonts w:hint="eastAsia" w:eastAsia="仿宋" w:cs="仿宋"/>
                <w:b w:val="0"/>
                <w:bCs w:val="0"/>
                <w:i w:val="0"/>
                <w:iCs w:val="0"/>
                <w:color w:val="000000"/>
                <w:sz w:val="22"/>
                <w:szCs w:val="22"/>
                <w:u w:val="none"/>
                <w:lang w:eastAsia="zh-CN"/>
              </w:rPr>
              <w:t>现场检查</w:t>
            </w:r>
          </w:p>
        </w:tc>
        <w:tc>
          <w:tcPr>
            <w:tcW w:w="855" w:type="dxa"/>
            <w:vAlign w:val="center"/>
          </w:tcPr>
          <w:p>
            <w:pPr>
              <w:jc w:val="center"/>
              <w:rPr>
                <w:rFonts w:hint="default" w:ascii="华文中宋" w:hAnsi="华文中宋" w:eastAsia="华文中宋" w:cs="华文中宋"/>
                <w:sz w:val="44"/>
                <w:szCs w:val="44"/>
                <w:vertAlign w:val="baseline"/>
                <w:lang w:val="en-US" w:eastAsia="zh-CN"/>
              </w:rPr>
            </w:pPr>
            <w:r>
              <w:rPr>
                <w:rFonts w:hint="eastAsia" w:eastAsia="仿宋" w:cs="仿宋"/>
                <w:b w:val="0"/>
                <w:bCs w:val="0"/>
                <w:i w:val="0"/>
                <w:iCs w:val="0"/>
                <w:color w:val="000000"/>
                <w:sz w:val="22"/>
                <w:szCs w:val="22"/>
                <w:u w:val="none"/>
                <w:lang w:val="en-US" w:eastAsia="zh-CN"/>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3" w:hRule="atLeast"/>
        </w:trPr>
        <w:tc>
          <w:tcPr>
            <w:tcW w:w="660" w:type="dxa"/>
            <w:vAlign w:val="center"/>
          </w:tcPr>
          <w:p>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7</w:t>
            </w:r>
          </w:p>
        </w:tc>
        <w:tc>
          <w:tcPr>
            <w:tcW w:w="1185" w:type="dxa"/>
            <w:vAlign w:val="center"/>
          </w:tcPr>
          <w:p>
            <w:pPr>
              <w:jc w:val="both"/>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正定县林业局</w:t>
            </w:r>
          </w:p>
        </w:tc>
        <w:tc>
          <w:tcPr>
            <w:tcW w:w="9045" w:type="dxa"/>
            <w:vAlign w:val="center"/>
          </w:tcPr>
          <w:p>
            <w:pPr>
              <w:keepNext w:val="0"/>
              <w:keepLines w:val="0"/>
              <w:widowControl/>
              <w:suppressLineNumbers w:val="0"/>
              <w:jc w:val="left"/>
              <w:textAlignment w:val="center"/>
              <w:rPr>
                <w:rFonts w:hint="eastAsia" w:ascii="Times New Roman" w:hAnsi="Times New Roman" w:eastAsia="宋体" w:cs="Times New Roman"/>
                <w:i w:val="0"/>
                <w:color w:val="000000"/>
                <w:kern w:val="2"/>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《植物检疫条例》第三条：县级以上地方各级农业主管部门、林业主管部门所属的植物检疫机构，负责执行国家的植物检疫任务。</w:t>
            </w:r>
            <w:r>
              <w:rPr>
                <w:rFonts w:hint="eastAsia" w:ascii="仿宋" w:hAnsi="仿宋" w:eastAsia="仿宋" w:cs="仿宋"/>
                <w:i w:val="0"/>
                <w:iCs w:val="0"/>
                <w:color w:val="auto"/>
                <w:kern w:val="0"/>
                <w:sz w:val="24"/>
                <w:szCs w:val="24"/>
                <w:u w:val="none"/>
                <w:lang w:val="en-US" w:eastAsia="zh-CN" w:bidi="ar"/>
              </w:rPr>
              <w:br w:type="textWrapping"/>
            </w:r>
            <w:r>
              <w:rPr>
                <w:rFonts w:hint="eastAsia" w:ascii="仿宋" w:hAnsi="仿宋" w:eastAsia="仿宋" w:cs="仿宋"/>
                <w:i w:val="0"/>
                <w:iCs w:val="0"/>
                <w:color w:val="auto"/>
                <w:kern w:val="0"/>
                <w:sz w:val="24"/>
                <w:szCs w:val="24"/>
                <w:u w:val="none"/>
                <w:lang w:val="en-US" w:eastAsia="zh-CN" w:bidi="ar"/>
              </w:rPr>
              <w:t>《国家林业和草原局关于印发重新修订的&lt;松材线虫病疫区和疫木管理办法&gt;的通知》（林生发〔2023〕7号）第十八条：林业植物检疫机构应当加强检疫执法，建立和完善检疫备案制度，定期对辖区内涉木单位和个人开展检疫检查，严肃查处违法违规采伐、运输、经营、加工、利用、使用疫木及其制品行为。林业植物检疫机构在检疫检查过程中查获的疫木及其制品，应当采取销毁方式依法就地处理。</w:t>
            </w:r>
            <w:r>
              <w:rPr>
                <w:rFonts w:hint="eastAsia" w:ascii="仿宋" w:hAnsi="仿宋" w:eastAsia="仿宋" w:cs="仿宋"/>
                <w:i w:val="0"/>
                <w:iCs w:val="0"/>
                <w:color w:val="auto"/>
                <w:kern w:val="0"/>
                <w:sz w:val="24"/>
                <w:szCs w:val="24"/>
                <w:u w:val="none"/>
                <w:lang w:val="en-US" w:eastAsia="zh-CN" w:bidi="ar"/>
              </w:rPr>
              <w:br w:type="textWrapping"/>
            </w:r>
            <w:r>
              <w:rPr>
                <w:rFonts w:hint="eastAsia" w:ascii="仿宋" w:hAnsi="仿宋" w:eastAsia="仿宋" w:cs="仿宋"/>
                <w:i w:val="0"/>
                <w:iCs w:val="0"/>
                <w:color w:val="auto"/>
                <w:kern w:val="0"/>
                <w:sz w:val="24"/>
                <w:szCs w:val="24"/>
                <w:u w:val="none"/>
                <w:lang w:val="en-US" w:eastAsia="zh-CN" w:bidi="ar"/>
              </w:rPr>
              <w:t xml:space="preserve">《植物检疫条例》（根据2017年10月7日中华人民共和国国务院令第687号公布的《国务院关于修改部分行政法规的决定》修正 ）第十条　省、自治区、直辖市间调运本条例第七条规定必须经过检疫的植物和植物产品的，调入单位必须事先征得所在地的省、自治区、直辖市植物检疫机构同意，并向调出单位提出检疫要求；调出单位必须根据该检疫要求向所在地的省、自治区、直辖市植物检疫机构申请检疫。对调入的植物和植物产品，调入单位所在地的省、自治区、直辖市的植物检疫机构应当查验检疫证书，必要时可以复检。 </w:t>
            </w:r>
          </w:p>
        </w:tc>
        <w:tc>
          <w:tcPr>
            <w:tcW w:w="1590" w:type="dxa"/>
            <w:vAlign w:val="center"/>
          </w:tcPr>
          <w:p>
            <w:pPr>
              <w:keepNext w:val="0"/>
              <w:keepLines w:val="0"/>
              <w:widowControl/>
              <w:suppressLineNumbers w:val="0"/>
              <w:jc w:val="left"/>
              <w:textAlignment w:val="center"/>
              <w:rPr>
                <w:rFonts w:hint="eastAsia" w:ascii="Times New Roman" w:hAnsi="Times New Roman" w:eastAsia="宋体" w:cs="Times New Roman"/>
                <w:i w:val="0"/>
                <w:color w:val="000000"/>
                <w:kern w:val="2"/>
                <w:sz w:val="24"/>
                <w:szCs w:val="24"/>
                <w:u w:val="none"/>
                <w:lang w:val="en-US" w:eastAsia="zh-CN" w:bidi="ar-SA"/>
              </w:rPr>
            </w:pPr>
            <w:r>
              <w:rPr>
                <w:rFonts w:ascii="仿宋_GB2312" w:hAnsi="Times New Roman" w:eastAsia="仿宋_GB2312" w:cs="仿宋_GB2312"/>
                <w:i w:val="0"/>
                <w:color w:val="000000"/>
                <w:kern w:val="0"/>
                <w:sz w:val="24"/>
                <w:szCs w:val="24"/>
                <w:u w:val="none"/>
                <w:lang w:val="en-US" w:eastAsia="zh-CN" w:bidi="ar"/>
              </w:rPr>
              <w:t>对涉木单位的检疫检查</w:t>
            </w:r>
          </w:p>
        </w:tc>
        <w:tc>
          <w:tcPr>
            <w:tcW w:w="900" w:type="dxa"/>
            <w:vAlign w:val="center"/>
          </w:tcPr>
          <w:p>
            <w:pPr>
              <w:jc w:val="center"/>
              <w:rPr>
                <w:rFonts w:hint="eastAsia" w:ascii="华文中宋" w:hAnsi="华文中宋" w:eastAsia="华文中宋" w:cs="华文中宋"/>
                <w:sz w:val="44"/>
                <w:szCs w:val="44"/>
                <w:vertAlign w:val="baseline"/>
                <w:lang w:val="en-US" w:eastAsia="zh-CN"/>
              </w:rPr>
            </w:pPr>
            <w:r>
              <w:rPr>
                <w:rFonts w:ascii="仿宋_GB2312" w:hAnsi="Times New Roman" w:eastAsia="仿宋_GB2312" w:cs="仿宋_GB2312"/>
                <w:i w:val="0"/>
                <w:color w:val="000000"/>
                <w:kern w:val="0"/>
                <w:sz w:val="24"/>
                <w:szCs w:val="24"/>
                <w:u w:val="none"/>
                <w:lang w:val="en-US" w:eastAsia="zh-CN" w:bidi="ar"/>
              </w:rPr>
              <w:t>涉木单位</w:t>
            </w:r>
          </w:p>
        </w:tc>
        <w:tc>
          <w:tcPr>
            <w:tcW w:w="780" w:type="dxa"/>
            <w:vAlign w:val="center"/>
          </w:tcPr>
          <w:p>
            <w:pPr>
              <w:jc w:val="center"/>
              <w:rPr>
                <w:rFonts w:hint="default" w:ascii="仿宋_GB2312" w:hAnsi="Times New Roman" w:eastAsia="仿宋_GB2312" w:cs="仿宋_GB2312"/>
                <w:i w:val="0"/>
                <w:color w:val="000000"/>
                <w:kern w:val="0"/>
                <w:sz w:val="24"/>
                <w:szCs w:val="24"/>
                <w:u w:val="none"/>
                <w:lang w:val="en-US" w:eastAsia="zh-CN" w:bidi="ar"/>
              </w:rPr>
            </w:pPr>
            <w:r>
              <w:rPr>
                <w:rFonts w:hint="eastAsia" w:ascii="仿宋_GB2312" w:hAnsi="Times New Roman" w:eastAsia="仿宋_GB2312" w:cs="仿宋_GB2312"/>
                <w:i w:val="0"/>
                <w:color w:val="000000"/>
                <w:kern w:val="0"/>
                <w:sz w:val="24"/>
                <w:szCs w:val="24"/>
                <w:u w:val="none"/>
                <w:lang w:val="en-US" w:eastAsia="zh-CN" w:bidi="ar"/>
              </w:rPr>
              <w:t>1</w:t>
            </w:r>
          </w:p>
        </w:tc>
        <w:tc>
          <w:tcPr>
            <w:tcW w:w="855" w:type="dxa"/>
            <w:vAlign w:val="center"/>
          </w:tcPr>
          <w:p>
            <w:pPr>
              <w:jc w:val="center"/>
              <w:rPr>
                <w:rFonts w:hint="eastAsia" w:ascii="仿宋_GB2312" w:hAnsi="Times New Roman" w:eastAsia="仿宋_GB2312" w:cs="仿宋_GB2312"/>
                <w:i w:val="0"/>
                <w:color w:val="000000"/>
                <w:kern w:val="0"/>
                <w:sz w:val="24"/>
                <w:szCs w:val="24"/>
                <w:u w:val="none"/>
                <w:lang w:val="en-US" w:eastAsia="zh-CN" w:bidi="ar"/>
              </w:rPr>
            </w:pPr>
            <w:r>
              <w:rPr>
                <w:rFonts w:hint="default" w:ascii="仿宋_GB2312" w:hAnsi="Times New Roman" w:eastAsia="仿宋_GB2312" w:cs="仿宋_GB2312"/>
                <w:i w:val="0"/>
                <w:color w:val="000000"/>
                <w:kern w:val="0"/>
                <w:sz w:val="24"/>
                <w:szCs w:val="24"/>
                <w:u w:val="none"/>
                <w:lang w:val="en-US" w:eastAsia="zh-CN" w:bidi="ar"/>
              </w:rPr>
              <w:t>现场检查</w:t>
            </w:r>
            <w:r>
              <w:rPr>
                <w:rFonts w:hint="eastAsia" w:ascii="仿宋_GB2312" w:hAnsi="Times New Roman" w:eastAsia="仿宋_GB2312" w:cs="仿宋_GB2312"/>
                <w:i w:val="0"/>
                <w:color w:val="000000"/>
                <w:kern w:val="0"/>
                <w:sz w:val="24"/>
                <w:szCs w:val="24"/>
                <w:u w:val="none"/>
                <w:lang w:val="en-US" w:eastAsia="zh-CN" w:bidi="ar"/>
              </w:rPr>
              <w:t>、</w:t>
            </w:r>
            <w:r>
              <w:rPr>
                <w:rFonts w:hint="default" w:ascii="仿宋_GB2312" w:hAnsi="Times New Roman" w:eastAsia="仿宋_GB2312" w:cs="仿宋_GB2312"/>
                <w:i w:val="0"/>
                <w:color w:val="000000"/>
                <w:kern w:val="0"/>
                <w:sz w:val="24"/>
                <w:szCs w:val="24"/>
                <w:u w:val="none"/>
                <w:lang w:val="en-US" w:eastAsia="zh-CN" w:bidi="ar"/>
              </w:rPr>
              <w:t xml:space="preserve">  书面核查</w:t>
            </w:r>
          </w:p>
        </w:tc>
        <w:tc>
          <w:tcPr>
            <w:tcW w:w="855" w:type="dxa"/>
            <w:vAlign w:val="center"/>
          </w:tcPr>
          <w:p>
            <w:pPr>
              <w:jc w:val="center"/>
              <w:rPr>
                <w:rFonts w:hint="default" w:ascii="仿宋_GB2312" w:hAnsi="Times New Roman" w:eastAsia="仿宋_GB2312" w:cs="仿宋_GB2312"/>
                <w:i w:val="0"/>
                <w:color w:val="000000"/>
                <w:kern w:val="0"/>
                <w:sz w:val="24"/>
                <w:szCs w:val="24"/>
                <w:u w:val="none"/>
                <w:lang w:val="en-US" w:eastAsia="zh-CN" w:bidi="ar"/>
              </w:rPr>
            </w:pPr>
            <w:r>
              <w:rPr>
                <w:rFonts w:hint="eastAsia" w:ascii="仿宋_GB2312" w:hAnsi="Times New Roman" w:eastAsia="仿宋_GB2312" w:cs="仿宋_GB2312"/>
                <w:i w:val="0"/>
                <w:color w:val="000000"/>
                <w:kern w:val="0"/>
                <w:sz w:val="24"/>
                <w:szCs w:val="24"/>
                <w:u w:val="none"/>
                <w:lang w:val="en-US" w:eastAsia="zh-CN" w:bidi="ar"/>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1" w:hRule="atLeast"/>
        </w:trPr>
        <w:tc>
          <w:tcPr>
            <w:tcW w:w="660" w:type="dxa"/>
            <w:vAlign w:val="center"/>
          </w:tcPr>
          <w:p>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w:t>
            </w:r>
          </w:p>
        </w:tc>
        <w:tc>
          <w:tcPr>
            <w:tcW w:w="1185" w:type="dxa"/>
            <w:vAlign w:val="center"/>
          </w:tcPr>
          <w:p>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正定县林业局</w:t>
            </w:r>
          </w:p>
        </w:tc>
        <w:tc>
          <w:tcPr>
            <w:tcW w:w="9045" w:type="dxa"/>
            <w:vAlign w:val="center"/>
          </w:tcPr>
          <w:p>
            <w:pPr>
              <w:keepNext w:val="0"/>
              <w:keepLines w:val="0"/>
              <w:widowControl/>
              <w:suppressLineNumbers w:val="0"/>
              <w:jc w:val="left"/>
              <w:textAlignment w:val="center"/>
              <w:rPr>
                <w:rFonts w:hint="eastAsia" w:ascii="Times New Roman" w:hAnsi="Times New Roman" w:eastAsia="宋体" w:cs="Times New Roman"/>
                <w:i w:val="0"/>
                <w:color w:val="000000"/>
                <w:kern w:val="2"/>
                <w:sz w:val="24"/>
                <w:szCs w:val="24"/>
                <w:u w:val="none"/>
                <w:lang w:val="en-US" w:eastAsia="zh-CN" w:bidi="ar-SA"/>
              </w:rPr>
            </w:pPr>
            <w:r>
              <w:rPr>
                <w:rFonts w:ascii="仿宋_GB2312" w:hAnsi="Times New Roman" w:eastAsia="仿宋_GB2312" w:cs="仿宋_GB2312"/>
                <w:i w:val="0"/>
                <w:color w:val="000000"/>
                <w:kern w:val="0"/>
                <w:sz w:val="24"/>
                <w:szCs w:val="24"/>
                <w:u w:val="none"/>
                <w:lang w:val="en-US" w:eastAsia="zh-CN" w:bidi="ar"/>
              </w:rPr>
              <w:t>《中华人民共和国森林法》第六十六条：县级以上人民政府林业主管部门依照本法规定，对森林资源的保护、修复、利用、更新等进行监督检查，依法查处破坏森林资源等违法行为。</w:t>
            </w:r>
          </w:p>
        </w:tc>
        <w:tc>
          <w:tcPr>
            <w:tcW w:w="1590" w:type="dxa"/>
            <w:vAlign w:val="center"/>
          </w:tcPr>
          <w:p>
            <w:pPr>
              <w:keepNext w:val="0"/>
              <w:keepLines w:val="0"/>
              <w:widowControl/>
              <w:suppressLineNumbers w:val="0"/>
              <w:jc w:val="left"/>
              <w:textAlignment w:val="center"/>
              <w:rPr>
                <w:rFonts w:hint="eastAsia" w:ascii="Times New Roman" w:hAnsi="Times New Roman" w:eastAsia="宋体" w:cs="Times New Roman"/>
                <w:i w:val="0"/>
                <w:color w:val="000000"/>
                <w:kern w:val="2"/>
                <w:sz w:val="24"/>
                <w:szCs w:val="24"/>
                <w:u w:val="none"/>
                <w:lang w:val="en-US" w:eastAsia="zh-CN" w:bidi="ar-SA"/>
              </w:rPr>
            </w:pPr>
            <w:r>
              <w:rPr>
                <w:rFonts w:ascii="仿宋_GB2312" w:hAnsi="Times New Roman" w:eastAsia="仿宋_GB2312" w:cs="仿宋_GB2312"/>
                <w:i w:val="0"/>
                <w:color w:val="000000"/>
                <w:kern w:val="0"/>
                <w:sz w:val="24"/>
                <w:szCs w:val="24"/>
                <w:u w:val="none"/>
                <w:lang w:val="en-US" w:eastAsia="zh-CN" w:bidi="ar"/>
              </w:rPr>
              <w:t>对森林资源的保护、修复、利用、更新等的监督检查</w:t>
            </w:r>
          </w:p>
        </w:tc>
        <w:tc>
          <w:tcPr>
            <w:tcW w:w="900" w:type="dxa"/>
            <w:vAlign w:val="center"/>
          </w:tcPr>
          <w:p>
            <w:pPr>
              <w:keepNext w:val="0"/>
              <w:keepLines w:val="0"/>
              <w:widowControl/>
              <w:suppressLineNumbers w:val="0"/>
              <w:jc w:val="center"/>
              <w:textAlignment w:val="center"/>
              <w:rPr>
                <w:rFonts w:hint="eastAsia" w:ascii="Times New Roman" w:hAnsi="Times New Roman" w:eastAsia="宋体" w:cs="Times New Roman"/>
                <w:i w:val="0"/>
                <w:color w:val="000000"/>
                <w:kern w:val="2"/>
                <w:sz w:val="24"/>
                <w:szCs w:val="24"/>
                <w:u w:val="none"/>
                <w:lang w:val="en-US" w:eastAsia="zh-CN" w:bidi="ar-SA"/>
              </w:rPr>
            </w:pPr>
            <w:r>
              <w:rPr>
                <w:rFonts w:ascii="仿宋_GB2312" w:hAnsi="Times New Roman" w:eastAsia="仿宋_GB2312" w:cs="仿宋_GB2312"/>
                <w:i w:val="0"/>
                <w:color w:val="000000"/>
                <w:kern w:val="0"/>
                <w:sz w:val="24"/>
                <w:szCs w:val="24"/>
                <w:u w:val="none"/>
                <w:lang w:val="en-US" w:eastAsia="zh-CN" w:bidi="ar"/>
              </w:rPr>
              <w:t>临时占用林地和林木采伐被许可</w:t>
            </w:r>
            <w:r>
              <w:rPr>
                <w:rFonts w:hint="eastAsia" w:ascii="仿宋_GB2312" w:hAnsi="Times New Roman" w:eastAsia="仿宋_GB2312" w:cs="仿宋_GB2312"/>
                <w:i w:val="0"/>
                <w:color w:val="000000"/>
                <w:kern w:val="0"/>
                <w:sz w:val="24"/>
                <w:szCs w:val="24"/>
                <w:u w:val="none"/>
                <w:lang w:val="en-US" w:eastAsia="zh-CN" w:bidi="ar"/>
              </w:rPr>
              <w:t>单位</w:t>
            </w:r>
          </w:p>
        </w:tc>
        <w:tc>
          <w:tcPr>
            <w:tcW w:w="780" w:type="dxa"/>
            <w:vAlign w:val="center"/>
          </w:tcPr>
          <w:p>
            <w:pPr>
              <w:jc w:val="center"/>
              <w:rPr>
                <w:rFonts w:hint="default" w:ascii="华文中宋" w:hAnsi="华文中宋" w:eastAsia="华文中宋" w:cs="华文中宋"/>
                <w:sz w:val="44"/>
                <w:szCs w:val="44"/>
                <w:vertAlign w:val="baseline"/>
                <w:lang w:val="en-US" w:eastAsia="zh-CN"/>
              </w:rPr>
            </w:pPr>
            <w:r>
              <w:rPr>
                <w:rFonts w:hint="eastAsia" w:ascii="仿宋_GB2312" w:hAnsi="Times New Roman" w:eastAsia="仿宋_GB2312" w:cs="仿宋_GB2312"/>
                <w:i w:val="0"/>
                <w:color w:val="000000"/>
                <w:kern w:val="0"/>
                <w:sz w:val="24"/>
                <w:szCs w:val="24"/>
                <w:u w:val="none"/>
                <w:lang w:val="en-US" w:eastAsia="zh-CN" w:bidi="ar"/>
              </w:rPr>
              <w:t>1</w:t>
            </w:r>
          </w:p>
        </w:tc>
        <w:tc>
          <w:tcPr>
            <w:tcW w:w="855" w:type="dxa"/>
            <w:vAlign w:val="center"/>
          </w:tcPr>
          <w:p>
            <w:pPr>
              <w:keepNext w:val="0"/>
              <w:keepLines w:val="0"/>
              <w:widowControl/>
              <w:suppressLineNumbers w:val="0"/>
              <w:jc w:val="center"/>
              <w:textAlignment w:val="center"/>
              <w:rPr>
                <w:rFonts w:hint="eastAsia" w:ascii="Times New Roman" w:hAnsi="Times New Roman" w:eastAsia="宋体" w:cs="Times New Roman"/>
                <w:i w:val="0"/>
                <w:color w:val="000000"/>
                <w:kern w:val="2"/>
                <w:sz w:val="24"/>
                <w:szCs w:val="24"/>
                <w:u w:val="none"/>
                <w:lang w:val="en-US" w:eastAsia="zh-CN" w:bidi="ar-SA"/>
              </w:rPr>
            </w:pPr>
            <w:r>
              <w:rPr>
                <w:rFonts w:hint="default" w:ascii="仿宋_GB2312" w:hAnsi="Times New Roman" w:eastAsia="仿宋_GB2312" w:cs="仿宋_GB2312"/>
                <w:i w:val="0"/>
                <w:color w:val="000000"/>
                <w:kern w:val="0"/>
                <w:sz w:val="24"/>
                <w:szCs w:val="24"/>
                <w:u w:val="none"/>
                <w:lang w:val="en-US" w:eastAsia="zh-CN" w:bidi="ar"/>
              </w:rPr>
              <w:t>现场检查</w:t>
            </w:r>
            <w:r>
              <w:rPr>
                <w:rFonts w:hint="eastAsia" w:ascii="仿宋_GB2312" w:hAnsi="Times New Roman" w:eastAsia="仿宋_GB2312" w:cs="仿宋_GB2312"/>
                <w:i w:val="0"/>
                <w:color w:val="000000"/>
                <w:kern w:val="0"/>
                <w:sz w:val="24"/>
                <w:szCs w:val="24"/>
                <w:u w:val="none"/>
                <w:lang w:val="en-US" w:eastAsia="zh-CN" w:bidi="ar"/>
              </w:rPr>
              <w:t>、</w:t>
            </w:r>
            <w:r>
              <w:rPr>
                <w:rFonts w:hint="default" w:ascii="仿宋_GB2312" w:hAnsi="Times New Roman" w:eastAsia="仿宋_GB2312" w:cs="仿宋_GB2312"/>
                <w:i w:val="0"/>
                <w:color w:val="000000"/>
                <w:kern w:val="0"/>
                <w:sz w:val="24"/>
                <w:szCs w:val="24"/>
                <w:u w:val="none"/>
                <w:lang w:val="en-US" w:eastAsia="zh-CN" w:bidi="ar"/>
              </w:rPr>
              <w:t xml:space="preserve">  书面核查</w:t>
            </w:r>
          </w:p>
        </w:tc>
        <w:tc>
          <w:tcPr>
            <w:tcW w:w="855" w:type="dxa"/>
            <w:vAlign w:val="center"/>
          </w:tcPr>
          <w:p>
            <w:pPr>
              <w:jc w:val="center"/>
              <w:rPr>
                <w:rFonts w:hint="eastAsia" w:ascii="华文中宋" w:hAnsi="华文中宋" w:eastAsia="华文中宋" w:cs="华文中宋"/>
                <w:sz w:val="44"/>
                <w:szCs w:val="44"/>
                <w:vertAlign w:val="baseline"/>
                <w:lang w:val="en-US" w:eastAsia="zh-CN"/>
              </w:rPr>
            </w:pPr>
            <w:r>
              <w:rPr>
                <w:rFonts w:hint="eastAsia" w:ascii="仿宋_GB2312" w:hAnsi="Times New Roman" w:eastAsia="仿宋_GB2312" w:cs="仿宋_GB2312"/>
                <w:i w:val="0"/>
                <w:color w:val="000000"/>
                <w:kern w:val="0"/>
                <w:sz w:val="24"/>
                <w:szCs w:val="24"/>
                <w:u w:val="none"/>
                <w:lang w:val="en-US" w:eastAsia="zh-CN" w:bidi="ar"/>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7" w:hRule="atLeast"/>
        </w:trPr>
        <w:tc>
          <w:tcPr>
            <w:tcW w:w="660" w:type="dxa"/>
            <w:vAlign w:val="center"/>
          </w:tcPr>
          <w:p>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9</w:t>
            </w:r>
          </w:p>
        </w:tc>
        <w:tc>
          <w:tcPr>
            <w:tcW w:w="1185" w:type="dxa"/>
            <w:vAlign w:val="center"/>
          </w:tcPr>
          <w:p>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正定县林业局</w:t>
            </w:r>
          </w:p>
        </w:tc>
        <w:tc>
          <w:tcPr>
            <w:tcW w:w="9045" w:type="dxa"/>
            <w:vAlign w:val="center"/>
          </w:tcPr>
          <w:p>
            <w:pPr>
              <w:keepNext w:val="0"/>
              <w:keepLines w:val="0"/>
              <w:widowControl/>
              <w:suppressLineNumbers w:val="0"/>
              <w:jc w:val="left"/>
              <w:textAlignment w:val="center"/>
              <w:rPr>
                <w:rFonts w:ascii="仿宋_GB2312" w:hAnsi="Times New Roman" w:eastAsia="仿宋_GB2312" w:cs="仿宋_GB2312"/>
                <w:i w:val="0"/>
                <w:color w:val="000000"/>
                <w:kern w:val="0"/>
                <w:sz w:val="24"/>
                <w:szCs w:val="24"/>
                <w:u w:val="none"/>
                <w:lang w:val="en-US" w:eastAsia="zh-CN" w:bidi="ar"/>
              </w:rPr>
            </w:pPr>
            <w:r>
              <w:rPr>
                <w:rFonts w:ascii="仿宋_GB2312" w:hAnsi="Times New Roman" w:eastAsia="仿宋_GB2312" w:cs="仿宋_GB2312"/>
                <w:i w:val="0"/>
                <w:color w:val="000000"/>
                <w:kern w:val="0"/>
                <w:sz w:val="24"/>
                <w:szCs w:val="24"/>
                <w:u w:val="none"/>
                <w:lang w:val="en-US" w:eastAsia="zh-CN" w:bidi="ar"/>
              </w:rPr>
              <w:t>《森林防火条例》第五条：县级以上地方人民政府林业主管部门负责本行政区域森林防火的监督和管理工作，承担本级人民政府森林防火指挥机构的日常工作。</w:t>
            </w:r>
          </w:p>
          <w:p>
            <w:pPr>
              <w:keepNext w:val="0"/>
              <w:keepLines w:val="0"/>
              <w:widowControl/>
              <w:suppressLineNumbers w:val="0"/>
              <w:jc w:val="left"/>
              <w:textAlignment w:val="center"/>
              <w:rPr>
                <w:rFonts w:ascii="仿宋_GB2312" w:hAnsi="Times New Roman" w:eastAsia="仿宋_GB2312" w:cs="仿宋_GB2312"/>
                <w:i w:val="0"/>
                <w:color w:val="000000"/>
                <w:kern w:val="0"/>
                <w:sz w:val="24"/>
                <w:szCs w:val="24"/>
                <w:u w:val="none"/>
                <w:lang w:val="en-US" w:eastAsia="zh-CN" w:bidi="ar"/>
              </w:rPr>
            </w:pPr>
            <w:r>
              <w:rPr>
                <w:rFonts w:ascii="仿宋_GB2312" w:hAnsi="Times New Roman" w:eastAsia="仿宋_GB2312" w:cs="仿宋_GB2312"/>
                <w:i w:val="0"/>
                <w:color w:val="000000"/>
                <w:kern w:val="0"/>
                <w:sz w:val="24"/>
                <w:szCs w:val="24"/>
                <w:u w:val="none"/>
                <w:lang w:val="en-US" w:eastAsia="zh-CN" w:bidi="ar"/>
              </w:rPr>
              <w:t>《草原防火条例》第五条：县级以上地方人民政府确定的草原防火主管部门主管本行政区域内的草原防火工作。县级以上人民政府其他有关部门在各自的职责范围内做好草原防火工作。</w:t>
            </w:r>
          </w:p>
          <w:p>
            <w:pPr>
              <w:keepNext w:val="0"/>
              <w:keepLines w:val="0"/>
              <w:widowControl/>
              <w:suppressLineNumbers w:val="0"/>
              <w:jc w:val="left"/>
              <w:textAlignment w:val="center"/>
              <w:rPr>
                <w:rFonts w:ascii="仿宋_GB2312" w:hAnsi="Times New Roman" w:eastAsia="仿宋_GB2312" w:cs="仿宋_GB2312"/>
                <w:i w:val="0"/>
                <w:color w:val="000000"/>
                <w:kern w:val="0"/>
                <w:sz w:val="24"/>
                <w:szCs w:val="24"/>
                <w:u w:val="none"/>
                <w:lang w:val="en-US" w:eastAsia="zh-CN" w:bidi="ar"/>
              </w:rPr>
            </w:pPr>
            <w:r>
              <w:rPr>
                <w:rFonts w:ascii="仿宋_GB2312" w:hAnsi="Times New Roman" w:eastAsia="仿宋_GB2312" w:cs="仿宋_GB2312"/>
                <w:i w:val="0"/>
                <w:color w:val="000000"/>
                <w:kern w:val="0"/>
                <w:sz w:val="24"/>
                <w:szCs w:val="24"/>
                <w:u w:val="none"/>
                <w:lang w:val="en-US" w:eastAsia="zh-CN" w:bidi="ar"/>
              </w:rPr>
              <w:t>《河北省人民政府办公厅关于印发河北省旅游景区森林草原防火工作管理办法（试行）的通知》（冀政办字〔</w:t>
            </w:r>
            <w:r>
              <w:rPr>
                <w:rFonts w:hint="default" w:ascii="Times New Roman" w:hAnsi="Times New Roman" w:eastAsia="宋体" w:cs="Times New Roman"/>
                <w:i w:val="0"/>
                <w:color w:val="000000"/>
                <w:kern w:val="0"/>
                <w:sz w:val="24"/>
                <w:szCs w:val="24"/>
                <w:u w:val="none"/>
                <w:lang w:val="en-US" w:eastAsia="zh-CN" w:bidi="ar"/>
              </w:rPr>
              <w:t>2023</w:t>
            </w:r>
            <w:r>
              <w:rPr>
                <w:rFonts w:ascii="仿宋_GB2312" w:hAnsi="Times New Roman" w:eastAsia="仿宋_GB2312" w:cs="仿宋_GB2312"/>
                <w:i w:val="0"/>
                <w:color w:val="000000"/>
                <w:kern w:val="0"/>
                <w:sz w:val="24"/>
                <w:szCs w:val="24"/>
                <w:u w:val="none"/>
                <w:lang w:val="en-US" w:eastAsia="zh-CN" w:bidi="ar"/>
              </w:rPr>
              <w:t>〕</w:t>
            </w:r>
            <w:r>
              <w:rPr>
                <w:rFonts w:hint="default" w:ascii="Times New Roman" w:hAnsi="Times New Roman" w:eastAsia="宋体" w:cs="Times New Roman"/>
                <w:i w:val="0"/>
                <w:color w:val="000000"/>
                <w:kern w:val="0"/>
                <w:sz w:val="24"/>
                <w:szCs w:val="24"/>
                <w:u w:val="none"/>
                <w:lang w:val="en-US" w:eastAsia="zh-CN" w:bidi="ar"/>
              </w:rPr>
              <w:t>61</w:t>
            </w:r>
            <w:r>
              <w:rPr>
                <w:rFonts w:ascii="仿宋_GB2312" w:hAnsi="Times New Roman" w:eastAsia="仿宋_GB2312" w:cs="仿宋_GB2312"/>
                <w:i w:val="0"/>
                <w:color w:val="000000"/>
                <w:kern w:val="0"/>
                <w:sz w:val="24"/>
                <w:szCs w:val="24"/>
                <w:u w:val="none"/>
                <w:lang w:val="en-US" w:eastAsia="zh-CN" w:bidi="ar"/>
              </w:rPr>
              <w:t>号）</w:t>
            </w:r>
          </w:p>
          <w:p>
            <w:pPr>
              <w:keepNext w:val="0"/>
              <w:keepLines w:val="0"/>
              <w:widowControl/>
              <w:suppressLineNumbers w:val="0"/>
              <w:jc w:val="left"/>
              <w:textAlignment w:val="center"/>
              <w:rPr>
                <w:rFonts w:hint="eastAsia" w:ascii="Times New Roman" w:hAnsi="Times New Roman" w:eastAsia="宋体" w:cs="Times New Roman"/>
                <w:i w:val="0"/>
                <w:color w:val="000000"/>
                <w:kern w:val="2"/>
                <w:sz w:val="24"/>
                <w:szCs w:val="24"/>
                <w:u w:val="none"/>
                <w:lang w:val="en-US" w:eastAsia="zh-CN" w:bidi="ar-SA"/>
              </w:rPr>
            </w:pPr>
            <w:r>
              <w:rPr>
                <w:rFonts w:ascii="仿宋_GB2312" w:hAnsi="Times New Roman" w:eastAsia="仿宋_GB2312" w:cs="仿宋_GB2312"/>
                <w:i w:val="0"/>
                <w:color w:val="000000"/>
                <w:kern w:val="0"/>
                <w:sz w:val="24"/>
                <w:szCs w:val="24"/>
                <w:u w:val="none"/>
                <w:lang w:val="en-US" w:eastAsia="zh-CN" w:bidi="ar"/>
              </w:rPr>
              <w:t>《中华人民共和国安全生产法》第六十五条　应急管理部门和其他负有安全生产监督管理职责的部门依法开展安全生产行政执法工作，对生产经营单位执行有关安全生产的法律、法规和国家标准或者行业标准的情况进行监督检查，行使以下职权</w:t>
            </w:r>
            <w:r>
              <w:rPr>
                <w:rFonts w:hint="default" w:ascii="Times New Roman" w:hAnsi="Times New Roman" w:eastAsia="宋体" w:cs="Times New Roman"/>
                <w:i w:val="0"/>
                <w:color w:val="000000"/>
                <w:kern w:val="0"/>
                <w:sz w:val="24"/>
                <w:szCs w:val="24"/>
                <w:u w:val="none"/>
                <w:lang w:val="en-US" w:eastAsia="zh-CN" w:bidi="ar"/>
              </w:rPr>
              <w:t>:</w:t>
            </w:r>
            <w:r>
              <w:rPr>
                <w:rFonts w:ascii="仿宋_GB2312" w:hAnsi="Times New Roman" w:eastAsia="仿宋_GB2312" w:cs="仿宋_GB2312"/>
                <w:i w:val="0"/>
                <w:color w:val="000000"/>
                <w:kern w:val="0"/>
                <w:sz w:val="24"/>
                <w:szCs w:val="24"/>
                <w:u w:val="none"/>
                <w:lang w:val="en-US" w:eastAsia="zh-CN" w:bidi="ar"/>
              </w:rPr>
              <w:t>（一）进入生产经营单位进行检查，调阅有关资料，向有关单位和人员了解情况；（二）对检查中发现的安全生产违法行为，当场予以纠正或者要求限期改正；对依法应当给予行政处罚的行为，依照本法和其他有关法律、行政法规的规定作出行政处罚决定；（三）对检查中发现的事故隐患，应当责令立即排除；重大事故隐患排除前或者排除过程中无法保证安全的，应当责令从危险区域内撤出作业人员，责令暂时停产停业或者停止使用相关设施、设备；重大事故隐患排除后，经审查同意，方可恢复生产经营和使用；（四）对有根据认为不符合保障安全生产的国家标准或者行业标准的设施、设备、器材以及违法生产、储存、使用、经营、运输的危险物品予以查封或者扣押，对违法生产、储存、使用、经营危险物品的作业场所予以查封，并依法作出处理决定。监督检查不得影响被检查单位的正常生产经营活动。</w:t>
            </w:r>
          </w:p>
        </w:tc>
        <w:tc>
          <w:tcPr>
            <w:tcW w:w="1590" w:type="dxa"/>
            <w:vAlign w:val="center"/>
          </w:tcPr>
          <w:p>
            <w:pPr>
              <w:keepNext w:val="0"/>
              <w:keepLines w:val="0"/>
              <w:widowControl/>
              <w:suppressLineNumbers w:val="0"/>
              <w:jc w:val="left"/>
              <w:textAlignment w:val="center"/>
              <w:rPr>
                <w:rFonts w:hint="eastAsia" w:ascii="Times New Roman" w:hAnsi="Times New Roman" w:eastAsia="宋体" w:cs="Times New Roman"/>
                <w:i w:val="0"/>
                <w:color w:val="000000"/>
                <w:kern w:val="2"/>
                <w:sz w:val="24"/>
                <w:szCs w:val="24"/>
                <w:u w:val="none"/>
                <w:lang w:val="en-US" w:eastAsia="zh-CN" w:bidi="ar-SA"/>
              </w:rPr>
            </w:pPr>
            <w:r>
              <w:rPr>
                <w:rFonts w:ascii="仿宋_GB2312" w:hAnsi="Times New Roman" w:eastAsia="仿宋_GB2312" w:cs="仿宋_GB2312"/>
                <w:i w:val="0"/>
                <w:color w:val="000000"/>
                <w:kern w:val="0"/>
                <w:sz w:val="24"/>
                <w:szCs w:val="24"/>
                <w:u w:val="none"/>
                <w:lang w:val="en-US" w:eastAsia="zh-CN" w:bidi="ar"/>
              </w:rPr>
              <w:t>对森林草原防火和安全生产工作的监督检查</w:t>
            </w:r>
          </w:p>
        </w:tc>
        <w:tc>
          <w:tcPr>
            <w:tcW w:w="900" w:type="dxa"/>
            <w:vAlign w:val="center"/>
          </w:tcPr>
          <w:p>
            <w:pPr>
              <w:keepNext w:val="0"/>
              <w:keepLines w:val="0"/>
              <w:widowControl/>
              <w:suppressLineNumbers w:val="0"/>
              <w:jc w:val="center"/>
              <w:textAlignment w:val="center"/>
              <w:rPr>
                <w:rFonts w:hint="eastAsia" w:ascii="Times New Roman" w:hAnsi="Times New Roman" w:eastAsia="宋体" w:cs="Times New Roman"/>
                <w:i w:val="0"/>
                <w:color w:val="000000"/>
                <w:kern w:val="2"/>
                <w:sz w:val="24"/>
                <w:szCs w:val="24"/>
                <w:u w:val="none"/>
                <w:lang w:val="en-US" w:eastAsia="zh-CN" w:bidi="ar-SA"/>
              </w:rPr>
            </w:pPr>
            <w:r>
              <w:rPr>
                <w:rFonts w:ascii="仿宋_GB2312" w:hAnsi="Times New Roman" w:eastAsia="仿宋_GB2312" w:cs="仿宋_GB2312"/>
                <w:i w:val="0"/>
                <w:color w:val="000000"/>
                <w:kern w:val="0"/>
                <w:sz w:val="24"/>
                <w:szCs w:val="24"/>
                <w:u w:val="none"/>
                <w:lang w:val="en-US" w:eastAsia="zh-CN" w:bidi="ar"/>
              </w:rPr>
              <w:t>林草生产经营单位</w:t>
            </w:r>
          </w:p>
        </w:tc>
        <w:tc>
          <w:tcPr>
            <w:tcW w:w="780" w:type="dxa"/>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2"/>
                <w:sz w:val="24"/>
                <w:szCs w:val="24"/>
                <w:u w:val="none"/>
                <w:lang w:val="en-US" w:eastAsia="zh-CN" w:bidi="ar-SA"/>
              </w:rPr>
            </w:pPr>
            <w:r>
              <w:rPr>
                <w:rFonts w:hint="default" w:ascii="仿宋_GB2312" w:hAnsi="宋体" w:eastAsia="仿宋_GB2312" w:cs="仿宋_GB2312"/>
                <w:i w:val="0"/>
                <w:color w:val="000000"/>
                <w:kern w:val="0"/>
                <w:sz w:val="24"/>
                <w:szCs w:val="24"/>
                <w:u w:val="none"/>
                <w:lang w:val="en-US" w:eastAsia="zh-CN" w:bidi="ar"/>
              </w:rPr>
              <w:t>安全生产检查频次：</w:t>
            </w:r>
            <w:r>
              <w:rPr>
                <w:rFonts w:hint="default" w:ascii="Times New Roman" w:hAnsi="Times New Roman" w:eastAsia="仿宋_GB2312" w:cs="Times New Roman"/>
                <w:i w:val="0"/>
                <w:color w:val="000000"/>
                <w:kern w:val="0"/>
                <w:sz w:val="24"/>
                <w:szCs w:val="24"/>
                <w:u w:val="none"/>
                <w:lang w:val="en-US" w:eastAsia="zh-CN" w:bidi="ar"/>
              </w:rPr>
              <w:t>1</w:t>
            </w:r>
          </w:p>
        </w:tc>
        <w:tc>
          <w:tcPr>
            <w:tcW w:w="855" w:type="dxa"/>
            <w:vAlign w:val="center"/>
          </w:tcPr>
          <w:p>
            <w:pPr>
              <w:jc w:val="center"/>
              <w:rPr>
                <w:rFonts w:hint="eastAsia" w:ascii="华文中宋" w:hAnsi="华文中宋" w:eastAsia="华文中宋" w:cs="华文中宋"/>
                <w:sz w:val="44"/>
                <w:szCs w:val="44"/>
                <w:vertAlign w:val="baseline"/>
                <w:lang w:val="en-US" w:eastAsia="zh-CN"/>
              </w:rPr>
            </w:pPr>
            <w:r>
              <w:rPr>
                <w:rFonts w:hint="default" w:ascii="仿宋_GB2312" w:hAnsi="Times New Roman" w:eastAsia="仿宋_GB2312" w:cs="仿宋_GB2312"/>
                <w:i w:val="0"/>
                <w:color w:val="000000"/>
                <w:kern w:val="0"/>
                <w:sz w:val="24"/>
                <w:szCs w:val="24"/>
                <w:u w:val="none"/>
                <w:lang w:val="en-US" w:eastAsia="zh-CN" w:bidi="ar"/>
              </w:rPr>
              <w:t>现场检查</w:t>
            </w:r>
            <w:r>
              <w:rPr>
                <w:rFonts w:hint="eastAsia" w:ascii="仿宋_GB2312" w:hAnsi="Times New Roman" w:eastAsia="仿宋_GB2312" w:cs="仿宋_GB2312"/>
                <w:i w:val="0"/>
                <w:color w:val="000000"/>
                <w:kern w:val="0"/>
                <w:sz w:val="24"/>
                <w:szCs w:val="24"/>
                <w:u w:val="none"/>
                <w:lang w:val="en-US" w:eastAsia="zh-CN" w:bidi="ar"/>
              </w:rPr>
              <w:t>、</w:t>
            </w:r>
            <w:r>
              <w:rPr>
                <w:rFonts w:hint="default" w:ascii="仿宋_GB2312" w:hAnsi="Times New Roman" w:eastAsia="仿宋_GB2312" w:cs="仿宋_GB2312"/>
                <w:i w:val="0"/>
                <w:color w:val="000000"/>
                <w:kern w:val="0"/>
                <w:sz w:val="24"/>
                <w:szCs w:val="24"/>
                <w:u w:val="none"/>
                <w:lang w:val="en-US" w:eastAsia="zh-CN" w:bidi="ar"/>
              </w:rPr>
              <w:t xml:space="preserve">  书面核查</w:t>
            </w:r>
          </w:p>
        </w:tc>
        <w:tc>
          <w:tcPr>
            <w:tcW w:w="855" w:type="dxa"/>
            <w:vAlign w:val="center"/>
          </w:tcPr>
          <w:p>
            <w:pPr>
              <w:jc w:val="center"/>
              <w:rPr>
                <w:rFonts w:hint="eastAsia" w:ascii="华文中宋" w:hAnsi="华文中宋" w:eastAsia="华文中宋" w:cs="华文中宋"/>
                <w:sz w:val="44"/>
                <w:szCs w:val="44"/>
                <w:vertAlign w:val="baseline"/>
                <w:lang w:val="en-US" w:eastAsia="zh-CN"/>
              </w:rPr>
            </w:pPr>
            <w:r>
              <w:rPr>
                <w:rFonts w:hint="eastAsia" w:ascii="仿宋_GB2312" w:hAnsi="Times New Roman" w:eastAsia="仿宋_GB2312" w:cs="仿宋_GB2312"/>
                <w:i w:val="0"/>
                <w:color w:val="000000"/>
                <w:kern w:val="0"/>
                <w:sz w:val="24"/>
                <w:szCs w:val="24"/>
                <w:u w:val="none"/>
                <w:lang w:val="en-US" w:eastAsia="zh-CN" w:bidi="ar"/>
              </w:rPr>
              <w:t>否</w:t>
            </w:r>
          </w:p>
        </w:tc>
      </w:tr>
    </w:tbl>
    <w:p>
      <w:pPr>
        <w:jc w:val="center"/>
        <w:rPr>
          <w:rFonts w:hint="eastAsia" w:ascii="华文中宋" w:hAnsi="华文中宋" w:eastAsia="华文中宋" w:cs="华文中宋"/>
          <w:sz w:val="44"/>
          <w:szCs w:val="44"/>
          <w:lang w:val="en-US" w:eastAsia="zh-CN"/>
        </w:rPr>
      </w:pPr>
    </w:p>
    <w:sectPr>
      <w:headerReference r:id="rId3" w:type="default"/>
      <w:footerReference r:id="rId4"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1A0122"/>
    <w:rsid w:val="019E720A"/>
    <w:rsid w:val="01B73573"/>
    <w:rsid w:val="01C51463"/>
    <w:rsid w:val="02BF7C24"/>
    <w:rsid w:val="0307028E"/>
    <w:rsid w:val="04907714"/>
    <w:rsid w:val="082F55AA"/>
    <w:rsid w:val="095363BD"/>
    <w:rsid w:val="0BB2135F"/>
    <w:rsid w:val="0CE26298"/>
    <w:rsid w:val="0F352CB2"/>
    <w:rsid w:val="0F9A025D"/>
    <w:rsid w:val="14D0721E"/>
    <w:rsid w:val="183D5D18"/>
    <w:rsid w:val="1A235C3A"/>
    <w:rsid w:val="1BE200DE"/>
    <w:rsid w:val="1C5F1D6A"/>
    <w:rsid w:val="1CE3483C"/>
    <w:rsid w:val="1E914418"/>
    <w:rsid w:val="1F711C32"/>
    <w:rsid w:val="234649AF"/>
    <w:rsid w:val="25315EE0"/>
    <w:rsid w:val="257D7A89"/>
    <w:rsid w:val="28601AC3"/>
    <w:rsid w:val="28911F50"/>
    <w:rsid w:val="2EBF7A34"/>
    <w:rsid w:val="2F443D08"/>
    <w:rsid w:val="30E247D1"/>
    <w:rsid w:val="32036145"/>
    <w:rsid w:val="334C2FCB"/>
    <w:rsid w:val="3A710FFA"/>
    <w:rsid w:val="3AD97538"/>
    <w:rsid w:val="3D3E1E48"/>
    <w:rsid w:val="3D7E612F"/>
    <w:rsid w:val="3EBA6D05"/>
    <w:rsid w:val="3EE56AD0"/>
    <w:rsid w:val="3EFE796B"/>
    <w:rsid w:val="3FC87F4A"/>
    <w:rsid w:val="41917096"/>
    <w:rsid w:val="431F7D98"/>
    <w:rsid w:val="4A3C487B"/>
    <w:rsid w:val="4A4B12CE"/>
    <w:rsid w:val="4B565D0D"/>
    <w:rsid w:val="4D3F1A29"/>
    <w:rsid w:val="4D6B489F"/>
    <w:rsid w:val="4F244DE4"/>
    <w:rsid w:val="501035AC"/>
    <w:rsid w:val="52C57F11"/>
    <w:rsid w:val="53512366"/>
    <w:rsid w:val="539A664D"/>
    <w:rsid w:val="55781A13"/>
    <w:rsid w:val="5733343E"/>
    <w:rsid w:val="5997691A"/>
    <w:rsid w:val="5A2B5106"/>
    <w:rsid w:val="5AD4458D"/>
    <w:rsid w:val="5E8B4177"/>
    <w:rsid w:val="60CD3632"/>
    <w:rsid w:val="622309E0"/>
    <w:rsid w:val="65F7173E"/>
    <w:rsid w:val="65FB1335"/>
    <w:rsid w:val="66933AA9"/>
    <w:rsid w:val="6770392D"/>
    <w:rsid w:val="67BD492C"/>
    <w:rsid w:val="69986290"/>
    <w:rsid w:val="69B55113"/>
    <w:rsid w:val="69E53BCA"/>
    <w:rsid w:val="6C383ED9"/>
    <w:rsid w:val="72F67B37"/>
    <w:rsid w:val="737E3C50"/>
    <w:rsid w:val="74BE1A9B"/>
    <w:rsid w:val="760E6CDF"/>
    <w:rsid w:val="763D40B8"/>
    <w:rsid w:val="77F3692B"/>
    <w:rsid w:val="79346A40"/>
    <w:rsid w:val="7A00221D"/>
    <w:rsid w:val="7A7C1376"/>
    <w:rsid w:val="7AEA2B9F"/>
    <w:rsid w:val="7B5B0EFF"/>
    <w:rsid w:val="7C1A01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01"/>
    <w:basedOn w:val="6"/>
    <w:qFormat/>
    <w:uiPriority w:val="0"/>
    <w:rPr>
      <w:rFonts w:ascii="仿宋_GB2312" w:eastAsia="仿宋_GB2312" w:cs="仿宋_GB2312"/>
      <w:color w:val="000000"/>
      <w:sz w:val="24"/>
      <w:szCs w:val="24"/>
      <w:u w:val="none"/>
    </w:rPr>
  </w:style>
  <w:style w:type="character" w:customStyle="1" w:styleId="8">
    <w:name w:val="font11"/>
    <w:basedOn w:val="6"/>
    <w:qFormat/>
    <w:uiPriority w:val="0"/>
    <w:rPr>
      <w:rFonts w:hint="default"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2026-01-19T02:48:00Z</dcterms:created>
  <dc:creator>niu</dc:creator>
  <cp:lastModifiedBy>hp</cp:lastModifiedBy>
  <dcterms:modified xsi:type="dcterms:W3CDTF">2026-02-12T01:59:30Z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