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72"/>
        </w:rPr>
        <w:t>正定县文学艺术界联合会</w:t>
      </w:r>
    </w:p>
    <w:p>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方正楷体_GBK" w:hAnsi="方正楷体_GBK" w:eastAsia="方正楷体_GBK" w:cs="方正楷体_GBK"/>
          <w:b/>
          <w:color w:val="000000"/>
          <w:sz w:val="32"/>
        </w:rPr>
        <w:t>正定县文学艺术界联合会编制</w:t>
      </w:r>
    </w:p>
    <w:p>
      <w:pPr>
        <w:spacing w:before="0" w:after="0" w:line="240" w:lineRule="auto"/>
        <w:ind w:firstLine="0"/>
        <w:jc w:val="center"/>
        <w:outlineLvl w:val="9"/>
        <w:sectPr>
          <w:pgSz w:w="11900" w:h="16840"/>
          <w:pgMar w:top="1984" w:right="1304" w:bottom="1134" w:left="1304" w:header="720" w:footer="720" w:gutter="0"/>
          <w:titlePg/>
        </w:sectPr>
      </w:pPr>
      <w:r>
        <w:rPr>
          <w:rFonts w:ascii="方正楷体_GBK" w:hAnsi="方正楷体_GBK" w:eastAsia="方正楷体_GBK" w:cs="方正楷体_GBK"/>
          <w:b/>
          <w:color w:val="000000"/>
          <w:sz w:val="32"/>
        </w:rPr>
        <w:t>正定县财政局审核</w:t>
      </w:r>
    </w:p>
    <w:p>
      <w:pPr>
        <w:spacing w:before="0" w:after="0" w:line="240" w:lineRule="auto"/>
        <w:ind w:firstLine="0"/>
        <w:jc w:val="center"/>
        <w:outlineLvl w:val="9"/>
        <w:sectPr>
          <w:pgSz w:w="11900" w:h="16840"/>
          <w:pgMar w:top="1984" w:right="1304" w:bottom="1134" w:left="1304" w:header="720" w:footer="720" w:gutter="0"/>
          <w:titlePg/>
        </w:sectPr>
      </w:pPr>
    </w:p>
    <w:p>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2</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pPr>
        <w:pStyle w:val="2"/>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1.文学艺术工作经费绩效目标表</w:t>
      </w:r>
      <w:r>
        <w:tab/>
      </w:r>
      <w:r>
        <w:fldChar w:fldCharType="begin"/>
      </w:r>
      <w:r>
        <w:instrText xml:space="preserve">PAGEREF _Toc_4_4_0000000004 \h</w:instrText>
      </w:r>
      <w:r>
        <w:fldChar w:fldCharType="separate"/>
      </w:r>
      <w:r>
        <w:t>6</w:t>
      </w:r>
      <w:r>
        <w:fldChar w:fldCharType="end"/>
      </w:r>
      <w:r>
        <w:fldChar w:fldCharType="end"/>
      </w:r>
    </w:p>
    <w:p>
      <w:r>
        <w:fldChar w:fldCharType="end"/>
      </w:r>
    </w:p>
    <w:p>
      <w:pPr>
        <w:sectPr>
          <w:footerReference r:id="rId3" w:type="default"/>
          <w:footerReference r:id="rId4" w:type="even"/>
          <w:pgSz w:w="11900" w:h="16840"/>
          <w:pgMar w:top="1984" w:right="1304" w:bottom="1134" w:left="1304" w:header="720" w:footer="720" w:gutter="0"/>
          <w:pgNumType w:start="1"/>
        </w:sectPr>
      </w:pPr>
      <w:r>
        <w:br w:type="page"/>
      </w:r>
      <w:r>
        <w:br w:type="textWrapping"/>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pPr>
        <w:pStyle w:val="8"/>
      </w:pPr>
      <w:r>
        <w:t>2026年，正定县文联将继续坚持以习近平新时代中国特色社会主义思想为指导，认真学习二十大和历届全会精神，全面贯彻落实中央、省、市、县关于文艺工作的发展要求，坚持创造性转化、创新性发展，坚守中华文化立场。加强政治引领，为文艺人才成长进步提供支持和帮助；进一步完善文艺人才的培养机制，引导文艺工作者不断丰富历史文化修养，提高艺术创作水平，走进人民之中，倾听人民心声，创作出更多反映新时代、弘扬主旋律的精品力作。注重运用先进知识与创新手段，全力推动正定县文艺工作高质量发展，同时充分利用正定丰富的历史文化资源和地域特色，组织各协会艺术家积极开展各项文艺活动，宣传正定，围绕“招商选资”等中心工作和经济社会发展，推出有地域特色的文艺精品。</w:t>
      </w:r>
    </w:p>
    <w:p>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pPr>
        <w:pStyle w:val="9"/>
      </w:pPr>
      <w:r>
        <w:t>一是继续擦亮正定县“书法之乡”金字招牌，举办迎新春、庆五一等不同主题书画展览、竞赛活动，并组织全县书画爱好者奔赴各地开展送书画进军营、进乡镇、进学校活动。</w:t>
      </w:r>
    </w:p>
    <w:p>
      <w:pPr>
        <w:pStyle w:val="9"/>
      </w:pPr>
      <w:r>
        <w:t>二是举办第十一届“海棠诗会”，组织作家、诗人、学生、市民们汇聚荣国府海棠花下，观赏诗歌朗诵、歌曲演唱、曲艺表演等节目，弘扬古城正定的深厚文化和人文精神。</w:t>
      </w:r>
    </w:p>
    <w:p>
      <w:pPr>
        <w:pStyle w:val="9"/>
      </w:pPr>
      <w:r>
        <w:t>三是评选第二十二届“正定县文艺繁荣奖”，进一步完善文艺人才的培养机制，引导文艺工作者不断丰富历史文化修养，提高艺术创作水平，创作出更多反映新时代、弘扬主旋律的精品力作。</w:t>
      </w:r>
    </w:p>
    <w:p>
      <w:pPr>
        <w:pStyle w:val="9"/>
      </w:pPr>
      <w:r>
        <w:t>四是为了更好地拓宽诗词传播渠道，充分发挥自媒体传播速度快、传播面广的特点，继续开展同题诗创作，并在公众号“河朔诗词”发表，让市民们更便捷地阅读诗词佳作、享受文化生活。</w:t>
      </w:r>
    </w:p>
    <w:p>
      <w:pPr>
        <w:pStyle w:val="9"/>
      </w:pPr>
      <w:r>
        <w:t>五是组织县音乐舞蹈家协会、县戏曲曲艺家协会奔赴各乡镇开展多种主题的惠民演出，演出内容涵盖舞蹈、戏曲、歌曲、曲艺、表演唱、小品、战鼓、书法、非遗文化等。</w:t>
      </w:r>
    </w:p>
    <w:p>
      <w:pPr>
        <w:pStyle w:val="9"/>
      </w:pPr>
      <w:r>
        <w:t>六是组织县作家协会、散文学会开展采风、读书会、征文等活动，进行文学创作，并积极向各大媒体投稿。</w:t>
      </w:r>
    </w:p>
    <w:p>
      <w:pPr>
        <w:pStyle w:val="9"/>
      </w:pPr>
      <w:r>
        <w:t>七是组织县摄影家协会在全县广泛开展采风活动，并举办摄影展，以影像形式直观彰显改革开放的伟大成就，展示正定古城近年来的发展和变化，体现人民群众生活的美好变迁。</w:t>
      </w:r>
    </w:p>
    <w:p>
      <w:pPr>
        <w:pStyle w:val="9"/>
      </w:pPr>
      <w:r>
        <w:t>八是调整招商思路，推进招商选资，充分调动广大文艺工作者积极性，号召大家广开思路，挖掘身边社会资源，积极开展“亲情招商”“同学招商”“艺术招商”“学术招商”等举措，全方位推进招商选资工作取得新进展。</w:t>
      </w:r>
    </w:p>
    <w:p>
      <w:pPr>
        <w:pStyle w:val="9"/>
      </w:pPr>
      <w:r>
        <w:t>九是综合政务管理。保障机关工作正常高效运转，确保各项工作谋划到位、顺利开展。</w:t>
      </w:r>
    </w:p>
    <w:p>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pPr>
        <w:pStyle w:val="10"/>
      </w:pPr>
      <w:r>
        <w:t>一、组织与制度保障</w:t>
      </w:r>
    </w:p>
    <w:p>
      <w:pPr>
        <w:pStyle w:val="10"/>
      </w:pPr>
      <w:r>
        <w:t>（一）责任机制：明确文联主席为第一责任人，各协会（如作协、美协、书协）负责人为具体责任人，细化年度任务清单。</w:t>
      </w:r>
    </w:p>
    <w:p>
      <w:pPr>
        <w:pStyle w:val="10"/>
      </w:pPr>
      <w:r>
        <w:t>（二）制度建设：完善《“三重一大”制度》《协会管理办法》等制度，确保工作有章可循。</w:t>
      </w:r>
    </w:p>
    <w:p>
      <w:pPr>
        <w:pStyle w:val="10"/>
      </w:pPr>
      <w:r>
        <w:t>二、人才与创作保障</w:t>
      </w:r>
    </w:p>
    <w:p>
      <w:pPr>
        <w:pStyle w:val="10"/>
      </w:pPr>
      <w:r>
        <w:t>（一）人才培养</w:t>
      </w:r>
    </w:p>
    <w:p>
      <w:pPr>
        <w:pStyle w:val="10"/>
      </w:pPr>
      <w:r>
        <w:t>1. 每年组织2—3次文艺骨干培训（如写作、书画、摄影等），邀请省市级专家授课。</w:t>
      </w:r>
    </w:p>
    <w:p>
      <w:pPr>
        <w:pStyle w:val="10"/>
      </w:pPr>
      <w:r>
        <w:t>2. 建立“文艺人才库”，重点扶持青年创作者，提供创作补贴、采风机会。</w:t>
      </w:r>
    </w:p>
    <w:p>
      <w:pPr>
        <w:pStyle w:val="10"/>
      </w:pPr>
      <w:r>
        <w:t>3. 开展名家结对帮扶活动，发挥老艺术家传帮带作用。</w:t>
      </w:r>
    </w:p>
    <w:p>
      <w:pPr>
        <w:pStyle w:val="10"/>
      </w:pPr>
      <w:r>
        <w:t>（二）创作支持</w:t>
      </w:r>
    </w:p>
    <w:p>
      <w:pPr>
        <w:pStyle w:val="10"/>
      </w:pPr>
      <w:r>
        <w:t>1.建设“文艺创作基地”（如乡村采风点、书画工作室），为创作者提供免费场地和设备。</w:t>
      </w:r>
    </w:p>
    <w:p>
      <w:pPr>
        <w:pStyle w:val="10"/>
      </w:pPr>
      <w:r>
        <w:t>2. 定期举办作品研讨、改稿会，提升创作质量。</w:t>
      </w:r>
    </w:p>
    <w:p>
      <w:pPr>
        <w:pStyle w:val="10"/>
      </w:pPr>
      <w:r>
        <w:t>三、活动与服务保障</w:t>
      </w:r>
    </w:p>
    <w:p>
      <w:pPr>
        <w:pStyle w:val="10"/>
      </w:pPr>
      <w:r>
        <w:t>（一）活动开展</w:t>
      </w:r>
    </w:p>
    <w:p>
      <w:pPr>
        <w:pStyle w:val="10"/>
      </w:pPr>
      <w:r>
        <w:t>1.每年举办1—2次大型文艺活动（如书画展、文学征文比赛），结合传统节日和地方特色设计主题。</w:t>
      </w:r>
    </w:p>
    <w:p>
      <w:pPr>
        <w:pStyle w:val="10"/>
      </w:pPr>
      <w:r>
        <w:t>2.常态化开展“文艺下基层”活动，组织艺术家进社区、进校园、进乡村，丰富群众文化生活。</w:t>
      </w:r>
    </w:p>
    <w:p>
      <w:pPr>
        <w:pStyle w:val="10"/>
      </w:pPr>
      <w:r>
        <w:t>（二）服务优化</w:t>
      </w:r>
    </w:p>
    <w:p>
      <w:pPr>
        <w:pStyle w:val="10"/>
      </w:pPr>
      <w:r>
        <w:t>1. 为协会提供活动策划、宣传推广等支持，协助对接媒体资源。</w:t>
      </w:r>
    </w:p>
    <w:p>
      <w:pPr>
        <w:pStyle w:val="10"/>
      </w:pPr>
      <w:r>
        <w:t>2. 开通线上服务平台，发布活动信息、展示优秀作品，扩大影响力。</w:t>
      </w:r>
    </w:p>
    <w:p>
      <w:pPr>
        <w:pStyle w:val="10"/>
      </w:pPr>
      <w:r>
        <w:t>四、经费与资源保障</w:t>
      </w:r>
    </w:p>
    <w:p>
      <w:pPr>
        <w:pStyle w:val="10"/>
      </w:pPr>
      <w:r>
        <w:t>（一）经费保障</w:t>
      </w:r>
    </w:p>
    <w:p>
      <w:pPr>
        <w:pStyle w:val="10"/>
      </w:pPr>
      <w:r>
        <w:t>1.争取县财政年度专项拨款，确保活动、培训、创作补贴等经费到位。</w:t>
      </w:r>
    </w:p>
    <w:p>
      <w:pPr>
        <w:pStyle w:val="10"/>
      </w:pPr>
      <w:r>
        <w:t>2.鼓励社会力量赞助，与企业、文旅机构合作开展文化项目。</w:t>
      </w:r>
    </w:p>
    <w:p>
      <w:pPr>
        <w:pStyle w:val="10"/>
      </w:pPr>
      <w:r>
        <w:t>（二）资源整合</w:t>
      </w:r>
    </w:p>
    <w:p>
      <w:pPr>
        <w:pStyle w:val="10"/>
      </w:pPr>
      <w:r>
        <w:t>1.协调县内文化馆、剧院等公共文化场所，为文联活动提供场地支持。</w:t>
      </w:r>
    </w:p>
    <w:p>
      <w:pPr>
        <w:pStyle w:val="10"/>
      </w:pPr>
      <w:r>
        <w:t>2. 与学校、媒体合作，拓展文艺宣传渠道，提升作品传播力。</w:t>
      </w:r>
    </w:p>
    <w:p>
      <w:pPr>
        <w:pStyle w:val="10"/>
      </w:pPr>
      <w:r>
        <w:t>五、监督与改进</w:t>
      </w:r>
    </w:p>
    <w:p>
      <w:pPr>
        <w:pStyle w:val="10"/>
      </w:pPr>
      <w:r>
        <w:t>（一）效果评估：每年对各协会工作进行考核，评估活动参与度、作品质量等指标。</w:t>
      </w:r>
    </w:p>
    <w:p>
      <w:pPr>
        <w:pStyle w:val="10"/>
      </w:pPr>
      <w:r>
        <w:t>（二）反馈机制：通过问卷调查、座谈会收集群众和会员意见，及时调整工作重点。</w:t>
      </w:r>
    </w:p>
    <w:p>
      <w:pPr>
        <w:pStyle w:val="10"/>
      </w:pPr>
      <w:r>
        <w:t>（三）总结提升：每年年底总结工作成效，提炼经验，优化下年度保障措施。</w:t>
      </w:r>
    </w:p>
    <w:p>
      <w:pPr>
        <w:pStyle w:val="10"/>
      </w:pPr>
    </w:p>
    <w:p>
      <w:pPr>
        <w:spacing w:before="0" w:after="0" w:line="240" w:lineRule="auto"/>
        <w:ind w:firstLine="0"/>
        <w:jc w:val="center"/>
        <w:outlineLvl w:val="9"/>
        <w:sectPr>
          <w:pgSz w:w="11900" w:h="16840"/>
          <w:pgMar w:top="1984" w:right="1304" w:bottom="1134" w:left="1304" w:header="720" w:footer="720" w:gutter="0"/>
          <w:pgNumType w:start="1"/>
        </w:sectPr>
      </w:pPr>
      <w:r>
        <w:rPr>
          <w:rFonts w:ascii="方正书宋_GBK" w:hAnsi="方正书宋_GBK" w:eastAsia="方正书宋_GBK" w:cs="方正书宋_GBK"/>
          <w:color w:val="000000"/>
          <w:sz w:val="21"/>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pPr>
        <w:spacing w:before="0" w:after="0" w:line="240" w:lineRule="auto"/>
        <w:ind w:firstLine="0"/>
        <w:jc w:val="center"/>
        <w:outlineLvl w:val="9"/>
        <w:sectPr>
          <w:pgSz w:w="11900" w:h="16840"/>
          <w:pgMar w:top="1984" w:right="1304" w:bottom="1134" w:left="1304" w:header="720" w:footer="720" w:gutter="0"/>
        </w:sectPr>
      </w:pPr>
      <w:r>
        <w:rPr>
          <w:rFonts w:ascii="方正书宋_GBK" w:hAnsi="方正书宋_GBK" w:eastAsia="方正书宋_GBK" w:cs="方正书宋_GBK"/>
          <w:color w:val="000000"/>
          <w:sz w:val="21"/>
        </w:rPr>
        <w:t xml:space="preserve"> </w:t>
      </w: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 w:name="_Toc_4_4_0000000004"/>
      <w:r>
        <w:rPr>
          <w:rFonts w:ascii="方正仿宋_GBK" w:hAnsi="方正仿宋_GBK" w:eastAsia="方正仿宋_GBK" w:cs="方正仿宋_GBK"/>
          <w:color w:val="000000"/>
          <w:sz w:val="28"/>
        </w:rPr>
        <w:t>1.文学艺术工作经费绩效目标表</w:t>
      </w:r>
      <w:bookmarkEnd w:id="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721001正定县文学艺术界联合会</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13012326P00000212414X</w:t>
            </w:r>
          </w:p>
        </w:tc>
        <w:tc>
          <w:tcPr>
            <w:tcW w:w="1587" w:type="dxa"/>
            <w:vAlign w:val="center"/>
          </w:tcPr>
          <w:p>
            <w:pPr>
              <w:pStyle w:val="14"/>
            </w:pPr>
            <w:r>
              <w:t>项目名称</w:t>
            </w:r>
          </w:p>
        </w:tc>
        <w:tc>
          <w:tcPr>
            <w:tcW w:w="4423" w:type="dxa"/>
            <w:gridSpan w:val="3"/>
            <w:vAlign w:val="center"/>
          </w:tcPr>
          <w:p>
            <w:pPr>
              <w:pStyle w:val="13"/>
            </w:pPr>
            <w:r>
              <w:t>文学艺术工作经费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7.20</w:t>
            </w:r>
          </w:p>
        </w:tc>
        <w:tc>
          <w:tcPr>
            <w:tcW w:w="1587" w:type="dxa"/>
            <w:vAlign w:val="center"/>
          </w:tcPr>
          <w:p>
            <w:pPr>
              <w:pStyle w:val="14"/>
            </w:pPr>
            <w:r>
              <w:t>其中：财政    资金</w:t>
            </w:r>
          </w:p>
        </w:tc>
        <w:tc>
          <w:tcPr>
            <w:tcW w:w="1304" w:type="dxa"/>
            <w:vAlign w:val="center"/>
          </w:tcPr>
          <w:p>
            <w:pPr>
              <w:pStyle w:val="13"/>
            </w:pPr>
            <w:r>
              <w:t>7.20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广泛开展会员活动，加强会员管理；举办多种文艺活动，提高广大文艺工作者素质，推进各类艺术业务联络与活动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1.广泛开展会员活动，加强会员管理；举办多种文艺活动，提高广大文艺工作者素质，推进各类艺术业务联络与活动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举办活动场次</w:t>
            </w:r>
          </w:p>
        </w:tc>
        <w:tc>
          <w:tcPr>
            <w:tcW w:w="2891" w:type="dxa"/>
            <w:vAlign w:val="center"/>
          </w:tcPr>
          <w:p>
            <w:pPr>
              <w:pStyle w:val="13"/>
            </w:pPr>
            <w:r>
              <w:t>全年计划举办活动场次</w:t>
            </w:r>
          </w:p>
        </w:tc>
        <w:tc>
          <w:tcPr>
            <w:tcW w:w="1276" w:type="dxa"/>
            <w:vAlign w:val="center"/>
          </w:tcPr>
          <w:p>
            <w:pPr>
              <w:pStyle w:val="13"/>
            </w:pPr>
            <w:r>
              <w:t>≥4场</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观众增长率</w:t>
            </w:r>
          </w:p>
        </w:tc>
        <w:tc>
          <w:tcPr>
            <w:tcW w:w="2891" w:type="dxa"/>
            <w:vAlign w:val="center"/>
          </w:tcPr>
          <w:p>
            <w:pPr>
              <w:pStyle w:val="13"/>
            </w:pPr>
            <w:r>
              <w:t>观众参与人次较上年增长率</w:t>
            </w:r>
          </w:p>
        </w:tc>
        <w:tc>
          <w:tcPr>
            <w:tcW w:w="1276" w:type="dxa"/>
            <w:vAlign w:val="center"/>
          </w:tcPr>
          <w:p>
            <w:pPr>
              <w:pStyle w:val="13"/>
            </w:pPr>
            <w:r>
              <w:t>≥5%</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活动按期完成率</w:t>
            </w:r>
          </w:p>
        </w:tc>
        <w:tc>
          <w:tcPr>
            <w:tcW w:w="2891" w:type="dxa"/>
            <w:vAlign w:val="center"/>
          </w:tcPr>
          <w:p>
            <w:pPr>
              <w:pStyle w:val="13"/>
            </w:pPr>
            <w:r>
              <w:t>按期完成的活动占工作计划的比率</w:t>
            </w:r>
          </w:p>
        </w:tc>
        <w:tc>
          <w:tcPr>
            <w:tcW w:w="1276" w:type="dxa"/>
            <w:vAlign w:val="center"/>
          </w:tcPr>
          <w:p>
            <w:pPr>
              <w:pStyle w:val="13"/>
            </w:pPr>
            <w:r>
              <w:t>≥90%</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预算控制数</w:t>
            </w:r>
          </w:p>
        </w:tc>
        <w:tc>
          <w:tcPr>
            <w:tcW w:w="2891" w:type="dxa"/>
            <w:vAlign w:val="center"/>
          </w:tcPr>
          <w:p>
            <w:pPr>
              <w:pStyle w:val="13"/>
            </w:pPr>
            <w:r>
              <w:t>预算控制数</w:t>
            </w:r>
          </w:p>
        </w:tc>
        <w:tc>
          <w:tcPr>
            <w:tcW w:w="1276" w:type="dxa"/>
            <w:vAlign w:val="center"/>
          </w:tcPr>
          <w:p>
            <w:pPr>
              <w:pStyle w:val="13"/>
            </w:pPr>
            <w:r>
              <w:t>≤7.2万元</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文艺服务水平提升情况</w:t>
            </w:r>
          </w:p>
        </w:tc>
        <w:tc>
          <w:tcPr>
            <w:tcW w:w="2891" w:type="dxa"/>
            <w:vAlign w:val="center"/>
          </w:tcPr>
          <w:p>
            <w:pPr>
              <w:pStyle w:val="13"/>
            </w:pPr>
            <w:r>
              <w:t>文艺服务水平提升情况</w:t>
            </w:r>
          </w:p>
        </w:tc>
        <w:tc>
          <w:tcPr>
            <w:tcW w:w="1276" w:type="dxa"/>
            <w:vAlign w:val="center"/>
          </w:tcPr>
          <w:p>
            <w:pPr>
              <w:pStyle w:val="13"/>
            </w:pPr>
            <w:r>
              <w:t>稳步提升</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对推进全县文艺事业发展的促进作用</w:t>
            </w:r>
          </w:p>
        </w:tc>
        <w:tc>
          <w:tcPr>
            <w:tcW w:w="2891" w:type="dxa"/>
            <w:vAlign w:val="center"/>
          </w:tcPr>
          <w:p>
            <w:pPr>
              <w:pStyle w:val="13"/>
            </w:pPr>
            <w:r>
              <w:t>对推进全县文艺事业发展的促进作用</w:t>
            </w:r>
            <w:bookmarkStart w:id="4" w:name="_GoBack"/>
            <w:bookmarkEnd w:id="4"/>
          </w:p>
        </w:tc>
        <w:tc>
          <w:tcPr>
            <w:tcW w:w="1276" w:type="dxa"/>
            <w:vAlign w:val="center"/>
          </w:tcPr>
          <w:p>
            <w:pPr>
              <w:pStyle w:val="13"/>
            </w:pPr>
            <w:r>
              <w:t>积极促进</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带来良好经济效益</w:t>
            </w:r>
          </w:p>
        </w:tc>
        <w:tc>
          <w:tcPr>
            <w:tcW w:w="2891" w:type="dxa"/>
            <w:vAlign w:val="center"/>
          </w:tcPr>
          <w:p>
            <w:pPr>
              <w:pStyle w:val="13"/>
            </w:pPr>
            <w:r>
              <w:t>带来良好经济效益</w:t>
            </w:r>
          </w:p>
        </w:tc>
        <w:tc>
          <w:tcPr>
            <w:tcW w:w="1276" w:type="dxa"/>
            <w:vAlign w:val="center"/>
          </w:tcPr>
          <w:p>
            <w:pPr>
              <w:pStyle w:val="13"/>
            </w:pPr>
            <w:r>
              <w:t>稳步提升</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带来良好生态效益</w:t>
            </w:r>
          </w:p>
        </w:tc>
        <w:tc>
          <w:tcPr>
            <w:tcW w:w="2891" w:type="dxa"/>
            <w:vAlign w:val="center"/>
          </w:tcPr>
          <w:p>
            <w:pPr>
              <w:pStyle w:val="13"/>
            </w:pPr>
            <w:r>
              <w:t>带来良好生态效益</w:t>
            </w:r>
          </w:p>
        </w:tc>
        <w:tc>
          <w:tcPr>
            <w:tcW w:w="1276" w:type="dxa"/>
            <w:vAlign w:val="center"/>
          </w:tcPr>
          <w:p>
            <w:pPr>
              <w:pStyle w:val="13"/>
            </w:pPr>
            <w:r>
              <w:t>稳步提升</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受益群众满意度</w:t>
            </w:r>
          </w:p>
        </w:tc>
        <w:tc>
          <w:tcPr>
            <w:tcW w:w="2891" w:type="dxa"/>
            <w:vAlign w:val="center"/>
          </w:tcPr>
          <w:p>
            <w:pPr>
              <w:pStyle w:val="13"/>
            </w:pPr>
            <w:r>
              <w:t>受益群众满意度</w:t>
            </w:r>
          </w:p>
        </w:tc>
        <w:tc>
          <w:tcPr>
            <w:tcW w:w="1276" w:type="dxa"/>
            <w:vAlign w:val="center"/>
          </w:tcPr>
          <w:p>
            <w:pPr>
              <w:pStyle w:val="13"/>
            </w:pPr>
            <w:r>
              <w:t>≥90%</w:t>
            </w:r>
          </w:p>
        </w:tc>
        <w:tc>
          <w:tcPr>
            <w:tcW w:w="1843" w:type="dxa"/>
            <w:vAlign w:val="center"/>
          </w:tcPr>
          <w:p>
            <w:pPr>
              <w:pStyle w:val="13"/>
            </w:pPr>
            <w:r>
              <w:t>历年经验</w:t>
            </w:r>
          </w:p>
        </w:tc>
      </w:tr>
    </w:tbl>
    <w:p/>
    <w:sectPr>
      <w:pgSz w:w="11900" w:h="16840"/>
      <w:pgMar w:top="1984" w:right="1304" w:bottom="1134" w:left="1304"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黑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9E87BD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paragraph" w:styleId="4">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Pages>
  <TotalTime>0</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2026-02-26T10:49:00Z</dcterms:created>
  <dc:creator>Administrator</dc:creator>
  <cp:lastModifiedBy>Administrator</cp:lastModifiedBy>
  <dcterms:modified xsi:type="dcterms:W3CDTF">2026-02-26T03:02:21Z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