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0" w:line="240" w:lineRule="auto"/>
        <w:ind w:firstLine="0"/>
        <w:jc w:val="center"/>
        <w:outlineLvl w:val="9"/>
      </w:pPr>
      <w:bookmarkStart w:id="5" w:name="_GoBack"/>
      <w:bookmarkEnd w:id="5"/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中共正定县委社会工作部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2026年部门预算绩效文本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>（草案）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中共正定县委社会工作部编制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_Toc_4_4_0000000004</w:instrText>
      </w:r>
      <w:r>
        <w:fldChar w:fldCharType="separate"/>
      </w:r>
      <w:r>
        <w:t>1.2026年省级社区建设专项资金（石财行【2025】35号）绩效目标表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_Toc_4_4_0000000005</w:instrText>
      </w:r>
      <w:r>
        <w:fldChar w:fldCharType="separate"/>
      </w:r>
      <w:r>
        <w:t>2.社会工作事务工作经费绩效目标表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br w:type="page"/>
      </w:r>
      <w:r>
        <w:br w:type="textWrapping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>
      <w:pPr>
        <w:pStyle w:val="8"/>
      </w:pPr>
      <w:r>
        <w:t>通过‌提升服务质量、加强基层治理、协调群众利益、促进社会组织发展、推动志愿服务和人才队伍建设以及创新服务方式，全面提升社会工作部的整体绩效。</w:t>
      </w:r>
    </w:p>
    <w:p>
      <w:pPr>
        <w:pStyle w:val="8"/>
      </w:pPr>
      <w:r>
        <w:t>2025年主要工作</w:t>
      </w:r>
    </w:p>
    <w:p>
      <w:pPr>
        <w:pStyle w:val="8"/>
      </w:pPr>
      <w:r>
        <w:t>1.坚持以党的政治建设为统领，推动基层治理。牢固树立大抓基层的鲜明导向，进一步强化党组织领导作用。统筹推进党建引领基层治理和基层政权建设，破解基层治理“小马拉大车”突出问题，提升城乡社区治理能力。统筹协调力量集中解决一批社会关注、群众关心，信访矛盾反映集中的问题。</w:t>
      </w:r>
    </w:p>
    <w:p>
      <w:pPr>
        <w:pStyle w:val="8"/>
      </w:pPr>
      <w:r>
        <w:t>2.强化新兴领域党建工作，健全责任体系。进一步强化责任担当，定期研究部署新兴领域组织党建工作，加大“两新”组织党建指导力度，对未建立党组织的“两新”组织进行全面排查，采取单独组建、联合组建、区域共建等方式，确保党的组织应建尽建。推动组织生产经营骨干、管理层和党员发展“双向进入”。加大对“两新”党建先进典型的宣传推广和推荐表扬力度，确保“两新”组织党建工作在优化营商环境、服务基层治理、助力发展新质生产力上发挥积极作用。</w:t>
      </w:r>
    </w:p>
    <w:p>
      <w:pPr>
        <w:pStyle w:val="8"/>
      </w:pPr>
      <w:r>
        <w:t>3.推动志愿社工工作出新出彩，打造特色品牌。加强党对志愿服务的全面领导，建立健全志愿服务工作协调机制，推动志愿服务工作的规范化管理。深度挖掘本行业本领域志愿服务特色亮点，打造特色志愿服务品牌。坚持双线融合，协同推进志愿服务和社会工作人才队伍建设，提升志愿服务能力，让奉献、友爱、互助、进步的志愿精神在浓厚氛围中蔚然成风。</w:t>
      </w:r>
    </w:p>
    <w:p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>
      <w:pPr>
        <w:pStyle w:val="9"/>
      </w:pPr>
      <w:r>
        <w:t>党建引领社会工作：强化党建引领作用，推动社会工作与党建工作深度融合，提升党组织在社会工作中的凝聚力和战斗力。</w:t>
      </w:r>
    </w:p>
    <w:p>
      <w:pPr>
        <w:pStyle w:val="9"/>
      </w:pPr>
      <w:r>
        <w:t>基层治理多元化：破解基层治理难题，完善基层治理体制机制，提升基层治理效能。</w:t>
      </w:r>
    </w:p>
    <w:p>
      <w:pPr>
        <w:pStyle w:val="9"/>
      </w:pPr>
      <w:r>
        <w:t>行业协会商会管理规范化：理顺行业协会商会党建工作体制机制，健全内部治理结构，完善外部监管体系。</w:t>
      </w:r>
    </w:p>
    <w:p>
      <w:pPr>
        <w:pStyle w:val="9"/>
      </w:pPr>
      <w:r>
        <w:t>新兴领域党建标准化：打造党建示范点，提升新兴领域党建工作质量。</w:t>
      </w:r>
    </w:p>
    <w:p>
      <w:pPr>
        <w:pStyle w:val="9"/>
      </w:pPr>
      <w:r>
        <w:t>社会工作专业人才队伍优质化：推动社会工作专业人才队伍建设，提升社会服务水平。</w:t>
      </w:r>
    </w:p>
    <w:p>
      <w:pPr>
        <w:pStyle w:val="9"/>
      </w:pPr>
      <w:r>
        <w:t>志愿服务特色品牌化：培育特色志愿服务项目，打造志愿服务品牌。</w:t>
      </w:r>
    </w:p>
    <w:p>
      <w:pPr>
        <w:spacing w:before="10" w:after="10"/>
        <w:ind w:firstLine="560"/>
        <w:jc w:val="left"/>
        <w:outlineLvl w:val="1"/>
      </w:pPr>
      <w:bookmarkStart w:id="2" w:name="_Toc_2_2_0000000003"/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>
      <w:pPr>
        <w:pStyle w:val="10"/>
      </w:pPr>
      <w:r>
        <w:t>完善制度建设:认真贯彻执行国家有关法律法规，健全财务管理制度，编制支出计划等，加强机关制度化、规范化建设。</w:t>
      </w:r>
    </w:p>
    <w:p>
      <w:pPr>
        <w:pStyle w:val="10"/>
      </w:pPr>
      <w:r>
        <w:t>加强支出管理:细化预算编制，动态监督资金使用进展和项目绩效完成情况，严格按照预算规定执行，合规合法发放津补贴。</w:t>
      </w:r>
    </w:p>
    <w:p>
      <w:pPr>
        <w:pStyle w:val="10"/>
      </w:pPr>
      <w:r>
        <w:t>注重全过程监督:按照相关要求，及时对绩效目标实现程度和预算执行情况进行监控，确保预算执行率和资金使用效率。</w:t>
      </w:r>
    </w:p>
    <w:p>
      <w:pPr>
        <w:pStyle w:val="10"/>
      </w:pPr>
      <w:r>
        <w:t>强化党建引领:坚持党建引领社会工作，确保社会工作始终与党中央决策部署和上级工作要求同心同向同频。</w:t>
      </w:r>
    </w:p>
    <w:p>
      <w:pPr>
        <w:pStyle w:val="10"/>
      </w:pPr>
      <w:r>
        <w:t>加强队伍建设:抓实主题教育和问题整改，大力弘扬优良工作作风，持续锻造高素质干部队伍。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1.2026年省级社区建设专项资金（石财行【2025】35号）绩效目标表</w:t>
      </w:r>
      <w:bookmarkEnd w:id="3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214001中共正定县委社会工作部本级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13012326P00004610005X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2026年省级社区建设专项资金（石财行【2025】35号）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22.00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22.00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用于支持党建引领城乡社区治理体系和治理能力建设、专业社工+志愿服务融合发展等、城乡社区服务设施补短板等。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1.完成吴兴村党建引领乡风文明治理项目、解放街社区党建引领社区治理项目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补助项目数量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补助项目数量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1完成项目一个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项目验收合格率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项目验收合格率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100项目验收合格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项目实施至项目完成的时间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项目实施至项目完成时间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≤365项目一年内完成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每个项目最高补助金额标准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每个项目最高补助金额标准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≤15项目资金小于等于15万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提供社区服务年限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提供社区服务年限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≥3服务年限大于等于3年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社会影响度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社会影响度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≥98社会影响度提升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≥98生态效益提升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经济效益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经济效益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≥98经济效益提升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居民满意度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居民满意度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≥80群众满意度提升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历史依据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2.社会工作事务工作经费绩效目标表</w:t>
      </w:r>
      <w:bookmarkEnd w:id="4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214001中共正定县委社会工作部本级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13012326P00000212480J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社会工作事务工作经费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社会工作事务开展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1.社会工作事务顺利开展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各项工作完成率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各项工作完成率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≥99各项工作完成率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各项工作完成率高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工作完成情况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工作完成情况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≥99工作按要求完成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工作按要求完成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按期完成情况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按期完成情况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≥99工作按期完成情况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工作按期完成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≥99预算控制数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预算控制好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社会影响度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社会影响度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≥99社会影响度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社会影响度提升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提升民生福利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提升民生福利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≥99提升民生福利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民生福利提升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可持续发展情况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可持续发展情况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≥99可持续发展情况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有利于可持续发展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对生态影响情况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对生态影响情况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≥99对生态影响情况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有利于改善生态环境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≥99服务对象满意度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服务对象满意度提升</w:t>
            </w:r>
          </w:p>
          <w:p>
            <w:pPr>
              <w:pStyle w:val="13"/>
            </w:pPr>
          </w:p>
        </w:tc>
      </w:tr>
    </w:tbl>
    <w:p/>
    <w:sectPr>
      <w:pgSz w:w="11900" w:h="16840"/>
      <w:pgMar w:top="1984" w:right="1304" w:bottom="1134" w:left="130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5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4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E1F725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/>
      <w:sz w:val="24"/>
      <w:szCs w:val="24"/>
      <w:lang w:val="en-US" w:eastAsia="uk-UA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qFormat/>
    <w:uiPriority w:val="0"/>
    <w:pPr>
      <w:ind w:left="720"/>
    </w:pPr>
  </w:style>
  <w:style w:type="paragraph" w:styleId="4">
    <w:name w:val="toc 2"/>
    <w:basedOn w:val="1"/>
    <w:qFormat/>
    <w:uiPriority w:val="0"/>
    <w:pPr>
      <w:ind w:left="240"/>
    </w:pPr>
  </w:style>
  <w:style w:type="table" w:styleId="6">
    <w:name w:val="Table Grid"/>
    <w:basedOn w:val="5"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2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3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4">
    <w:name w:val="单元格样式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5">
    <w:name w:val="单元格样式3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9</Pages>
  <TotalTime>193</TotalTime>
  <ScaleCrop>false</ScaleCrop>
  <LinksUpToDate>false</LinksUpToDate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2026-02-26T15:21:00Z</dcterms:created>
  <dc:creator>Administrator</dc:creator>
  <cp:lastModifiedBy>Administrator</cp:lastModifiedBy>
  <dcterms:modified xsi:type="dcterms:W3CDTF">2026-02-27T06:30:34Z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1F04E66B6E334ABC9852883E3602D031_13</vt:lpwstr>
  </property>
</Properties>
</file>