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9"/>
      </w:pPr>
      <w:r>
        <w:rPr>
          <w:color w:val="000000"/>
          <w:sz w:val="52"/>
        </w:rPr>
        <w:t xml:space="preserve"> </w:t>
      </w:r>
    </w:p>
    <w:p>
      <w:pPr>
        <w:spacing w:before="0" w:after="0" w:line="240" w:lineRule="auto"/>
        <w:ind w:firstLine="0"/>
        <w:jc w:val="center"/>
        <w:outlineLvl w:val="9"/>
      </w:pPr>
      <w:r>
        <w:rPr>
          <w:color w:val="000000"/>
          <w:sz w:val="52"/>
        </w:rPr>
        <w:t xml:space="preserve"> </w:t>
      </w:r>
    </w:p>
    <w:p>
      <w:pPr>
        <w:spacing w:before="0" w:after="0" w:line="240" w:lineRule="auto"/>
        <w:ind w:firstLine="0"/>
        <w:jc w:val="center"/>
        <w:outlineLvl w:val="9"/>
      </w:pPr>
      <w:r>
        <w:rPr>
          <w:color w:val="000000"/>
          <w:sz w:val="52"/>
        </w:rPr>
        <w:t xml:space="preserve"> </w:t>
      </w:r>
    </w:p>
    <w:p>
      <w:pPr>
        <w:spacing w:before="0" w:after="0" w:line="240" w:lineRule="auto"/>
        <w:ind w:firstLine="0"/>
        <w:jc w:val="center"/>
        <w:outlineLvl w:val="9"/>
      </w:pPr>
      <w:r>
        <w:rPr>
          <w:color w:val="000000"/>
          <w:sz w:val="72"/>
        </w:rPr>
        <w:t>正定县司法局</w:t>
      </w:r>
    </w:p>
    <w:p>
      <w:pPr>
        <w:spacing w:before="0" w:after="0" w:line="240" w:lineRule="auto"/>
        <w:ind w:firstLine="0"/>
        <w:jc w:val="center"/>
        <w:outlineLvl w:val="9"/>
      </w:pPr>
      <w:r>
        <w:rPr>
          <w:color w:val="000000"/>
          <w:sz w:val="72"/>
        </w:rPr>
        <w:t>2026年部门预算绩效文本</w:t>
      </w:r>
    </w:p>
    <w:p>
      <w:pPr>
        <w:spacing w:before="0" w:after="0" w:line="240" w:lineRule="auto"/>
        <w:ind w:firstLine="0"/>
        <w:jc w:val="center"/>
        <w:outlineLvl w:val="9"/>
      </w:pPr>
      <w:r>
        <w:rPr>
          <w:color w:val="000000"/>
          <w:sz w:val="52"/>
        </w:rPr>
        <w:t>（草案）</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color w:val="000000"/>
          <w:sz w:val="21"/>
        </w:rPr>
        <w:t xml:space="preserve"> </w:t>
      </w:r>
    </w:p>
    <w:p>
      <w:pPr>
        <w:spacing w:before="0" w:after="0" w:line="240" w:lineRule="auto"/>
        <w:ind w:firstLine="0"/>
        <w:jc w:val="center"/>
        <w:outlineLvl w:val="9"/>
      </w:pPr>
      <w:r>
        <w:rPr>
          <w:b/>
          <w:color w:val="000000"/>
          <w:sz w:val="32"/>
        </w:rPr>
        <w:t>正定县司法局编制</w:t>
      </w:r>
    </w:p>
    <w:p>
      <w:pPr>
        <w:spacing w:before="0" w:after="0" w:line="240" w:lineRule="auto"/>
        <w:ind w:firstLine="0"/>
        <w:jc w:val="center"/>
        <w:outlineLvl w:val="9"/>
        <w:sectPr>
          <w:pgSz w:w="11900" w:h="16840"/>
          <w:pgMar w:top="1984" w:right="1304" w:bottom="1134" w:left="1304" w:header="720" w:footer="720" w:gutter="0"/>
          <w:cols w:space="720" w:num="1"/>
          <w:titlePg/>
        </w:sectPr>
      </w:pPr>
      <w:r>
        <w:rPr>
          <w:b/>
          <w:color w:val="000000"/>
          <w:sz w:val="32"/>
        </w:rPr>
        <w:t>正定县财政局审核</w:t>
      </w:r>
    </w:p>
    <w:p>
      <w:pPr>
        <w:spacing w:before="0" w:after="0" w:line="240" w:lineRule="auto"/>
        <w:ind w:firstLine="0"/>
        <w:jc w:val="center"/>
        <w:outlineLvl w:val="9"/>
        <w:sectPr>
          <w:pgSz w:w="11900" w:h="16840"/>
          <w:pgMar w:top="1984" w:right="1304" w:bottom="1134" w:left="1304" w:header="720" w:footer="720" w:gutter="0"/>
          <w:cols w:space="720" w:num="1"/>
          <w:titlePg/>
        </w:sectPr>
      </w:pPr>
    </w:p>
    <w:p>
      <w:pPr>
        <w:spacing w:before="0" w:after="0" w:line="240" w:lineRule="auto"/>
        <w:ind w:firstLine="0"/>
        <w:jc w:val="center"/>
        <w:outlineLvl w:val="9"/>
      </w:pPr>
      <w:r>
        <w:rPr>
          <w:color w:val="000000"/>
          <w:sz w:val="36"/>
        </w:rPr>
        <w:t xml:space="preserve"> </w:t>
      </w:r>
    </w:p>
    <w:p>
      <w:pPr>
        <w:spacing w:before="0" w:after="0" w:line="240" w:lineRule="auto"/>
        <w:ind w:firstLine="0"/>
        <w:jc w:val="center"/>
        <w:outlineLvl w:val="0"/>
      </w:pPr>
      <w:r>
        <w:rPr>
          <w:color w:val="000000"/>
          <w:sz w:val="36"/>
        </w:rPr>
        <w:t>目    录</w:t>
      </w:r>
    </w:p>
    <w:p>
      <w:pPr>
        <w:spacing w:before="0" w:after="0" w:line="240" w:lineRule="auto"/>
        <w:ind w:firstLine="0"/>
        <w:jc w:val="center"/>
        <w:outlineLvl w:val="9"/>
      </w:pPr>
      <w:r>
        <w:rPr>
          <w:color w:val="000000"/>
          <w:sz w:val="30"/>
        </w:rPr>
        <w:t xml:space="preserve"> </w:t>
      </w:r>
    </w:p>
    <w:p>
      <w:pPr>
        <w:spacing w:before="0" w:after="0" w:line="240" w:lineRule="auto"/>
        <w:ind w:firstLine="0"/>
        <w:jc w:val="center"/>
        <w:outlineLvl w:val="9"/>
      </w:pPr>
      <w:r>
        <w:rPr>
          <w:color w:val="000000"/>
          <w:sz w:val="30"/>
        </w:rPr>
        <w:t>第一部分 部门整体绩效目标</w:t>
      </w:r>
    </w:p>
    <w:p>
      <w:pPr>
        <w:pStyle w:val="13"/>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13"/>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13"/>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r>
        <w:fldChar w:fldCharType="end"/>
      </w:r>
    </w:p>
    <w:p>
      <w:pPr>
        <w:spacing w:before="0" w:after="0" w:line="240" w:lineRule="auto"/>
        <w:ind w:firstLine="0"/>
        <w:jc w:val="center"/>
        <w:outlineLvl w:val="9"/>
      </w:pPr>
      <w:r>
        <w:rPr>
          <w:color w:val="000000"/>
          <w:sz w:val="30"/>
        </w:rPr>
        <w:t>第二部分 预算项目绩效目标</w:t>
      </w:r>
    </w:p>
    <w:p>
      <w:pPr>
        <w:pStyle w:val="13"/>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1.2025年省级社区矫正补助资金（石财行【2024】35号）绩效目标表</w:t>
      </w:r>
      <w:r>
        <w:tab/>
      </w:r>
      <w:r>
        <w:fldChar w:fldCharType="begin"/>
      </w:r>
      <w:r>
        <w:instrText xml:space="preserve">PAGEREF _Toc_4_4_0000000004 \h</w:instrText>
      </w:r>
      <w:r>
        <w:fldChar w:fldCharType="separate"/>
      </w:r>
      <w:r>
        <w:t>5</w:t>
      </w:r>
      <w:r>
        <w:fldChar w:fldCharType="end"/>
      </w:r>
      <w:r>
        <w:fldChar w:fldCharType="end"/>
      </w:r>
    </w:p>
    <w:p>
      <w:pPr>
        <w:pStyle w:val="13"/>
        <w:tabs>
          <w:tab w:val="right" w:leader="dot" w:pos="9282"/>
        </w:tabs>
      </w:pPr>
      <w:r>
        <w:fldChar w:fldCharType="begin"/>
      </w:r>
      <w:r>
        <w:instrText xml:space="preserve">HYPERLINK \l _Toc_4_4_0000000005</w:instrText>
      </w:r>
      <w:r>
        <w:fldChar w:fldCharType="separate"/>
      </w:r>
      <w:r>
        <w:t>2.2025年省纪基层公检法司转移支付资金（石财行【2024】38号）绩效目标表</w:t>
      </w:r>
      <w:r>
        <w:tab/>
      </w:r>
      <w:r>
        <w:fldChar w:fldCharType="begin"/>
      </w:r>
      <w:r>
        <w:instrText xml:space="preserve">PAGEREF _Toc_4_4_0000000005 \h</w:instrText>
      </w:r>
      <w:r>
        <w:fldChar w:fldCharType="separate"/>
      </w:r>
      <w:r>
        <w:t>6</w:t>
      </w:r>
      <w:r>
        <w:fldChar w:fldCharType="end"/>
      </w:r>
      <w:r>
        <w:fldChar w:fldCharType="end"/>
      </w:r>
    </w:p>
    <w:p>
      <w:pPr>
        <w:pStyle w:val="13"/>
        <w:tabs>
          <w:tab w:val="right" w:leader="dot" w:pos="9282"/>
        </w:tabs>
      </w:pPr>
      <w:r>
        <w:fldChar w:fldCharType="begin"/>
      </w:r>
      <w:r>
        <w:instrText xml:space="preserve">HYPERLINK \l _Toc_4_4_0000000006</w:instrText>
      </w:r>
      <w:r>
        <w:fldChar w:fldCharType="separate"/>
      </w:r>
      <w:r>
        <w:t>3.2025年市级社区矫正专项经费（石财行【2024】29号）绩效目标表</w:t>
      </w:r>
      <w:r>
        <w:tab/>
      </w:r>
      <w:r>
        <w:fldChar w:fldCharType="begin"/>
      </w:r>
      <w:r>
        <w:instrText xml:space="preserve">PAGEREF _Toc_4_4_0000000006 \h</w:instrText>
      </w:r>
      <w:r>
        <w:fldChar w:fldCharType="separate"/>
      </w:r>
      <w:r>
        <w:t>7</w:t>
      </w:r>
      <w:r>
        <w:fldChar w:fldCharType="end"/>
      </w:r>
      <w:r>
        <w:fldChar w:fldCharType="end"/>
      </w:r>
    </w:p>
    <w:p>
      <w:pPr>
        <w:pStyle w:val="13"/>
        <w:tabs>
          <w:tab w:val="right" w:leader="dot" w:pos="9282"/>
        </w:tabs>
      </w:pPr>
      <w:r>
        <w:fldChar w:fldCharType="begin"/>
      </w:r>
      <w:r>
        <w:instrText xml:space="preserve">HYPERLINK \l _Toc_4_4_0000000007</w:instrText>
      </w:r>
      <w:r>
        <w:fldChar w:fldCharType="separate"/>
      </w:r>
      <w:r>
        <w:t>4.2025年中央政法纪检监察转移支付资金（石财行【2024】37号）绩效目标表</w:t>
      </w:r>
      <w:r>
        <w:tab/>
      </w:r>
      <w:r>
        <w:fldChar w:fldCharType="begin"/>
      </w:r>
      <w:r>
        <w:instrText xml:space="preserve">PAGEREF _Toc_4_4_0000000007 \h</w:instrText>
      </w:r>
      <w:r>
        <w:fldChar w:fldCharType="separate"/>
      </w:r>
      <w:r>
        <w:t>8</w:t>
      </w:r>
      <w:r>
        <w:fldChar w:fldCharType="end"/>
      </w:r>
      <w:r>
        <w:fldChar w:fldCharType="end"/>
      </w:r>
    </w:p>
    <w:p>
      <w:pPr>
        <w:pStyle w:val="13"/>
        <w:tabs>
          <w:tab w:val="right" w:leader="dot" w:pos="9282"/>
        </w:tabs>
      </w:pPr>
      <w:r>
        <w:fldChar w:fldCharType="begin"/>
      </w:r>
      <w:r>
        <w:instrText xml:space="preserve">HYPERLINK \l _Toc_4_4_0000000008</w:instrText>
      </w:r>
      <w:r>
        <w:fldChar w:fldCharType="separate"/>
      </w:r>
      <w:r>
        <w:t>5.2025年中央政法纪检监察转移支付资金（石财行【2025】12号）绩效目标表</w:t>
      </w:r>
      <w:r>
        <w:tab/>
      </w:r>
      <w:r>
        <w:fldChar w:fldCharType="begin"/>
      </w:r>
      <w:r>
        <w:instrText xml:space="preserve">PAGEREF _Toc_4_4_0000000008 \h</w:instrText>
      </w:r>
      <w:r>
        <w:fldChar w:fldCharType="separate"/>
      </w:r>
      <w:r>
        <w:t>9</w:t>
      </w:r>
      <w:r>
        <w:fldChar w:fldCharType="end"/>
      </w:r>
      <w:r>
        <w:fldChar w:fldCharType="end"/>
      </w:r>
    </w:p>
    <w:p>
      <w:pPr>
        <w:pStyle w:val="13"/>
        <w:tabs>
          <w:tab w:val="right" w:leader="dot" w:pos="9282"/>
        </w:tabs>
      </w:pPr>
      <w:r>
        <w:fldChar w:fldCharType="begin"/>
      </w:r>
      <w:r>
        <w:instrText xml:space="preserve">HYPERLINK \l _Toc_4_4_0000000009</w:instrText>
      </w:r>
      <w:r>
        <w:fldChar w:fldCharType="separate"/>
      </w:r>
      <w:r>
        <w:t>6.2026年度省级基层公检法司转移支付资金（石财行【2025】40号）绩效目标表</w:t>
      </w:r>
      <w:r>
        <w:tab/>
      </w:r>
      <w:r>
        <w:fldChar w:fldCharType="begin"/>
      </w:r>
      <w:r>
        <w:instrText xml:space="preserve">PAGEREF _Toc_4_4_0000000009 \h</w:instrText>
      </w:r>
      <w:r>
        <w:fldChar w:fldCharType="separate"/>
      </w:r>
      <w:r>
        <w:t>10</w:t>
      </w:r>
      <w:r>
        <w:fldChar w:fldCharType="end"/>
      </w:r>
      <w:r>
        <w:fldChar w:fldCharType="end"/>
      </w:r>
    </w:p>
    <w:p>
      <w:pPr>
        <w:pStyle w:val="13"/>
        <w:tabs>
          <w:tab w:val="right" w:leader="dot" w:pos="9282"/>
        </w:tabs>
      </w:pPr>
      <w:r>
        <w:fldChar w:fldCharType="begin"/>
      </w:r>
      <w:r>
        <w:instrText xml:space="preserve">HYPERLINK \l _Toc_4_4_0000000010</w:instrText>
      </w:r>
      <w:r>
        <w:fldChar w:fldCharType="separate"/>
      </w:r>
      <w:r>
        <w:t>7.2026年省级社区矫正补助资金（石财行【2025】32号）绩效目标表</w:t>
      </w:r>
      <w:r>
        <w:tab/>
      </w:r>
      <w:r>
        <w:fldChar w:fldCharType="begin"/>
      </w:r>
      <w:r>
        <w:instrText xml:space="preserve">PAGEREF _Toc_4_4_0000000010 \h</w:instrText>
      </w:r>
      <w:r>
        <w:fldChar w:fldCharType="separate"/>
      </w:r>
      <w:r>
        <w:t>11</w:t>
      </w:r>
      <w:r>
        <w:fldChar w:fldCharType="end"/>
      </w:r>
      <w:r>
        <w:fldChar w:fldCharType="end"/>
      </w:r>
    </w:p>
    <w:p>
      <w:pPr>
        <w:pStyle w:val="13"/>
        <w:tabs>
          <w:tab w:val="right" w:leader="dot" w:pos="9282"/>
        </w:tabs>
      </w:pPr>
      <w:r>
        <w:fldChar w:fldCharType="begin"/>
      </w:r>
      <w:r>
        <w:instrText xml:space="preserve">HYPERLINK \l _Toc_4_4_0000000011</w:instrText>
      </w:r>
      <w:r>
        <w:fldChar w:fldCharType="separate"/>
      </w:r>
      <w:r>
        <w:t>8.2026年中央政法纪检监察转移支付资金（石财行【2025】39号）绩效目标表</w:t>
      </w:r>
      <w:r>
        <w:tab/>
      </w:r>
      <w:r>
        <w:fldChar w:fldCharType="begin"/>
      </w:r>
      <w:r>
        <w:instrText xml:space="preserve">PAGEREF _Toc_4_4_0000000011 \h</w:instrText>
      </w:r>
      <w:r>
        <w:fldChar w:fldCharType="separate"/>
      </w:r>
      <w:r>
        <w:t>12</w:t>
      </w:r>
      <w:r>
        <w:fldChar w:fldCharType="end"/>
      </w:r>
      <w:r>
        <w:fldChar w:fldCharType="end"/>
      </w:r>
    </w:p>
    <w:p>
      <w:pPr>
        <w:pStyle w:val="13"/>
        <w:tabs>
          <w:tab w:val="right" w:leader="dot" w:pos="9282"/>
        </w:tabs>
      </w:pPr>
      <w:r>
        <w:fldChar w:fldCharType="begin"/>
      </w:r>
      <w:r>
        <w:instrText xml:space="preserve">HYPERLINK \l _Toc_4_4_0000000012</w:instrText>
      </w:r>
      <w:r>
        <w:fldChar w:fldCharType="separate"/>
      </w:r>
      <w:r>
        <w:t>9.村（居）法律顾问补贴资金绩效目标表</w:t>
      </w:r>
      <w:r>
        <w:tab/>
      </w:r>
      <w:r>
        <w:fldChar w:fldCharType="begin"/>
      </w:r>
      <w:r>
        <w:instrText xml:space="preserve">PAGEREF _Toc_4_4_0000000012 \h</w:instrText>
      </w:r>
      <w:r>
        <w:fldChar w:fldCharType="separate"/>
      </w:r>
      <w:r>
        <w:t>13</w:t>
      </w:r>
      <w:r>
        <w:fldChar w:fldCharType="end"/>
      </w:r>
      <w:r>
        <w:fldChar w:fldCharType="end"/>
      </w:r>
    </w:p>
    <w:p>
      <w:pPr>
        <w:pStyle w:val="13"/>
        <w:tabs>
          <w:tab w:val="right" w:leader="dot" w:pos="9282"/>
        </w:tabs>
      </w:pPr>
      <w:r>
        <w:fldChar w:fldCharType="begin"/>
      </w:r>
      <w:r>
        <w:instrText xml:space="preserve">HYPERLINK \l _Toc_4_4_0000000013</w:instrText>
      </w:r>
      <w:r>
        <w:fldChar w:fldCharType="separate"/>
      </w:r>
      <w:r>
        <w:t>10.法律顾问经费绩效目标表</w:t>
      </w:r>
      <w:r>
        <w:tab/>
      </w:r>
      <w:r>
        <w:fldChar w:fldCharType="begin"/>
      </w:r>
      <w:r>
        <w:instrText xml:space="preserve">PAGEREF _Toc_4_4_0000000013 \h</w:instrText>
      </w:r>
      <w:r>
        <w:fldChar w:fldCharType="separate"/>
      </w:r>
      <w:r>
        <w:t>14</w:t>
      </w:r>
      <w:r>
        <w:fldChar w:fldCharType="end"/>
      </w:r>
      <w:r>
        <w:fldChar w:fldCharType="end"/>
      </w:r>
    </w:p>
    <w:p>
      <w:pPr>
        <w:pStyle w:val="13"/>
        <w:tabs>
          <w:tab w:val="right" w:leader="dot" w:pos="9282"/>
        </w:tabs>
      </w:pPr>
      <w:r>
        <w:fldChar w:fldCharType="begin"/>
      </w:r>
      <w:r>
        <w:instrText xml:space="preserve">HYPERLINK \l _Toc_4_4_0000000014</w:instrText>
      </w:r>
      <w:r>
        <w:fldChar w:fldCharType="separate"/>
      </w:r>
      <w:r>
        <w:t>11.矛盾纠纷多元化解中心调解员补贴绩效目标表</w:t>
      </w:r>
      <w:r>
        <w:tab/>
      </w:r>
      <w:r>
        <w:fldChar w:fldCharType="begin"/>
      </w:r>
      <w:r>
        <w:instrText xml:space="preserve">PAGEREF _Toc_4_4_0000000014 \h</w:instrText>
      </w:r>
      <w:r>
        <w:fldChar w:fldCharType="separate"/>
      </w:r>
      <w:r>
        <w:t>15</w:t>
      </w:r>
      <w:r>
        <w:fldChar w:fldCharType="end"/>
      </w:r>
      <w:r>
        <w:fldChar w:fldCharType="end"/>
      </w:r>
    </w:p>
    <w:p>
      <w:pPr>
        <w:pStyle w:val="13"/>
        <w:tabs>
          <w:tab w:val="right" w:leader="dot" w:pos="9282"/>
        </w:tabs>
      </w:pPr>
      <w:r>
        <w:fldChar w:fldCharType="begin"/>
      </w:r>
      <w:r>
        <w:instrText xml:space="preserve">HYPERLINK \l _Toc_4_4_0000000015</w:instrText>
      </w:r>
      <w:r>
        <w:fldChar w:fldCharType="separate"/>
      </w:r>
      <w:r>
        <w:t>12.人民调解工作以案定补补贴绩效目标表</w:t>
      </w:r>
      <w:r>
        <w:tab/>
      </w:r>
      <w:r>
        <w:fldChar w:fldCharType="begin"/>
      </w:r>
      <w:r>
        <w:instrText xml:space="preserve">PAGEREF _Toc_4_4_0000000015 \h</w:instrText>
      </w:r>
      <w:r>
        <w:fldChar w:fldCharType="separate"/>
      </w:r>
      <w:r>
        <w:t>16</w:t>
      </w:r>
      <w:r>
        <w:fldChar w:fldCharType="end"/>
      </w:r>
      <w:r>
        <w:fldChar w:fldCharType="end"/>
      </w:r>
    </w:p>
    <w:p>
      <w:pPr>
        <w:pStyle w:val="13"/>
        <w:tabs>
          <w:tab w:val="right" w:leader="dot" w:pos="9282"/>
        </w:tabs>
      </w:pPr>
      <w:r>
        <w:fldChar w:fldCharType="begin"/>
      </w:r>
      <w:r>
        <w:instrText xml:space="preserve">HYPERLINK \l _Toc_4_4_0000000016</w:instrText>
      </w:r>
      <w:r>
        <w:fldChar w:fldCharType="separate"/>
      </w:r>
      <w:r>
        <w:t>13.司法业务（运转保障安置帮教工作经费）绩效目标表</w:t>
      </w:r>
      <w:r>
        <w:tab/>
      </w:r>
      <w:r>
        <w:fldChar w:fldCharType="begin"/>
      </w:r>
      <w:r>
        <w:instrText xml:space="preserve">PAGEREF _Toc_4_4_0000000016 \h</w:instrText>
      </w:r>
      <w:r>
        <w:fldChar w:fldCharType="separate"/>
      </w:r>
      <w:r>
        <w:t>17</w:t>
      </w:r>
      <w:r>
        <w:fldChar w:fldCharType="end"/>
      </w:r>
      <w:r>
        <w:fldChar w:fldCharType="end"/>
      </w:r>
    </w:p>
    <w:p>
      <w:pPr>
        <w:pStyle w:val="13"/>
        <w:tabs>
          <w:tab w:val="right" w:leader="dot" w:pos="9282"/>
        </w:tabs>
      </w:pPr>
      <w:r>
        <w:fldChar w:fldCharType="begin"/>
      </w:r>
      <w:r>
        <w:instrText xml:space="preserve">HYPERLINK \l _Toc_4_4_0000000017</w:instrText>
      </w:r>
      <w:r>
        <w:fldChar w:fldCharType="separate"/>
      </w:r>
      <w:r>
        <w:t>14.司法业务（运转保障公正工作经费）绩效目标表</w:t>
      </w:r>
      <w:r>
        <w:tab/>
      </w:r>
      <w:r>
        <w:fldChar w:fldCharType="begin"/>
      </w:r>
      <w:r>
        <w:instrText xml:space="preserve">PAGEREF _Toc_4_4_0000000017 \h</w:instrText>
      </w:r>
      <w:r>
        <w:fldChar w:fldCharType="separate"/>
      </w:r>
      <w:r>
        <w:t>18</w:t>
      </w:r>
      <w:r>
        <w:fldChar w:fldCharType="end"/>
      </w:r>
      <w:r>
        <w:fldChar w:fldCharType="end"/>
      </w:r>
    </w:p>
    <w:p>
      <w:pPr>
        <w:pStyle w:val="13"/>
        <w:tabs>
          <w:tab w:val="right" w:leader="dot" w:pos="9282"/>
        </w:tabs>
      </w:pPr>
      <w:r>
        <w:fldChar w:fldCharType="begin"/>
      </w:r>
      <w:r>
        <w:instrText xml:space="preserve">HYPERLINK \l _Toc_4_4_0000000018</w:instrText>
      </w:r>
      <w:r>
        <w:fldChar w:fldCharType="separate"/>
      </w:r>
      <w:r>
        <w:t>15.司法业务（运转保障经费）绩效目标表</w:t>
      </w:r>
      <w:r>
        <w:tab/>
      </w:r>
      <w:r>
        <w:fldChar w:fldCharType="begin"/>
      </w:r>
      <w:r>
        <w:instrText xml:space="preserve">PAGEREF _Toc_4_4_0000000018 \h</w:instrText>
      </w:r>
      <w:r>
        <w:fldChar w:fldCharType="separate"/>
      </w:r>
      <w:r>
        <w:t>19</w:t>
      </w:r>
      <w:r>
        <w:fldChar w:fldCharType="end"/>
      </w:r>
      <w:r>
        <w:fldChar w:fldCharType="end"/>
      </w:r>
    </w:p>
    <w:p>
      <w:pPr>
        <w:pStyle w:val="13"/>
        <w:tabs>
          <w:tab w:val="right" w:leader="dot" w:pos="9282"/>
        </w:tabs>
      </w:pPr>
      <w:r>
        <w:fldChar w:fldCharType="begin"/>
      </w:r>
      <w:r>
        <w:instrText xml:space="preserve">HYPERLINK \l _Toc_4_4_0000000019</w:instrText>
      </w:r>
      <w:r>
        <w:fldChar w:fldCharType="separate"/>
      </w:r>
      <w:r>
        <w:t>16.司法业务（运转保障人民调解工作经费）绩效目标表</w:t>
      </w:r>
      <w:r>
        <w:tab/>
      </w:r>
      <w:r>
        <w:fldChar w:fldCharType="begin"/>
      </w:r>
      <w:r>
        <w:instrText xml:space="preserve">PAGEREF _Toc_4_4_0000000019 \h</w:instrText>
      </w:r>
      <w:r>
        <w:fldChar w:fldCharType="separate"/>
      </w:r>
      <w:r>
        <w:t>20</w:t>
      </w:r>
      <w:r>
        <w:fldChar w:fldCharType="end"/>
      </w:r>
      <w:r>
        <w:fldChar w:fldCharType="end"/>
      </w:r>
    </w:p>
    <w:p>
      <w:pPr>
        <w:pStyle w:val="13"/>
        <w:tabs>
          <w:tab w:val="right" w:leader="dot" w:pos="9282"/>
        </w:tabs>
      </w:pPr>
      <w:r>
        <w:fldChar w:fldCharType="begin"/>
      </w:r>
      <w:r>
        <w:instrText xml:space="preserve">HYPERLINK \l _Toc_4_4_0000000020</w:instrText>
      </w:r>
      <w:r>
        <w:fldChar w:fldCharType="separate"/>
      </w:r>
      <w:r>
        <w:t>17.司法业务（运转保障社区矫正工作经费）绩效目标表</w:t>
      </w:r>
      <w:r>
        <w:tab/>
      </w:r>
      <w:r>
        <w:fldChar w:fldCharType="begin"/>
      </w:r>
      <w:r>
        <w:instrText xml:space="preserve">PAGEREF _Toc_4_4_0000000020 \h</w:instrText>
      </w:r>
      <w:r>
        <w:fldChar w:fldCharType="separate"/>
      </w:r>
      <w:r>
        <w:t>21</w:t>
      </w:r>
      <w:r>
        <w:fldChar w:fldCharType="end"/>
      </w:r>
      <w:r>
        <w:fldChar w:fldCharType="end"/>
      </w:r>
    </w:p>
    <w:p>
      <w:pPr>
        <w:sectPr>
          <w:footerReference r:id="rId4" w:type="default"/>
          <w:footerReference r:id="rId5" w:type="even"/>
          <w:pgSz w:w="11900" w:h="16840"/>
          <w:pgMar w:top="1984" w:right="1304" w:bottom="1134" w:left="1304" w:header="720" w:footer="720" w:gutter="0"/>
          <w:pgNumType w:start="1"/>
          <w:cols w:space="720" w:num="1"/>
        </w:sectPr>
      </w:pPr>
      <w:r>
        <w:fldChar w:fldCharType="end"/>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9"/>
      </w:pPr>
      <w:r>
        <w:rPr>
          <w:color w:val="000000"/>
          <w:sz w:val="44"/>
        </w:rPr>
        <w:t>第一部分</w:t>
      </w:r>
    </w:p>
    <w:p>
      <w:pPr>
        <w:spacing w:before="0" w:after="0" w:line="240" w:lineRule="auto"/>
        <w:ind w:firstLine="0"/>
        <w:jc w:val="center"/>
        <w:outlineLvl w:val="0"/>
      </w:pPr>
      <w:r>
        <w:rPr>
          <w:color w:val="000000"/>
          <w:sz w:val="44"/>
        </w:rPr>
        <w:t>部门整体绩效目标</w:t>
      </w:r>
    </w:p>
    <w:p>
      <w:pPr>
        <w:spacing w:before="0" w:after="0" w:line="240" w:lineRule="auto"/>
        <w:ind w:firstLine="0"/>
        <w:jc w:val="center"/>
        <w:outlineLvl w:val="9"/>
      </w:pPr>
      <w:r>
        <w:rPr>
          <w:color w:val="000000"/>
          <w:sz w:val="44"/>
        </w:rPr>
        <w:t xml:space="preserve"> </w:t>
      </w:r>
    </w:p>
    <w:p>
      <w:pPr>
        <w:spacing w:before="10" w:after="10"/>
        <w:ind w:firstLine="560"/>
        <w:jc w:val="left"/>
        <w:outlineLvl w:val="1"/>
      </w:pPr>
      <w:bookmarkStart w:id="0" w:name="_Toc_2_2_0000000001"/>
      <w:r>
        <w:rPr>
          <w:color w:val="000000"/>
          <w:sz w:val="28"/>
        </w:rPr>
        <w:t>一、总体绩效目标</w:t>
      </w:r>
      <w:bookmarkEnd w:id="0"/>
    </w:p>
    <w:p>
      <w:pPr>
        <w:pStyle w:val="3"/>
      </w:pPr>
      <w:r>
        <w:t xml:space="preserve">1、不断提高我县依法行政水平。       </w:t>
      </w:r>
    </w:p>
    <w:p>
      <w:pPr>
        <w:pStyle w:val="3"/>
      </w:pPr>
      <w:r>
        <w:t>2、承办依法治县、法治政府建设、法治督察相关工作。</w:t>
      </w:r>
    </w:p>
    <w:p>
      <w:pPr>
        <w:pStyle w:val="3"/>
      </w:pPr>
      <w:r>
        <w:t>3、全面组织实施“八五”普法规划。</w:t>
      </w:r>
    </w:p>
    <w:p>
      <w:pPr>
        <w:pStyle w:val="3"/>
      </w:pPr>
      <w:r>
        <w:t>4、提升司法所阵地化建设水平。</w:t>
      </w:r>
    </w:p>
    <w:p>
      <w:pPr>
        <w:pStyle w:val="3"/>
      </w:pPr>
      <w:r>
        <w:t>5、全面深化人民调解、行政调解工作，充分发挥多元化调解中心作用。</w:t>
      </w:r>
    </w:p>
    <w:p>
      <w:pPr>
        <w:pStyle w:val="3"/>
      </w:pPr>
      <w:r>
        <w:t>6、加强人民陪审员、人民监督员选任管理。</w:t>
      </w:r>
    </w:p>
    <w:p>
      <w:pPr>
        <w:pStyle w:val="3"/>
      </w:pPr>
      <w:r>
        <w:t>7、不断提升特殊人群教育管理水平。</w:t>
      </w:r>
    </w:p>
    <w:p>
      <w:pPr>
        <w:pStyle w:val="3"/>
      </w:pPr>
      <w:r>
        <w:t>8、加强公共法律服务体系建设。</w:t>
      </w:r>
    </w:p>
    <w:p>
      <w:pPr>
        <w:pStyle w:val="3"/>
      </w:pPr>
      <w:r>
        <w:t>9、进一步做优法律援助工作。</w:t>
      </w:r>
    </w:p>
    <w:p>
      <w:pPr>
        <w:pStyle w:val="3"/>
      </w:pPr>
      <w:r>
        <w:t>10、加强班子队伍建设。</w:t>
      </w:r>
    </w:p>
    <w:p>
      <w:pPr>
        <w:spacing w:before="10" w:after="10"/>
        <w:ind w:firstLine="560"/>
        <w:jc w:val="left"/>
        <w:outlineLvl w:val="1"/>
      </w:pPr>
      <w:bookmarkStart w:id="1" w:name="_Toc_2_2_0000000002"/>
      <w:r>
        <w:rPr>
          <w:color w:val="000000"/>
          <w:sz w:val="28"/>
        </w:rPr>
        <w:t>二、分项绩效目标</w:t>
      </w:r>
      <w:bookmarkEnd w:id="1"/>
    </w:p>
    <w:p>
      <w:pPr>
        <w:pStyle w:val="4"/>
      </w:pPr>
      <w:r>
        <w:t>1、不断提高我县依法行政水平。加强行政执法监督，做好行政执法队伍规范化建设，行政执法人员培训工作，建立健全行政执法监督机制，并将行政执法工作情况纳入依法行政考核评价重要内容，督促行政执法部门严格规范公正文明执法；做好县政府重大行政决策、规范性文件、县政府交办的各类合同、协议等合法性审查工作；指导、受理、承办全县的行政复议、行政诉讼案件。</w:t>
      </w:r>
    </w:p>
    <w:p>
      <w:pPr>
        <w:pStyle w:val="4"/>
      </w:pPr>
      <w:r>
        <w:t>2、承办依法治县、法治政府建设、法治督察相关工作。承办全面依法治县理论和实践调查研究工作，提出政策建议；承办全面依法治县工作规划建议的协调工作；组织起草全面依法治县有关重要文件；研究提出法治政府的意见和措施。负责全面依法治县重大决策部署和政策措施的督促检查工作。负责拟定全面依法治县办年度督查工作计划，组织开展重点工作督查。</w:t>
      </w:r>
    </w:p>
    <w:p>
      <w:pPr>
        <w:pStyle w:val="4"/>
      </w:pPr>
      <w:r>
        <w:t>3、全面组织实施“八五”普法规划工作。督导各部门认真落实“谁执法谁普法”责任制，加强对重点内容、重点对象的普及宣传，结合工作实际，不断丰富普法载体、拓宽普法渠道，创新普法工作形式。</w:t>
      </w:r>
    </w:p>
    <w:p>
      <w:pPr>
        <w:pStyle w:val="4"/>
      </w:pPr>
      <w:r>
        <w:t>4、提升司法所阵地化建设水平。加强司法所长、人民调解员业务指导、培训等工作，培树典型，巩固司法所规范化建设成果。充分发挥司法所九项职能，维护社会和谐稳定。</w:t>
      </w:r>
    </w:p>
    <w:p>
      <w:pPr>
        <w:pStyle w:val="4"/>
      </w:pPr>
      <w:r>
        <w:t>5、全面深化人民调解、行政调解工作，充分发挥多元化调解中心作用。坚持发展新时代“枫桥经验”正定升级版，完善“三调联动”矛盾纠纷多元化解机制，充分发挥县多元化解中心作用，做好人民调解、行政调解等工作，实现矛盾纠纷早发现、早调处、早化解、不上交、“零激化”“零上访”的目标。</w:t>
      </w:r>
    </w:p>
    <w:p>
      <w:pPr>
        <w:pStyle w:val="4"/>
      </w:pPr>
      <w:r>
        <w:t>6、加强人民陪审员、人民监督员选任管理。根据有关法律规定和上级文件要求，会同人民法院、人民检察院做好人民陪审员、人民监督员选任管理等工作。保障其在民主法治社会建设中充分发挥作用。</w:t>
      </w:r>
    </w:p>
    <w:p>
      <w:pPr>
        <w:pStyle w:val="4"/>
      </w:pPr>
      <w:r>
        <w:t>7、不断提升特殊人群教育管理水平。充分发挥社区矫正中心和“阳光中途之家”作用，做好社区矫正对象和安置帮教对象监管和帮扶工作，确保特殊人群安全稳定，顺利回归社会。</w:t>
      </w:r>
    </w:p>
    <w:p>
      <w:pPr>
        <w:pStyle w:val="4"/>
      </w:pPr>
      <w:r>
        <w:t>8、加强公共法律服务体系建设。深化公共法律服务体系建设，加快整合法律服务资源，加快建成覆盖全业务、全时空的法律服务网络，做好律师、基层法律服务、仲裁、公证、司法鉴定工作，建设人民满意的现代公共法律服务体系，真正让群众获得普惠、精准、及时、有效的公共法律服务。</w:t>
      </w:r>
    </w:p>
    <w:p>
      <w:pPr>
        <w:pStyle w:val="4"/>
      </w:pPr>
      <w:r>
        <w:t>9、进一步做优法律援助工作。积极推广《法律援助案件承办流程指南》的使用，推广质量评估经验，统一办案标准，规范办案环节，全年良好案卷数量增长10%以上；树立为民服务窗口的良好形象；通过到民政部门走访和组织基层司法所开展摸排，确保低收入家庭对法律援助工作知晓率达到100%。</w:t>
      </w:r>
    </w:p>
    <w:p>
      <w:pPr>
        <w:pStyle w:val="4"/>
      </w:pPr>
      <w:r>
        <w:t>10、进一步加强班子队伍建设。真正把思想和行动统一到习近平新时代中国特色社会主义思想要求上来，强化广大干警的责任、担当意识，在更新思想观念、提高工作标准上实现新突破。</w:t>
      </w:r>
    </w:p>
    <w:p>
      <w:pPr>
        <w:pStyle w:val="4"/>
      </w:pPr>
    </w:p>
    <w:p>
      <w:pPr>
        <w:spacing w:before="10" w:after="10"/>
        <w:ind w:firstLine="560"/>
        <w:jc w:val="left"/>
        <w:outlineLvl w:val="1"/>
      </w:pPr>
      <w:bookmarkStart w:id="2" w:name="_Toc_2_2_0000000003"/>
      <w:r>
        <w:rPr>
          <w:color w:val="000000"/>
          <w:sz w:val="28"/>
        </w:rPr>
        <w:t>三、工作保障措施</w:t>
      </w:r>
      <w:bookmarkEnd w:id="2"/>
    </w:p>
    <w:p>
      <w:pPr>
        <w:pStyle w:val="5"/>
      </w:pPr>
      <w:r>
        <w:t>1、加强经费保障。积极争取将各项专项经费列入预算，实现正常运转和规范管理，确保各项业务工作正常有序开展，保证专款专用。</w:t>
      </w:r>
    </w:p>
    <w:p>
      <w:pPr>
        <w:pStyle w:val="5"/>
      </w:pPr>
      <w:r>
        <w:t>2、加强基层基础保障。加强基层基础建设，做到制度完善、标准统一、要素齐全，把基层司法业务、普法和法治督察、律师公证管理、法律援助、社区矫正、安置帮教等工作建设成标准高、覆盖面广、影响力大的工作“阵地”。</w:t>
      </w:r>
    </w:p>
    <w:p>
      <w:pPr>
        <w:pStyle w:val="5"/>
      </w:pPr>
      <w:r>
        <w:t>3、加强新职能基础保障。加强依法治县、法治政府创建，行政复议、行政应诉、合法性审核、行政执法等工作基础建设，为更好地开展工作提供经济保障。</w:t>
      </w:r>
    </w:p>
    <w:p>
      <w:pPr>
        <w:pStyle w:val="5"/>
      </w:pPr>
      <w:r>
        <w:t>4、加强党建工作。深入开展“不忘初心、牢记使命”主题教育、为民服务解难题活动，全面提升广大党员干部的理论水平和为民服务意识、能力，增强服务社会经济发展的使命感和责任感。</w:t>
      </w:r>
    </w:p>
    <w:p>
      <w:pPr>
        <w:pStyle w:val="5"/>
      </w:pPr>
    </w:p>
    <w:p>
      <w:pPr>
        <w:spacing w:before="0" w:after="0" w:line="240" w:lineRule="auto"/>
        <w:ind w:firstLine="0"/>
        <w:jc w:val="center"/>
        <w:outlineLvl w:val="9"/>
        <w:sectPr>
          <w:pgSz w:w="11900" w:h="16840"/>
          <w:pgMar w:top="1984" w:right="1304" w:bottom="1134" w:left="1304" w:header="720" w:footer="720" w:gutter="0"/>
          <w:pgNumType w:start="1"/>
          <w:cols w:space="720" w:num="1"/>
        </w:sectPr>
      </w:pPr>
      <w:r>
        <w:rPr>
          <w:color w:val="000000"/>
          <w:sz w:val="21"/>
        </w:rPr>
        <w:t xml:space="preserve"> </w:t>
      </w:r>
    </w:p>
    <w:p>
      <w:pPr>
        <w:spacing w:before="0" w:after="0" w:line="240" w:lineRule="auto"/>
        <w:ind w:firstLine="0"/>
        <w:jc w:val="center"/>
        <w:outlineLvl w:val="9"/>
      </w:pPr>
      <w:r>
        <w:rPr>
          <w:color w:val="000000"/>
          <w:sz w:val="52"/>
        </w:rPr>
        <w:t xml:space="preserve"> </w:t>
      </w:r>
    </w:p>
    <w:p>
      <w:pPr>
        <w:spacing w:before="0" w:after="0" w:line="240" w:lineRule="auto"/>
        <w:ind w:firstLine="0"/>
        <w:jc w:val="center"/>
        <w:outlineLvl w:val="9"/>
      </w:pPr>
      <w:r>
        <w:rPr>
          <w:color w:val="000000"/>
          <w:sz w:val="52"/>
        </w:rPr>
        <w:t xml:space="preserve"> </w:t>
      </w:r>
    </w:p>
    <w:p>
      <w:pPr>
        <w:spacing w:before="0" w:after="0" w:line="240" w:lineRule="auto"/>
        <w:ind w:firstLine="0"/>
        <w:jc w:val="center"/>
        <w:outlineLvl w:val="9"/>
      </w:pPr>
      <w:r>
        <w:rPr>
          <w:color w:val="000000"/>
          <w:sz w:val="52"/>
        </w:rPr>
        <w:t xml:space="preserve"> </w:t>
      </w:r>
    </w:p>
    <w:p>
      <w:pPr>
        <w:spacing w:before="0" w:after="0" w:line="240" w:lineRule="auto"/>
        <w:ind w:firstLine="0"/>
        <w:jc w:val="center"/>
        <w:outlineLvl w:val="9"/>
      </w:pPr>
      <w:r>
        <w:rPr>
          <w:color w:val="000000"/>
          <w:sz w:val="44"/>
        </w:rPr>
        <w:t>第二部分</w:t>
      </w:r>
    </w:p>
    <w:p>
      <w:pPr>
        <w:spacing w:before="0" w:after="0" w:line="240" w:lineRule="auto"/>
        <w:ind w:firstLine="0"/>
        <w:jc w:val="center"/>
        <w:outlineLvl w:val="9"/>
      </w:pPr>
      <w:r>
        <w:rPr>
          <w:color w:val="000000"/>
          <w:sz w:val="44"/>
        </w:rPr>
        <w:t xml:space="preserve"> </w:t>
      </w:r>
    </w:p>
    <w:p>
      <w:pPr>
        <w:spacing w:before="0" w:after="0" w:line="240" w:lineRule="auto"/>
        <w:ind w:firstLine="0"/>
        <w:jc w:val="center"/>
        <w:outlineLvl w:val="0"/>
      </w:pPr>
      <w:r>
        <w:rPr>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cols w:space="720" w:num="1"/>
        </w:sectPr>
      </w:pPr>
      <w:r>
        <w:rPr>
          <w:color w:val="000000"/>
          <w:sz w:val="21"/>
        </w:rPr>
        <w:t xml:space="preserve"> </w:t>
      </w: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3" w:name="_Toc_4_4_0000000004"/>
      <w:r>
        <w:rPr>
          <w:color w:val="000000"/>
          <w:sz w:val="28"/>
        </w:rPr>
        <w:t>1.2025年省级社区矫正补助资金（石财行【2024】35号）绩效目标表</w:t>
      </w:r>
      <w:bookmarkEnd w:id="3"/>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13012326P00003810043A</w:t>
            </w:r>
          </w:p>
        </w:tc>
        <w:tc>
          <w:tcPr>
            <w:tcW w:w="1587" w:type="dxa"/>
            <w:vAlign w:val="center"/>
          </w:tcPr>
          <w:p>
            <w:pPr>
              <w:pStyle w:val="9"/>
            </w:pPr>
            <w:r>
              <w:t>项目名称</w:t>
            </w:r>
          </w:p>
        </w:tc>
        <w:tc>
          <w:tcPr>
            <w:tcW w:w="4423" w:type="dxa"/>
            <w:gridSpan w:val="3"/>
            <w:vAlign w:val="center"/>
          </w:tcPr>
          <w:p>
            <w:pPr>
              <w:pStyle w:val="8"/>
            </w:pPr>
            <w:r>
              <w:t>2025年省级社区矫正补助资金（石财行【2024】35号）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4.58</w:t>
            </w:r>
          </w:p>
        </w:tc>
        <w:tc>
          <w:tcPr>
            <w:tcW w:w="1587" w:type="dxa"/>
            <w:vAlign w:val="center"/>
          </w:tcPr>
          <w:p>
            <w:pPr>
              <w:pStyle w:val="9"/>
            </w:pPr>
            <w:r>
              <w:t>其中：财政    资金</w:t>
            </w:r>
          </w:p>
        </w:tc>
        <w:tc>
          <w:tcPr>
            <w:tcW w:w="1304" w:type="dxa"/>
            <w:vAlign w:val="center"/>
          </w:tcPr>
          <w:p>
            <w:pPr>
              <w:pStyle w:val="8"/>
            </w:pPr>
            <w:r>
              <w:t>4.58</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rPr>
                <w:rFonts w:hint="eastAsia" w:eastAsia="宋体"/>
                <w:lang w:eastAsia="zh-CN"/>
              </w:rPr>
            </w:pPr>
            <w:r>
              <w:rPr>
                <w:rFonts w:hint="eastAsia"/>
                <w:lang w:val="en-US" w:eastAsia="zh-CN"/>
              </w:rPr>
              <w:t>该项目属于涉密项目。</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r>
              <w:tab/>
            </w:r>
            <w:r>
              <w:tab/>
            </w:r>
            <w:r>
              <w:tab/>
            </w:r>
            <w:r>
              <w:tab/>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rPr>
                <w:rFonts w:hint="eastAsia" w:eastAsia="宋体"/>
                <w:lang w:eastAsia="zh-CN"/>
              </w:rPr>
            </w:pPr>
            <w:r>
              <w:rPr>
                <w:rFonts w:hint="eastAsia"/>
                <w:lang w:val="en-US" w:eastAsia="zh-CN"/>
              </w:rPr>
              <w:t>涉密</w:t>
            </w:r>
          </w:p>
        </w:tc>
        <w:tc>
          <w:tcPr>
            <w:tcW w:w="2891" w:type="dxa"/>
            <w:vAlign w:val="center"/>
          </w:tcPr>
          <w:p>
            <w:pPr>
              <w:pStyle w:val="8"/>
              <w:rPr>
                <w:rFonts w:hint="eastAsia" w:eastAsia="宋体"/>
                <w:lang w:eastAsia="zh-CN"/>
              </w:rPr>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4" w:name="_Toc_4_4_0000000005"/>
      <w:r>
        <w:rPr>
          <w:color w:val="000000"/>
          <w:sz w:val="28"/>
        </w:rPr>
        <w:t>2.2025年省纪基层公检法司转移支付资金（石财行【2024】38号）绩效目标表</w:t>
      </w:r>
      <w:bookmarkEnd w:id="4"/>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13012326P00264210546C</w:t>
            </w:r>
          </w:p>
        </w:tc>
        <w:tc>
          <w:tcPr>
            <w:tcW w:w="1587" w:type="dxa"/>
            <w:vAlign w:val="center"/>
          </w:tcPr>
          <w:p>
            <w:pPr>
              <w:pStyle w:val="9"/>
            </w:pPr>
            <w:r>
              <w:t>项目名称</w:t>
            </w:r>
          </w:p>
        </w:tc>
        <w:tc>
          <w:tcPr>
            <w:tcW w:w="4423" w:type="dxa"/>
            <w:gridSpan w:val="3"/>
            <w:vAlign w:val="center"/>
          </w:tcPr>
          <w:p>
            <w:pPr>
              <w:pStyle w:val="8"/>
            </w:pPr>
            <w:r>
              <w:t>2025年省纪基层公检法司转移支付资金（石财行【2024】38号）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29.00</w:t>
            </w:r>
          </w:p>
        </w:tc>
        <w:tc>
          <w:tcPr>
            <w:tcW w:w="1587" w:type="dxa"/>
            <w:vAlign w:val="center"/>
          </w:tcPr>
          <w:p>
            <w:pPr>
              <w:pStyle w:val="9"/>
            </w:pPr>
            <w:r>
              <w:t>其中：财政    资金</w:t>
            </w:r>
          </w:p>
        </w:tc>
        <w:tc>
          <w:tcPr>
            <w:tcW w:w="1304" w:type="dxa"/>
            <w:vAlign w:val="center"/>
          </w:tcPr>
          <w:p>
            <w:pPr>
              <w:pStyle w:val="8"/>
            </w:pPr>
            <w:r>
              <w:t>29.00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rPr>
                <w:rFonts w:hint="eastAsia"/>
                <w:lang w:val="en-US" w:eastAsia="zh-CN"/>
              </w:rPr>
              <w:t>该项目属于涉密项目。</w:t>
            </w:r>
            <w:r>
              <w:tab/>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r>
              <w:tab/>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rPr>
                <w:rFonts w:hint="eastAsia" w:eastAsia="宋体"/>
                <w:lang w:eastAsia="zh-CN"/>
              </w:rPr>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5" w:name="_Toc_4_4_0000000006"/>
      <w:r>
        <w:rPr>
          <w:color w:val="000000"/>
          <w:sz w:val="28"/>
        </w:rPr>
        <w:t>3.2025年市级社区矫正专项经费（石财行【2024】29号）绩效目标表</w:t>
      </w:r>
      <w:bookmarkEnd w:id="5"/>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13012326P002642105470</w:t>
            </w:r>
          </w:p>
        </w:tc>
        <w:tc>
          <w:tcPr>
            <w:tcW w:w="1587" w:type="dxa"/>
            <w:vAlign w:val="center"/>
          </w:tcPr>
          <w:p>
            <w:pPr>
              <w:pStyle w:val="9"/>
            </w:pPr>
            <w:r>
              <w:t>项目名称</w:t>
            </w:r>
          </w:p>
        </w:tc>
        <w:tc>
          <w:tcPr>
            <w:tcW w:w="4423" w:type="dxa"/>
            <w:gridSpan w:val="3"/>
            <w:vAlign w:val="center"/>
          </w:tcPr>
          <w:p>
            <w:pPr>
              <w:pStyle w:val="8"/>
            </w:pPr>
            <w:r>
              <w:t>2025年市级社区矫正专项经费（石财行【2024】29号）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10.00</w:t>
            </w:r>
          </w:p>
        </w:tc>
        <w:tc>
          <w:tcPr>
            <w:tcW w:w="1587" w:type="dxa"/>
            <w:vAlign w:val="center"/>
          </w:tcPr>
          <w:p>
            <w:pPr>
              <w:pStyle w:val="9"/>
            </w:pPr>
            <w:r>
              <w:t>其中：财政    资金</w:t>
            </w:r>
          </w:p>
        </w:tc>
        <w:tc>
          <w:tcPr>
            <w:tcW w:w="1304" w:type="dxa"/>
            <w:vAlign w:val="center"/>
          </w:tcPr>
          <w:p>
            <w:pPr>
              <w:pStyle w:val="8"/>
            </w:pPr>
            <w:r>
              <w:t>10.00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rPr>
                <w:rFonts w:hint="eastAsia"/>
                <w:lang w:val="en-US" w:eastAsia="zh-CN"/>
              </w:rPr>
              <w:t>该项目属于涉密项目。</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6" w:name="_Toc_4_4_0000000007"/>
      <w:r>
        <w:rPr>
          <w:color w:val="000000"/>
          <w:sz w:val="28"/>
        </w:rPr>
        <w:t>4.2025年中央政法纪检监察转移支付资金（石财行【2024】37号）绩效目标表</w:t>
      </w:r>
      <w:bookmarkEnd w:id="6"/>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13012326P002646108653</w:t>
            </w:r>
          </w:p>
        </w:tc>
        <w:tc>
          <w:tcPr>
            <w:tcW w:w="1587" w:type="dxa"/>
            <w:vAlign w:val="center"/>
          </w:tcPr>
          <w:p>
            <w:pPr>
              <w:pStyle w:val="9"/>
            </w:pPr>
            <w:r>
              <w:t>项目名称</w:t>
            </w:r>
          </w:p>
        </w:tc>
        <w:tc>
          <w:tcPr>
            <w:tcW w:w="4423" w:type="dxa"/>
            <w:gridSpan w:val="3"/>
            <w:vAlign w:val="center"/>
          </w:tcPr>
          <w:p>
            <w:pPr>
              <w:pStyle w:val="8"/>
            </w:pPr>
            <w:r>
              <w:t>2025年中央政法纪检监察转移支付资金（石财行【2024】37号）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78.00</w:t>
            </w:r>
          </w:p>
        </w:tc>
        <w:tc>
          <w:tcPr>
            <w:tcW w:w="1587" w:type="dxa"/>
            <w:vAlign w:val="center"/>
          </w:tcPr>
          <w:p>
            <w:pPr>
              <w:pStyle w:val="9"/>
            </w:pPr>
            <w:r>
              <w:t>其中：财政    资金</w:t>
            </w:r>
          </w:p>
        </w:tc>
        <w:tc>
          <w:tcPr>
            <w:tcW w:w="1304" w:type="dxa"/>
            <w:vAlign w:val="center"/>
          </w:tcPr>
          <w:p>
            <w:pPr>
              <w:pStyle w:val="8"/>
            </w:pPr>
            <w:r>
              <w:t>78.00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rPr>
                <w:rFonts w:hint="eastAsia"/>
                <w:lang w:val="en-US" w:eastAsia="zh-CN"/>
              </w:rPr>
              <w:t>该项目属于涉密项目。</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rPr>
                <w:rFonts w:hint="eastAsia" w:eastAsia="宋体"/>
                <w:lang w:eastAsia="zh-CN"/>
              </w:rPr>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vAlign w:val="center"/>
          </w:tcPr>
          <w:p>
            <w:pPr>
              <w:pStyle w:val="8"/>
              <w:rPr>
                <w:lang w:val="en-US"/>
              </w:rPr>
            </w:pPr>
            <w:r>
              <w:rPr>
                <w:rFonts w:hint="eastAsia"/>
                <w:lang w:val="en-US" w:eastAsia="zh-CN"/>
              </w:rPr>
              <w:t>涉密</w:t>
            </w:r>
          </w:p>
        </w:tc>
        <w:tc>
          <w:tcPr>
            <w:tcW w:w="1332" w:type="dxa"/>
            <w:vAlign w:val="center"/>
          </w:tcPr>
          <w:p>
            <w:pPr>
              <w:pStyle w:val="8"/>
              <w:rPr>
                <w:lang w:val="en-US"/>
              </w:rPr>
            </w:pPr>
            <w:r>
              <w:rPr>
                <w:rFonts w:hint="eastAsia"/>
                <w:lang w:val="en-US" w:eastAsia="zh-CN"/>
              </w:rPr>
              <w:t>涉密</w:t>
            </w:r>
          </w:p>
        </w:tc>
        <w:tc>
          <w:tcPr>
            <w:tcW w:w="2891" w:type="dxa"/>
            <w:vAlign w:val="center"/>
          </w:tcPr>
          <w:p>
            <w:pPr>
              <w:pStyle w:val="8"/>
              <w:rPr>
                <w:lang w:val="en-US"/>
              </w:rPr>
            </w:pPr>
            <w:r>
              <w:rPr>
                <w:rFonts w:hint="eastAsia"/>
                <w:lang w:val="en-US" w:eastAsia="zh-CN"/>
              </w:rPr>
              <w:t>涉密</w:t>
            </w:r>
          </w:p>
        </w:tc>
        <w:tc>
          <w:tcPr>
            <w:tcW w:w="1276" w:type="dxa"/>
            <w:vAlign w:val="center"/>
          </w:tcPr>
          <w:p>
            <w:pPr>
              <w:pStyle w:val="8"/>
              <w:rPr>
                <w:lang w:val="en-US"/>
              </w:rPr>
            </w:pPr>
            <w:r>
              <w:rPr>
                <w:rFonts w:hint="eastAsia"/>
                <w:lang w:val="en-US" w:eastAsia="zh-CN"/>
              </w:rPr>
              <w:t>涉密</w:t>
            </w:r>
          </w:p>
        </w:tc>
        <w:tc>
          <w:tcPr>
            <w:tcW w:w="1843" w:type="dxa"/>
            <w:vAlign w:val="center"/>
          </w:tcPr>
          <w:p>
            <w:pPr>
              <w:pStyle w:val="8"/>
              <w:rPr>
                <w:lang w:val="en-US"/>
              </w:rPr>
            </w:pPr>
            <w:r>
              <w:rPr>
                <w:rFonts w:hint="eastAsia"/>
                <w:lang w:val="en-US" w:eastAsia="zh-CN"/>
              </w:rPr>
              <w:t>涉密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7" w:name="_Toc_4_4_0000000008"/>
      <w:r>
        <w:rPr>
          <w:color w:val="000000"/>
          <w:sz w:val="28"/>
        </w:rPr>
        <w:t>5.2025年中央政法纪检监察转移支付资金（石财行【2025】12号）绩效目标表</w:t>
      </w:r>
      <w:bookmarkEnd w:id="7"/>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13012326P00264610866N</w:t>
            </w:r>
          </w:p>
        </w:tc>
        <w:tc>
          <w:tcPr>
            <w:tcW w:w="1587" w:type="dxa"/>
            <w:vAlign w:val="center"/>
          </w:tcPr>
          <w:p>
            <w:pPr>
              <w:pStyle w:val="9"/>
            </w:pPr>
            <w:r>
              <w:t>项目名称</w:t>
            </w:r>
          </w:p>
        </w:tc>
        <w:tc>
          <w:tcPr>
            <w:tcW w:w="4423" w:type="dxa"/>
            <w:gridSpan w:val="3"/>
            <w:vAlign w:val="center"/>
          </w:tcPr>
          <w:p>
            <w:pPr>
              <w:pStyle w:val="8"/>
            </w:pPr>
            <w:r>
              <w:t>2025年中央政法纪检监察转移支付资金（石财行【2025】12号）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24.00</w:t>
            </w:r>
          </w:p>
        </w:tc>
        <w:tc>
          <w:tcPr>
            <w:tcW w:w="1587" w:type="dxa"/>
            <w:vAlign w:val="center"/>
          </w:tcPr>
          <w:p>
            <w:pPr>
              <w:pStyle w:val="9"/>
            </w:pPr>
            <w:r>
              <w:t>其中：财政    资金</w:t>
            </w:r>
          </w:p>
        </w:tc>
        <w:tc>
          <w:tcPr>
            <w:tcW w:w="1304" w:type="dxa"/>
            <w:vAlign w:val="center"/>
          </w:tcPr>
          <w:p>
            <w:pPr>
              <w:pStyle w:val="8"/>
            </w:pPr>
            <w:r>
              <w:t>24.00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rPr>
                <w:rFonts w:hint="eastAsia"/>
                <w:lang w:val="en-US" w:eastAsia="zh-CN"/>
              </w:rPr>
              <w:t>该项目属于涉密项目。</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8" w:name="_Toc_4_4_0000000009"/>
      <w:r>
        <w:rPr>
          <w:color w:val="000000"/>
          <w:sz w:val="28"/>
        </w:rPr>
        <w:t>6.2026年度省级基层公检法司转移支付资金（石财行【2025】40号）绩效目标表</w:t>
      </w:r>
      <w:bookmarkEnd w:id="8"/>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13012326P00003810014A</w:t>
            </w:r>
          </w:p>
        </w:tc>
        <w:tc>
          <w:tcPr>
            <w:tcW w:w="1587" w:type="dxa"/>
            <w:vAlign w:val="center"/>
          </w:tcPr>
          <w:p>
            <w:pPr>
              <w:pStyle w:val="9"/>
            </w:pPr>
            <w:r>
              <w:t>项目名称</w:t>
            </w:r>
          </w:p>
        </w:tc>
        <w:tc>
          <w:tcPr>
            <w:tcW w:w="4423" w:type="dxa"/>
            <w:gridSpan w:val="3"/>
            <w:vAlign w:val="center"/>
          </w:tcPr>
          <w:p>
            <w:pPr>
              <w:pStyle w:val="8"/>
            </w:pPr>
            <w:r>
              <w:t>2026年度省级基层公检法司转移支付资金（石财行【2025】40号）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17.00</w:t>
            </w:r>
          </w:p>
        </w:tc>
        <w:tc>
          <w:tcPr>
            <w:tcW w:w="1587" w:type="dxa"/>
            <w:vAlign w:val="center"/>
          </w:tcPr>
          <w:p>
            <w:pPr>
              <w:pStyle w:val="9"/>
            </w:pPr>
            <w:r>
              <w:t>其中：财政    资金</w:t>
            </w:r>
          </w:p>
        </w:tc>
        <w:tc>
          <w:tcPr>
            <w:tcW w:w="1304" w:type="dxa"/>
            <w:vAlign w:val="center"/>
          </w:tcPr>
          <w:p>
            <w:pPr>
              <w:pStyle w:val="8"/>
            </w:pPr>
            <w:r>
              <w:t>17.00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rPr>
                <w:rFonts w:hint="eastAsia"/>
                <w:lang w:val="en-US" w:eastAsia="zh-CN"/>
              </w:rPr>
              <w:t>该项目属于涉密项目。</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rPr>
                <w:rFonts w:hint="eastAsia" w:eastAsia="宋体"/>
                <w:lang w:eastAsia="zh-CN"/>
              </w:rPr>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9" w:name="_Toc_4_4_0000000010"/>
      <w:r>
        <w:rPr>
          <w:color w:val="000000"/>
          <w:sz w:val="28"/>
        </w:rPr>
        <w:t>7.2026年省级社区矫正补助资金（石财行【2025】32号）绩效目标表</w:t>
      </w:r>
      <w:bookmarkEnd w:id="9"/>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13012326P00003810013N</w:t>
            </w:r>
          </w:p>
        </w:tc>
        <w:tc>
          <w:tcPr>
            <w:tcW w:w="1587" w:type="dxa"/>
            <w:vAlign w:val="center"/>
          </w:tcPr>
          <w:p>
            <w:pPr>
              <w:pStyle w:val="9"/>
            </w:pPr>
            <w:r>
              <w:t>项目名称</w:t>
            </w:r>
          </w:p>
        </w:tc>
        <w:tc>
          <w:tcPr>
            <w:tcW w:w="4423" w:type="dxa"/>
            <w:gridSpan w:val="3"/>
            <w:vAlign w:val="center"/>
          </w:tcPr>
          <w:p>
            <w:pPr>
              <w:pStyle w:val="8"/>
            </w:pPr>
            <w:r>
              <w:t>2026年省级社区矫正补助资金（石财行【2025】32号）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11.76</w:t>
            </w:r>
          </w:p>
        </w:tc>
        <w:tc>
          <w:tcPr>
            <w:tcW w:w="1587" w:type="dxa"/>
            <w:vAlign w:val="center"/>
          </w:tcPr>
          <w:p>
            <w:pPr>
              <w:pStyle w:val="9"/>
            </w:pPr>
            <w:r>
              <w:t>其中：财政    资金</w:t>
            </w:r>
          </w:p>
        </w:tc>
        <w:tc>
          <w:tcPr>
            <w:tcW w:w="1304" w:type="dxa"/>
            <w:vAlign w:val="center"/>
          </w:tcPr>
          <w:p>
            <w:pPr>
              <w:pStyle w:val="8"/>
            </w:pPr>
            <w:r>
              <w:t>11.76</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rPr>
                <w:rFonts w:hint="eastAsia"/>
                <w:lang w:val="en-US" w:eastAsia="zh-CN"/>
              </w:rPr>
              <w:t>该项目属于涉密项目。</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textDirection w:val="lrTb"/>
            <w:vAlign w:val="center"/>
          </w:tcPr>
          <w:p>
            <w:pPr>
              <w:pStyle w:val="8"/>
              <w:ind w:firstLine="0" w:firstLineChars="0"/>
              <w:rPr>
                <w:rFonts w:hint="eastAsia" w:eastAsia="宋体"/>
                <w:lang w:eastAsia="zh-CN"/>
              </w:rPr>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Merge w:val="continue"/>
            <w:vAlign w:val="center"/>
          </w:tcP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Merge w:val="continue"/>
            <w:vAlign w:val="center"/>
          </w:tcP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Merge w:val="continue"/>
            <w:vAlign w:val="center"/>
          </w:tcP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Merge w:val="continue"/>
            <w:vAlign w:val="center"/>
          </w:tcP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Merge w:val="continue"/>
            <w:vAlign w:val="center"/>
          </w:tcP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Merge w:val="continue"/>
            <w:vAlign w:val="center"/>
          </w:tcP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textDirection w:val="lrTb"/>
            <w:vAlign w:val="center"/>
          </w:tcPr>
          <w:p>
            <w:pPr>
              <w:pStyle w:val="8"/>
              <w:ind w:firstLine="0" w:firstLineChars="0"/>
            </w:pPr>
            <w:r>
              <w:rPr>
                <w:rFonts w:hint="eastAsia"/>
                <w:lang w:val="en-US" w:eastAsia="zh-CN"/>
              </w:rPr>
              <w:t>涉密</w:t>
            </w:r>
          </w:p>
        </w:tc>
        <w:tc>
          <w:tcPr>
            <w:tcW w:w="1332" w:type="dxa"/>
            <w:textDirection w:val="lrTb"/>
            <w:vAlign w:val="center"/>
          </w:tcPr>
          <w:p>
            <w:pPr>
              <w:pStyle w:val="8"/>
              <w:ind w:firstLine="0" w:firstLineChars="0"/>
            </w:pPr>
            <w:r>
              <w:rPr>
                <w:rFonts w:hint="eastAsia"/>
                <w:lang w:val="en-US" w:eastAsia="zh-CN"/>
              </w:rPr>
              <w:t>涉密</w:t>
            </w:r>
          </w:p>
        </w:tc>
        <w:tc>
          <w:tcPr>
            <w:tcW w:w="2891" w:type="dxa"/>
            <w:textDirection w:val="lrTb"/>
            <w:vAlign w:val="center"/>
          </w:tcPr>
          <w:p>
            <w:pPr>
              <w:pStyle w:val="8"/>
              <w:ind w:firstLine="0" w:firstLineChars="0"/>
            </w:pPr>
            <w:r>
              <w:rPr>
                <w:rFonts w:hint="eastAsia"/>
                <w:lang w:val="en-US" w:eastAsia="zh-CN"/>
              </w:rPr>
              <w:t>涉密</w:t>
            </w:r>
          </w:p>
        </w:tc>
        <w:tc>
          <w:tcPr>
            <w:tcW w:w="1276" w:type="dxa"/>
            <w:textDirection w:val="lrTb"/>
            <w:vAlign w:val="center"/>
          </w:tcPr>
          <w:p>
            <w:pPr>
              <w:pStyle w:val="8"/>
              <w:ind w:firstLine="0" w:firstLineChars="0"/>
            </w:pPr>
            <w:r>
              <w:rPr>
                <w:rFonts w:hint="eastAsia"/>
                <w:lang w:val="en-US" w:eastAsia="zh-CN"/>
              </w:rPr>
              <w:t>涉密</w:t>
            </w:r>
          </w:p>
        </w:tc>
        <w:tc>
          <w:tcPr>
            <w:tcW w:w="1843" w:type="dxa"/>
            <w:textDirection w:val="lrTb"/>
            <w:vAlign w:val="center"/>
          </w:tcPr>
          <w:p>
            <w:pPr>
              <w:pStyle w:val="8"/>
              <w:ind w:firstLine="0" w:firstLineChars="0"/>
            </w:pPr>
            <w:r>
              <w:rPr>
                <w:rFonts w:hint="eastAsia"/>
                <w:lang w:val="en-US" w:eastAsia="zh-CN"/>
              </w:rPr>
              <w:t>涉密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0" w:name="_Toc_4_4_0000000011"/>
      <w:r>
        <w:rPr>
          <w:color w:val="000000"/>
          <w:sz w:val="28"/>
        </w:rPr>
        <w:t>8.2026年中央政法纪检监察转移支付资金（石财行【2025】39号）绩效目标表</w:t>
      </w:r>
      <w:bookmarkEnd w:id="10"/>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13012326P00004410012K</w:t>
            </w:r>
          </w:p>
        </w:tc>
        <w:tc>
          <w:tcPr>
            <w:tcW w:w="1587" w:type="dxa"/>
            <w:vAlign w:val="center"/>
          </w:tcPr>
          <w:p>
            <w:pPr>
              <w:pStyle w:val="9"/>
            </w:pPr>
            <w:r>
              <w:t>项目名称</w:t>
            </w:r>
          </w:p>
        </w:tc>
        <w:tc>
          <w:tcPr>
            <w:tcW w:w="4423" w:type="dxa"/>
            <w:gridSpan w:val="3"/>
            <w:vAlign w:val="center"/>
          </w:tcPr>
          <w:p>
            <w:pPr>
              <w:pStyle w:val="8"/>
            </w:pPr>
            <w:r>
              <w:t>2026年中央政法纪检监察转移支付资金（石财行【2025】39号）</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88.00</w:t>
            </w:r>
          </w:p>
        </w:tc>
        <w:tc>
          <w:tcPr>
            <w:tcW w:w="1587" w:type="dxa"/>
            <w:vAlign w:val="center"/>
          </w:tcPr>
          <w:p>
            <w:pPr>
              <w:pStyle w:val="9"/>
            </w:pPr>
            <w:r>
              <w:t>其中：财政    资金</w:t>
            </w:r>
          </w:p>
        </w:tc>
        <w:tc>
          <w:tcPr>
            <w:tcW w:w="1304" w:type="dxa"/>
            <w:vAlign w:val="center"/>
          </w:tcPr>
          <w:p>
            <w:pPr>
              <w:pStyle w:val="8"/>
            </w:pPr>
            <w:r>
              <w:t>88.00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rPr>
                <w:rFonts w:hint="eastAsia"/>
                <w:lang w:val="en-US" w:eastAsia="zh-CN"/>
              </w:rPr>
              <w:t>该项目属于涉密项目。</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rPr>
                <w:rFonts w:hint="eastAsia"/>
                <w:lang w:val="en-US" w:eastAsia="zh-CN"/>
              </w:rPr>
              <w:t>该项目属于涉密项目。</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bookmarkStart w:id="20" w:name="_GoBack" w:colFirst="1" w:colLast="5"/>
            <w:r>
              <w:t>产出指标</w:t>
            </w:r>
          </w:p>
        </w:tc>
        <w:tc>
          <w:tcPr>
            <w:tcW w:w="1276" w:type="dxa"/>
            <w:vAlign w:val="center"/>
          </w:tcPr>
          <w:p>
            <w:pPr>
              <w:pStyle w:val="8"/>
              <w:rPr>
                <w:rFonts w:hint="eastAsia" w:eastAsia="宋体"/>
                <w:lang w:eastAsia="zh-CN"/>
              </w:rPr>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Merge w:val="continue"/>
            <w:vAlign w:val="center"/>
          </w:tcP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rPr>
                <w:rFonts w:hint="eastAsia"/>
                <w:lang w:val="en-US" w:eastAsia="zh-CN"/>
              </w:rPr>
              <w:t>涉密</w:t>
            </w:r>
          </w:p>
        </w:tc>
        <w:tc>
          <w:tcPr>
            <w:tcW w:w="1332" w:type="dxa"/>
            <w:vAlign w:val="center"/>
          </w:tcPr>
          <w:p>
            <w:pPr>
              <w:pStyle w:val="8"/>
            </w:pPr>
            <w:r>
              <w:rPr>
                <w:rFonts w:hint="eastAsia"/>
                <w:lang w:val="en-US" w:eastAsia="zh-CN"/>
              </w:rPr>
              <w:t>涉密</w:t>
            </w:r>
          </w:p>
        </w:tc>
        <w:tc>
          <w:tcPr>
            <w:tcW w:w="2891" w:type="dxa"/>
            <w:vAlign w:val="center"/>
          </w:tcPr>
          <w:p>
            <w:pPr>
              <w:pStyle w:val="8"/>
            </w:pPr>
            <w:r>
              <w:rPr>
                <w:rFonts w:hint="eastAsia"/>
                <w:lang w:val="en-US" w:eastAsia="zh-CN"/>
              </w:rPr>
              <w:t>涉密</w:t>
            </w:r>
          </w:p>
        </w:tc>
        <w:tc>
          <w:tcPr>
            <w:tcW w:w="1276" w:type="dxa"/>
            <w:vAlign w:val="center"/>
          </w:tcPr>
          <w:p>
            <w:pPr>
              <w:pStyle w:val="8"/>
            </w:pPr>
            <w:r>
              <w:rPr>
                <w:rFonts w:hint="eastAsia"/>
                <w:lang w:val="en-US" w:eastAsia="zh-CN"/>
              </w:rPr>
              <w:t>涉密</w:t>
            </w:r>
          </w:p>
        </w:tc>
        <w:tc>
          <w:tcPr>
            <w:tcW w:w="1843" w:type="dxa"/>
            <w:vAlign w:val="center"/>
          </w:tcPr>
          <w:p>
            <w:pPr>
              <w:pStyle w:val="8"/>
            </w:pPr>
            <w:r>
              <w:rPr>
                <w:rFonts w:hint="eastAsia"/>
                <w:lang w:val="en-US" w:eastAsia="zh-CN"/>
              </w:rPr>
              <w:t>涉密</w:t>
            </w:r>
          </w:p>
        </w:tc>
      </w:tr>
      <w:bookmarkEnd w:id="20"/>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1" w:name="_Toc_4_4_0000000012"/>
      <w:r>
        <w:rPr>
          <w:color w:val="000000"/>
          <w:sz w:val="28"/>
        </w:rPr>
        <w:t>9.村（居）法律顾问补贴资金绩效目标表</w:t>
      </w:r>
      <w:bookmarkEnd w:id="11"/>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13012326P0020H010049W</w:t>
            </w:r>
          </w:p>
        </w:tc>
        <w:tc>
          <w:tcPr>
            <w:tcW w:w="1587" w:type="dxa"/>
            <w:vAlign w:val="center"/>
          </w:tcPr>
          <w:p>
            <w:pPr>
              <w:pStyle w:val="9"/>
            </w:pPr>
            <w:r>
              <w:t>项目名称</w:t>
            </w:r>
          </w:p>
        </w:tc>
        <w:tc>
          <w:tcPr>
            <w:tcW w:w="4423" w:type="dxa"/>
            <w:gridSpan w:val="3"/>
            <w:vAlign w:val="center"/>
          </w:tcPr>
          <w:p>
            <w:pPr>
              <w:pStyle w:val="8"/>
            </w:pPr>
            <w:r>
              <w:t>村（居）法律顾问补贴资金</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39.12</w:t>
            </w:r>
          </w:p>
        </w:tc>
        <w:tc>
          <w:tcPr>
            <w:tcW w:w="1587" w:type="dxa"/>
            <w:vAlign w:val="center"/>
          </w:tcPr>
          <w:p>
            <w:pPr>
              <w:pStyle w:val="9"/>
            </w:pPr>
            <w:r>
              <w:t>其中：财政    资金</w:t>
            </w:r>
          </w:p>
        </w:tc>
        <w:tc>
          <w:tcPr>
            <w:tcW w:w="1304" w:type="dxa"/>
            <w:vAlign w:val="center"/>
          </w:tcPr>
          <w:p>
            <w:pPr>
              <w:pStyle w:val="8"/>
            </w:pPr>
            <w:r>
              <w:t>39.12</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用于村（居）法律顾问补贴支出</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1.用于村（居）法律顾问补贴</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配备村（居）法律顾问人数</w:t>
            </w:r>
          </w:p>
        </w:tc>
        <w:tc>
          <w:tcPr>
            <w:tcW w:w="2891" w:type="dxa"/>
            <w:vAlign w:val="center"/>
          </w:tcPr>
          <w:p>
            <w:pPr>
              <w:pStyle w:val="8"/>
            </w:pPr>
            <w:r>
              <w:t>配备村（居）法律顾问人数</w:t>
            </w:r>
          </w:p>
        </w:tc>
        <w:tc>
          <w:tcPr>
            <w:tcW w:w="1276" w:type="dxa"/>
            <w:vAlign w:val="center"/>
          </w:tcPr>
          <w:p>
            <w:pPr>
              <w:pStyle w:val="8"/>
            </w:pPr>
            <w:r>
              <w:t>≥50人</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全覆盖</w:t>
            </w:r>
          </w:p>
        </w:tc>
        <w:tc>
          <w:tcPr>
            <w:tcW w:w="2891" w:type="dxa"/>
            <w:vAlign w:val="center"/>
          </w:tcPr>
          <w:p>
            <w:pPr>
              <w:pStyle w:val="8"/>
            </w:pPr>
            <w:r>
              <w:t>实现村（居）法律顾问全覆盖</w:t>
            </w:r>
          </w:p>
        </w:tc>
        <w:tc>
          <w:tcPr>
            <w:tcW w:w="1276" w:type="dxa"/>
            <w:vAlign w:val="center"/>
          </w:tcPr>
          <w:p>
            <w:pPr>
              <w:pStyle w:val="8"/>
            </w:pPr>
            <w:r>
              <w:t>100百分比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工作完成的时效</w:t>
            </w:r>
          </w:p>
        </w:tc>
        <w:tc>
          <w:tcPr>
            <w:tcW w:w="2891" w:type="dxa"/>
            <w:vAlign w:val="center"/>
          </w:tcPr>
          <w:p>
            <w:pPr>
              <w:pStyle w:val="8"/>
            </w:pPr>
            <w:r>
              <w:t>完成村（居）法律顾问全覆盖</w:t>
            </w:r>
          </w:p>
        </w:tc>
        <w:tc>
          <w:tcPr>
            <w:tcW w:w="1276" w:type="dxa"/>
            <w:vAlign w:val="center"/>
          </w:tcPr>
          <w:p>
            <w:pPr>
              <w:pStyle w:val="8"/>
            </w:pPr>
            <w:r>
              <w:t>100百分比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39.12万元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提升公共服务水平</w:t>
            </w:r>
          </w:p>
        </w:tc>
        <w:tc>
          <w:tcPr>
            <w:tcW w:w="2891" w:type="dxa"/>
            <w:vAlign w:val="center"/>
          </w:tcPr>
          <w:p>
            <w:pPr>
              <w:pStyle w:val="8"/>
            </w:pPr>
            <w:r>
              <w:t>全面提升村（居）公共法律服务水平</w:t>
            </w:r>
          </w:p>
        </w:tc>
        <w:tc>
          <w:tcPr>
            <w:tcW w:w="1276" w:type="dxa"/>
            <w:vAlign w:val="center"/>
          </w:tcPr>
          <w:p>
            <w:pPr>
              <w:pStyle w:val="8"/>
            </w:pPr>
            <w:r>
              <w:t>1</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受益群体满意度</w:t>
            </w:r>
          </w:p>
        </w:tc>
        <w:tc>
          <w:tcPr>
            <w:tcW w:w="2891" w:type="dxa"/>
            <w:vAlign w:val="center"/>
          </w:tcPr>
          <w:p>
            <w:pPr>
              <w:pStyle w:val="8"/>
            </w:pPr>
            <w:r>
              <w:t>受益群体满意度</w:t>
            </w:r>
          </w:p>
        </w:tc>
        <w:tc>
          <w:tcPr>
            <w:tcW w:w="1276" w:type="dxa"/>
            <w:vAlign w:val="center"/>
          </w:tcPr>
          <w:p>
            <w:pPr>
              <w:pStyle w:val="8"/>
            </w:pPr>
            <w:r>
              <w:t>≥90</w:t>
            </w:r>
          </w:p>
        </w:tc>
        <w:tc>
          <w:tcPr>
            <w:tcW w:w="1843" w:type="dxa"/>
            <w:vAlign w:val="center"/>
          </w:tcPr>
          <w:p>
            <w:pPr>
              <w:pStyle w:val="8"/>
            </w:pPr>
            <w: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2" w:name="_Toc_4_4_0000000013"/>
      <w:r>
        <w:rPr>
          <w:color w:val="000000"/>
          <w:sz w:val="28"/>
        </w:rPr>
        <w:t>10.法律顾问经费绩效目标表</w:t>
      </w:r>
      <w:bookmarkEnd w:id="12"/>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13012326P00003810042N</w:t>
            </w:r>
          </w:p>
        </w:tc>
        <w:tc>
          <w:tcPr>
            <w:tcW w:w="1587" w:type="dxa"/>
            <w:vAlign w:val="center"/>
          </w:tcPr>
          <w:p>
            <w:pPr>
              <w:pStyle w:val="9"/>
            </w:pPr>
            <w:r>
              <w:t>项目名称</w:t>
            </w:r>
          </w:p>
        </w:tc>
        <w:tc>
          <w:tcPr>
            <w:tcW w:w="4423" w:type="dxa"/>
            <w:gridSpan w:val="3"/>
            <w:vAlign w:val="center"/>
          </w:tcPr>
          <w:p>
            <w:pPr>
              <w:pStyle w:val="8"/>
            </w:pPr>
            <w:r>
              <w:t>法律顾问经费</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29.50</w:t>
            </w:r>
          </w:p>
        </w:tc>
        <w:tc>
          <w:tcPr>
            <w:tcW w:w="1587" w:type="dxa"/>
            <w:vAlign w:val="center"/>
          </w:tcPr>
          <w:p>
            <w:pPr>
              <w:pStyle w:val="9"/>
            </w:pPr>
            <w:r>
              <w:t>其中：财政    资金</w:t>
            </w:r>
          </w:p>
        </w:tc>
        <w:tc>
          <w:tcPr>
            <w:tcW w:w="1304" w:type="dxa"/>
            <w:vAlign w:val="center"/>
          </w:tcPr>
          <w:p>
            <w:pPr>
              <w:pStyle w:val="8"/>
            </w:pPr>
            <w:r>
              <w:t>29.50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保障法律顾问工作正常开展。</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1.提高我县法制建设工作水平</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办理案件数</w:t>
            </w:r>
          </w:p>
        </w:tc>
        <w:tc>
          <w:tcPr>
            <w:tcW w:w="2891" w:type="dxa"/>
            <w:vAlign w:val="center"/>
          </w:tcPr>
          <w:p>
            <w:pPr>
              <w:pStyle w:val="8"/>
            </w:pPr>
            <w:r>
              <w:t>办理行政复议案件数</w:t>
            </w:r>
          </w:p>
        </w:tc>
        <w:tc>
          <w:tcPr>
            <w:tcW w:w="1276" w:type="dxa"/>
            <w:vAlign w:val="center"/>
          </w:tcPr>
          <w:p>
            <w:pPr>
              <w:pStyle w:val="8"/>
            </w:pPr>
            <w:r>
              <w:t>≥150件</w:t>
            </w:r>
          </w:p>
        </w:tc>
        <w:tc>
          <w:tcPr>
            <w:tcW w:w="1843" w:type="dxa"/>
            <w:vAlign w:val="center"/>
          </w:tcPr>
          <w:p>
            <w:pPr>
              <w:pStyle w:val="8"/>
            </w:pPr>
            <w:r>
              <w:t>历年经验</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立案案件办结率</w:t>
            </w:r>
          </w:p>
        </w:tc>
        <w:tc>
          <w:tcPr>
            <w:tcW w:w="2891" w:type="dxa"/>
            <w:vAlign w:val="center"/>
          </w:tcPr>
          <w:p>
            <w:pPr>
              <w:pStyle w:val="8"/>
            </w:pPr>
            <w:r>
              <w:t>立案案件办结率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完成率</w:t>
            </w:r>
          </w:p>
        </w:tc>
        <w:tc>
          <w:tcPr>
            <w:tcW w:w="2891" w:type="dxa"/>
            <w:vAlign w:val="center"/>
          </w:tcPr>
          <w:p>
            <w:pPr>
              <w:pStyle w:val="8"/>
            </w:pPr>
            <w:r>
              <w:t>完成率</w:t>
            </w:r>
          </w:p>
        </w:tc>
        <w:tc>
          <w:tcPr>
            <w:tcW w:w="1276" w:type="dxa"/>
            <w:vAlign w:val="center"/>
          </w:tcPr>
          <w:p>
            <w:pPr>
              <w:pStyle w:val="8"/>
            </w:pPr>
            <w:r>
              <w:t>≥80百分比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29.5万元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化解矛盾率（%）</w:t>
            </w:r>
          </w:p>
        </w:tc>
        <w:tc>
          <w:tcPr>
            <w:tcW w:w="2891" w:type="dxa"/>
            <w:vAlign w:val="center"/>
          </w:tcPr>
          <w:p>
            <w:pPr>
              <w:pStyle w:val="8"/>
            </w:pPr>
            <w:r>
              <w:t>化解矛盾率（%）</w:t>
            </w:r>
          </w:p>
        </w:tc>
        <w:tc>
          <w:tcPr>
            <w:tcW w:w="1276" w:type="dxa"/>
            <w:vAlign w:val="center"/>
          </w:tcPr>
          <w:p>
            <w:pPr>
              <w:pStyle w:val="8"/>
            </w:pPr>
            <w:r>
              <w:t>≥70百分比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服务对象满意度指标</w:t>
            </w:r>
          </w:p>
        </w:tc>
        <w:tc>
          <w:tcPr>
            <w:tcW w:w="2891" w:type="dxa"/>
            <w:vAlign w:val="center"/>
          </w:tcPr>
          <w:p>
            <w:pPr>
              <w:pStyle w:val="8"/>
            </w:pPr>
            <w:r>
              <w:t>满意率</w:t>
            </w:r>
          </w:p>
        </w:tc>
        <w:tc>
          <w:tcPr>
            <w:tcW w:w="1276" w:type="dxa"/>
            <w:vAlign w:val="center"/>
          </w:tcPr>
          <w:p>
            <w:pPr>
              <w:pStyle w:val="8"/>
            </w:pPr>
            <w:r>
              <w:t>≥60百分比</w:t>
            </w:r>
          </w:p>
        </w:tc>
        <w:tc>
          <w:tcPr>
            <w:tcW w:w="1843" w:type="dxa"/>
            <w:vAlign w:val="center"/>
          </w:tcPr>
          <w:p>
            <w:pPr>
              <w:pStyle w:val="8"/>
            </w:pPr>
            <w: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3" w:name="_Toc_4_4_0000000014"/>
      <w:r>
        <w:rPr>
          <w:color w:val="000000"/>
          <w:sz w:val="28"/>
        </w:rPr>
        <w:t>11.矛盾纠纷多元化解中心调解员补贴绩效目标表</w:t>
      </w:r>
      <w:bookmarkEnd w:id="13"/>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13012326P000038100413</w:t>
            </w:r>
          </w:p>
        </w:tc>
        <w:tc>
          <w:tcPr>
            <w:tcW w:w="1587" w:type="dxa"/>
            <w:vAlign w:val="center"/>
          </w:tcPr>
          <w:p>
            <w:pPr>
              <w:pStyle w:val="9"/>
            </w:pPr>
            <w:r>
              <w:t>项目名称</w:t>
            </w:r>
          </w:p>
        </w:tc>
        <w:tc>
          <w:tcPr>
            <w:tcW w:w="4423" w:type="dxa"/>
            <w:gridSpan w:val="3"/>
            <w:vAlign w:val="center"/>
          </w:tcPr>
          <w:p>
            <w:pPr>
              <w:pStyle w:val="8"/>
            </w:pPr>
            <w:r>
              <w:t>矛盾纠纷多元化解中心调解员补贴</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27.00</w:t>
            </w:r>
          </w:p>
        </w:tc>
        <w:tc>
          <w:tcPr>
            <w:tcW w:w="1587" w:type="dxa"/>
            <w:vAlign w:val="center"/>
          </w:tcPr>
          <w:p>
            <w:pPr>
              <w:pStyle w:val="9"/>
            </w:pPr>
            <w:r>
              <w:t>其中：财政    资金</w:t>
            </w:r>
          </w:p>
        </w:tc>
        <w:tc>
          <w:tcPr>
            <w:tcW w:w="1304" w:type="dxa"/>
            <w:vAlign w:val="center"/>
          </w:tcPr>
          <w:p>
            <w:pPr>
              <w:pStyle w:val="8"/>
            </w:pPr>
            <w:r>
              <w:t>27.00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用于帮大哥帮大姐调解员协会调解员补贴</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1.用于帮大哥帮大姐调解员协会调解员补贴</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办理案件数</w:t>
            </w:r>
          </w:p>
        </w:tc>
        <w:tc>
          <w:tcPr>
            <w:tcW w:w="2891" w:type="dxa"/>
            <w:vAlign w:val="center"/>
          </w:tcPr>
          <w:p>
            <w:pPr>
              <w:pStyle w:val="8"/>
            </w:pPr>
            <w:r>
              <w:t>办理案件数</w:t>
            </w:r>
          </w:p>
        </w:tc>
        <w:tc>
          <w:tcPr>
            <w:tcW w:w="1276" w:type="dxa"/>
            <w:vAlign w:val="center"/>
          </w:tcPr>
          <w:p>
            <w:pPr>
              <w:pStyle w:val="8"/>
            </w:pPr>
            <w:r>
              <w:t>≥900件</w:t>
            </w:r>
          </w:p>
        </w:tc>
        <w:tc>
          <w:tcPr>
            <w:tcW w:w="1843" w:type="dxa"/>
            <w:vAlign w:val="center"/>
          </w:tcPr>
          <w:p>
            <w:pPr>
              <w:pStyle w:val="8"/>
            </w:pPr>
            <w:r>
              <w:t>历年经验</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案件办理率</w:t>
            </w:r>
          </w:p>
        </w:tc>
        <w:tc>
          <w:tcPr>
            <w:tcW w:w="2891" w:type="dxa"/>
            <w:vAlign w:val="center"/>
          </w:tcPr>
          <w:p>
            <w:pPr>
              <w:pStyle w:val="8"/>
            </w:pPr>
            <w:r>
              <w:t>案件办理率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完成率</w:t>
            </w:r>
          </w:p>
        </w:tc>
        <w:tc>
          <w:tcPr>
            <w:tcW w:w="2891" w:type="dxa"/>
            <w:vAlign w:val="center"/>
          </w:tcPr>
          <w:p>
            <w:pPr>
              <w:pStyle w:val="8"/>
            </w:pPr>
            <w:r>
              <w:t>完成率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27万元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化解矛盾率（%）</w:t>
            </w:r>
          </w:p>
        </w:tc>
        <w:tc>
          <w:tcPr>
            <w:tcW w:w="2891" w:type="dxa"/>
            <w:vAlign w:val="center"/>
          </w:tcPr>
          <w:p>
            <w:pPr>
              <w:pStyle w:val="8"/>
            </w:pPr>
            <w:r>
              <w:t>化解矛盾率（%）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满意率</w:t>
            </w:r>
          </w:p>
        </w:tc>
        <w:tc>
          <w:tcPr>
            <w:tcW w:w="2891" w:type="dxa"/>
            <w:vAlign w:val="center"/>
          </w:tcPr>
          <w:p>
            <w:pPr>
              <w:pStyle w:val="8"/>
            </w:pPr>
            <w:r>
              <w:t>满意率</w:t>
            </w:r>
          </w:p>
        </w:tc>
        <w:tc>
          <w:tcPr>
            <w:tcW w:w="1276" w:type="dxa"/>
            <w:vAlign w:val="center"/>
          </w:tcPr>
          <w:p>
            <w:pPr>
              <w:pStyle w:val="8"/>
            </w:pPr>
            <w:r>
              <w:t>≥90百分比</w:t>
            </w:r>
          </w:p>
        </w:tc>
        <w:tc>
          <w:tcPr>
            <w:tcW w:w="1843" w:type="dxa"/>
            <w:vAlign w:val="center"/>
          </w:tcPr>
          <w:p>
            <w:pPr>
              <w:pStyle w:val="8"/>
            </w:pPr>
            <w: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4" w:name="_Toc_4_4_0000000015"/>
      <w:r>
        <w:rPr>
          <w:color w:val="000000"/>
          <w:sz w:val="28"/>
        </w:rPr>
        <w:t>12.人民调解工作以案定补补贴绩效目标表</w:t>
      </w:r>
      <w:bookmarkEnd w:id="14"/>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13012326P00003810040F</w:t>
            </w:r>
          </w:p>
        </w:tc>
        <w:tc>
          <w:tcPr>
            <w:tcW w:w="1587" w:type="dxa"/>
            <w:vAlign w:val="center"/>
          </w:tcPr>
          <w:p>
            <w:pPr>
              <w:pStyle w:val="9"/>
            </w:pPr>
            <w:r>
              <w:t>项目名称</w:t>
            </w:r>
          </w:p>
        </w:tc>
        <w:tc>
          <w:tcPr>
            <w:tcW w:w="4423" w:type="dxa"/>
            <w:gridSpan w:val="3"/>
            <w:vAlign w:val="center"/>
          </w:tcPr>
          <w:p>
            <w:pPr>
              <w:pStyle w:val="8"/>
            </w:pPr>
            <w:r>
              <w:t>人民调解工作以案定补补贴</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6.00</w:t>
            </w:r>
          </w:p>
        </w:tc>
        <w:tc>
          <w:tcPr>
            <w:tcW w:w="1587" w:type="dxa"/>
            <w:vAlign w:val="center"/>
          </w:tcPr>
          <w:p>
            <w:pPr>
              <w:pStyle w:val="9"/>
            </w:pPr>
            <w:r>
              <w:t>其中：财政    资金</w:t>
            </w:r>
          </w:p>
        </w:tc>
        <w:tc>
          <w:tcPr>
            <w:tcW w:w="1304" w:type="dxa"/>
            <w:vAlign w:val="center"/>
          </w:tcPr>
          <w:p>
            <w:pPr>
              <w:pStyle w:val="8"/>
            </w:pPr>
            <w:r>
              <w:t>6.00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用于人民调解工作以案定补支出使用。</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1.用于人民调解工作以案定补支出使用。</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办理案件数</w:t>
            </w:r>
          </w:p>
        </w:tc>
        <w:tc>
          <w:tcPr>
            <w:tcW w:w="2891" w:type="dxa"/>
            <w:vAlign w:val="center"/>
          </w:tcPr>
          <w:p>
            <w:pPr>
              <w:pStyle w:val="8"/>
            </w:pPr>
            <w:r>
              <w:t>办理案件数</w:t>
            </w:r>
          </w:p>
        </w:tc>
        <w:tc>
          <w:tcPr>
            <w:tcW w:w="1276" w:type="dxa"/>
            <w:vAlign w:val="center"/>
          </w:tcPr>
          <w:p>
            <w:pPr>
              <w:pStyle w:val="8"/>
            </w:pPr>
            <w:r>
              <w:t>≥2000件</w:t>
            </w:r>
          </w:p>
        </w:tc>
        <w:tc>
          <w:tcPr>
            <w:tcW w:w="1843" w:type="dxa"/>
            <w:vAlign w:val="center"/>
          </w:tcPr>
          <w:p>
            <w:pPr>
              <w:pStyle w:val="8"/>
            </w:pPr>
            <w:r>
              <w:t>历年经验</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案件办理数</w:t>
            </w:r>
          </w:p>
        </w:tc>
        <w:tc>
          <w:tcPr>
            <w:tcW w:w="2891" w:type="dxa"/>
            <w:vAlign w:val="center"/>
          </w:tcPr>
          <w:p>
            <w:pPr>
              <w:pStyle w:val="8"/>
            </w:pPr>
            <w:r>
              <w:t>案件办理数</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完成率</w:t>
            </w:r>
          </w:p>
        </w:tc>
        <w:tc>
          <w:tcPr>
            <w:tcW w:w="2891" w:type="dxa"/>
            <w:vAlign w:val="center"/>
          </w:tcPr>
          <w:p>
            <w:pPr>
              <w:pStyle w:val="8"/>
            </w:pPr>
            <w:r>
              <w:t>完成率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6万元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化解矛盾率（%）</w:t>
            </w:r>
          </w:p>
        </w:tc>
        <w:tc>
          <w:tcPr>
            <w:tcW w:w="2891" w:type="dxa"/>
            <w:vAlign w:val="center"/>
          </w:tcPr>
          <w:p>
            <w:pPr>
              <w:pStyle w:val="8"/>
            </w:pPr>
            <w:r>
              <w:t>化解矛盾率（%）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满意率</w:t>
            </w:r>
          </w:p>
        </w:tc>
        <w:tc>
          <w:tcPr>
            <w:tcW w:w="2891" w:type="dxa"/>
            <w:vAlign w:val="center"/>
          </w:tcPr>
          <w:p>
            <w:pPr>
              <w:pStyle w:val="8"/>
            </w:pPr>
            <w:r>
              <w:t>满意率</w:t>
            </w:r>
          </w:p>
        </w:tc>
        <w:tc>
          <w:tcPr>
            <w:tcW w:w="1276" w:type="dxa"/>
            <w:vAlign w:val="center"/>
          </w:tcPr>
          <w:p>
            <w:pPr>
              <w:pStyle w:val="8"/>
            </w:pPr>
            <w:r>
              <w:t>≥95百分比</w:t>
            </w:r>
          </w:p>
        </w:tc>
        <w:tc>
          <w:tcPr>
            <w:tcW w:w="1843" w:type="dxa"/>
            <w:vAlign w:val="center"/>
          </w:tcPr>
          <w:p>
            <w:pPr>
              <w:pStyle w:val="8"/>
            </w:pPr>
            <w: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5" w:name="_Toc_4_4_0000000016"/>
      <w:r>
        <w:rPr>
          <w:color w:val="000000"/>
          <w:sz w:val="28"/>
        </w:rPr>
        <w:t>13.司法业务（运转保障安置帮教工作经费）绩效目标表</w:t>
      </w:r>
      <w:bookmarkEnd w:id="15"/>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13012326P0020H010047M</w:t>
            </w:r>
          </w:p>
        </w:tc>
        <w:tc>
          <w:tcPr>
            <w:tcW w:w="1587" w:type="dxa"/>
            <w:vAlign w:val="center"/>
          </w:tcPr>
          <w:p>
            <w:pPr>
              <w:pStyle w:val="9"/>
            </w:pPr>
            <w:r>
              <w:t>项目名称</w:t>
            </w:r>
          </w:p>
        </w:tc>
        <w:tc>
          <w:tcPr>
            <w:tcW w:w="4423" w:type="dxa"/>
            <w:gridSpan w:val="3"/>
            <w:vAlign w:val="center"/>
          </w:tcPr>
          <w:p>
            <w:pPr>
              <w:pStyle w:val="8"/>
            </w:pPr>
            <w:r>
              <w:t>司法业务（运转保障安置帮教工作经费）</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3.00</w:t>
            </w:r>
          </w:p>
        </w:tc>
        <w:tc>
          <w:tcPr>
            <w:tcW w:w="1587" w:type="dxa"/>
            <w:vAlign w:val="center"/>
          </w:tcPr>
          <w:p>
            <w:pPr>
              <w:pStyle w:val="9"/>
            </w:pPr>
            <w:r>
              <w:t>其中：财政    资金</w:t>
            </w:r>
          </w:p>
        </w:tc>
        <w:tc>
          <w:tcPr>
            <w:tcW w:w="1304" w:type="dxa"/>
            <w:vAlign w:val="center"/>
          </w:tcPr>
          <w:p>
            <w:pPr>
              <w:pStyle w:val="8"/>
            </w:pPr>
            <w:r>
              <w:t>3.00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用于安置帮教工作支出</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1.对安置帮教人员开展教育帮扶工作，减少重新犯罪，维护社会稳定。</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安置帮教率</w:t>
            </w:r>
          </w:p>
        </w:tc>
        <w:tc>
          <w:tcPr>
            <w:tcW w:w="2891" w:type="dxa"/>
            <w:vAlign w:val="center"/>
          </w:tcPr>
          <w:p>
            <w:pPr>
              <w:pStyle w:val="8"/>
            </w:pPr>
            <w:r>
              <w:t>安置帮教率</w:t>
            </w:r>
          </w:p>
        </w:tc>
        <w:tc>
          <w:tcPr>
            <w:tcW w:w="1276" w:type="dxa"/>
            <w:vAlign w:val="center"/>
          </w:tcPr>
          <w:p>
            <w:pPr>
              <w:pStyle w:val="8"/>
            </w:pPr>
            <w:r>
              <w:t>≥80百分比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覆盖率</w:t>
            </w:r>
          </w:p>
        </w:tc>
        <w:tc>
          <w:tcPr>
            <w:tcW w:w="2891" w:type="dxa"/>
            <w:vAlign w:val="center"/>
          </w:tcPr>
          <w:p>
            <w:pPr>
              <w:pStyle w:val="8"/>
            </w:pPr>
            <w:r>
              <w:t>覆盖率</w:t>
            </w:r>
          </w:p>
        </w:tc>
        <w:tc>
          <w:tcPr>
            <w:tcW w:w="1276" w:type="dxa"/>
            <w:vAlign w:val="center"/>
          </w:tcPr>
          <w:p>
            <w:pPr>
              <w:pStyle w:val="8"/>
            </w:pPr>
            <w:r>
              <w:t>≥80百分比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按时完成率</w:t>
            </w:r>
          </w:p>
        </w:tc>
        <w:tc>
          <w:tcPr>
            <w:tcW w:w="2891" w:type="dxa"/>
            <w:vAlign w:val="center"/>
          </w:tcPr>
          <w:p>
            <w:pPr>
              <w:pStyle w:val="8"/>
            </w:pPr>
            <w:r>
              <w:t>按时完成率</w:t>
            </w:r>
          </w:p>
        </w:tc>
        <w:tc>
          <w:tcPr>
            <w:tcW w:w="1276" w:type="dxa"/>
            <w:vAlign w:val="center"/>
          </w:tcPr>
          <w:p>
            <w:pPr>
              <w:pStyle w:val="8"/>
            </w:pPr>
            <w:r>
              <w:t>≥85百分比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3万元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刑释人员重新犯罪率</w:t>
            </w:r>
          </w:p>
        </w:tc>
        <w:tc>
          <w:tcPr>
            <w:tcW w:w="2891" w:type="dxa"/>
            <w:vAlign w:val="center"/>
          </w:tcPr>
          <w:p>
            <w:pPr>
              <w:pStyle w:val="8"/>
            </w:pPr>
            <w:r>
              <w:t>刑释人员重新犯罪率</w:t>
            </w:r>
          </w:p>
        </w:tc>
        <w:tc>
          <w:tcPr>
            <w:tcW w:w="1276" w:type="dxa"/>
            <w:vAlign w:val="center"/>
          </w:tcPr>
          <w:p>
            <w:pPr>
              <w:pStyle w:val="8"/>
            </w:pPr>
            <w:r>
              <w:t>≤0.2百分比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满意率</w:t>
            </w:r>
          </w:p>
        </w:tc>
        <w:tc>
          <w:tcPr>
            <w:tcW w:w="2891" w:type="dxa"/>
            <w:vAlign w:val="center"/>
          </w:tcPr>
          <w:p>
            <w:pPr>
              <w:pStyle w:val="8"/>
            </w:pPr>
            <w:r>
              <w:t>满意率</w:t>
            </w:r>
          </w:p>
        </w:tc>
        <w:tc>
          <w:tcPr>
            <w:tcW w:w="1276" w:type="dxa"/>
            <w:vAlign w:val="center"/>
          </w:tcPr>
          <w:p>
            <w:pPr>
              <w:pStyle w:val="8"/>
            </w:pPr>
            <w:r>
              <w:t>≥60百分比</w:t>
            </w:r>
          </w:p>
        </w:tc>
        <w:tc>
          <w:tcPr>
            <w:tcW w:w="1843" w:type="dxa"/>
            <w:vAlign w:val="center"/>
          </w:tcPr>
          <w:p>
            <w:pPr>
              <w:pStyle w:val="8"/>
            </w:pPr>
            <w: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6" w:name="_Toc_4_4_0000000017"/>
      <w:r>
        <w:rPr>
          <w:color w:val="000000"/>
          <w:sz w:val="28"/>
        </w:rPr>
        <w:t>14.司法业务（运转保障公正工作经费）绩效目标表</w:t>
      </w:r>
      <w:bookmarkEnd w:id="16"/>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13012326P0020H0100489</w:t>
            </w:r>
          </w:p>
        </w:tc>
        <w:tc>
          <w:tcPr>
            <w:tcW w:w="1587" w:type="dxa"/>
            <w:vAlign w:val="center"/>
          </w:tcPr>
          <w:p>
            <w:pPr>
              <w:pStyle w:val="9"/>
            </w:pPr>
            <w:r>
              <w:t>项目名称</w:t>
            </w:r>
          </w:p>
        </w:tc>
        <w:tc>
          <w:tcPr>
            <w:tcW w:w="4423" w:type="dxa"/>
            <w:gridSpan w:val="3"/>
            <w:vAlign w:val="center"/>
          </w:tcPr>
          <w:p>
            <w:pPr>
              <w:pStyle w:val="8"/>
            </w:pPr>
            <w:r>
              <w:t>司法业务（运转保障公正工作经费）</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20.00</w:t>
            </w:r>
          </w:p>
        </w:tc>
        <w:tc>
          <w:tcPr>
            <w:tcW w:w="1587" w:type="dxa"/>
            <w:vAlign w:val="center"/>
          </w:tcPr>
          <w:p>
            <w:pPr>
              <w:pStyle w:val="9"/>
            </w:pPr>
            <w:r>
              <w:t>其中：财政    资金</w:t>
            </w:r>
          </w:p>
        </w:tc>
        <w:tc>
          <w:tcPr>
            <w:tcW w:w="1304" w:type="dxa"/>
            <w:vAlign w:val="center"/>
          </w:tcPr>
          <w:p>
            <w:pPr>
              <w:pStyle w:val="8"/>
            </w:pPr>
            <w:r>
              <w:t>20.00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用于公证处工作相关支出。</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1.用于公证业务工作经费</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办理案件数</w:t>
            </w:r>
          </w:p>
        </w:tc>
        <w:tc>
          <w:tcPr>
            <w:tcW w:w="2891" w:type="dxa"/>
            <w:vAlign w:val="center"/>
          </w:tcPr>
          <w:p>
            <w:pPr>
              <w:pStyle w:val="8"/>
            </w:pPr>
            <w:r>
              <w:t>办理公证案件数</w:t>
            </w:r>
          </w:p>
        </w:tc>
        <w:tc>
          <w:tcPr>
            <w:tcW w:w="1276" w:type="dxa"/>
            <w:vAlign w:val="center"/>
          </w:tcPr>
          <w:p>
            <w:pPr>
              <w:pStyle w:val="8"/>
            </w:pPr>
            <w:r>
              <w:t>≥1500件</w:t>
            </w:r>
          </w:p>
        </w:tc>
        <w:tc>
          <w:tcPr>
            <w:tcW w:w="1843" w:type="dxa"/>
            <w:vAlign w:val="center"/>
          </w:tcPr>
          <w:p>
            <w:pPr>
              <w:pStyle w:val="8"/>
            </w:pPr>
            <w:r>
              <w:t>工作需要</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保障工作质量</w:t>
            </w:r>
          </w:p>
        </w:tc>
        <w:tc>
          <w:tcPr>
            <w:tcW w:w="2891" w:type="dxa"/>
            <w:vAlign w:val="center"/>
          </w:tcPr>
          <w:p>
            <w:pPr>
              <w:pStyle w:val="8"/>
            </w:pPr>
            <w:r>
              <w:t>保障公证质量，不出现错证、假证</w:t>
            </w:r>
          </w:p>
        </w:tc>
        <w:tc>
          <w:tcPr>
            <w:tcW w:w="1276" w:type="dxa"/>
            <w:vAlign w:val="center"/>
          </w:tcPr>
          <w:p>
            <w:pPr>
              <w:pStyle w:val="8"/>
            </w:pPr>
            <w:r>
              <w:t>1</w:t>
            </w:r>
          </w:p>
        </w:tc>
        <w:tc>
          <w:tcPr>
            <w:tcW w:w="1843" w:type="dxa"/>
            <w:vAlign w:val="center"/>
          </w:tcPr>
          <w:p>
            <w:pPr>
              <w:pStyle w:val="8"/>
            </w:pPr>
            <w:r>
              <w:t>工作需要</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按期完成率</w:t>
            </w:r>
          </w:p>
        </w:tc>
        <w:tc>
          <w:tcPr>
            <w:tcW w:w="2891" w:type="dxa"/>
            <w:vAlign w:val="center"/>
          </w:tcPr>
          <w:p>
            <w:pPr>
              <w:pStyle w:val="8"/>
            </w:pPr>
            <w:r>
              <w:t>按期完成率</w:t>
            </w:r>
          </w:p>
        </w:tc>
        <w:tc>
          <w:tcPr>
            <w:tcW w:w="1276" w:type="dxa"/>
            <w:vAlign w:val="center"/>
          </w:tcPr>
          <w:p>
            <w:pPr>
              <w:pStyle w:val="8"/>
            </w:pPr>
            <w:r>
              <w:t>≥95百分比</w:t>
            </w:r>
          </w:p>
        </w:tc>
        <w:tc>
          <w:tcPr>
            <w:tcW w:w="1843" w:type="dxa"/>
            <w:vAlign w:val="center"/>
          </w:tcPr>
          <w:p>
            <w:pPr>
              <w:pStyle w:val="8"/>
            </w:pPr>
            <w:r>
              <w:t>工作需要</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20万元</w:t>
            </w:r>
          </w:p>
        </w:tc>
        <w:tc>
          <w:tcPr>
            <w:tcW w:w="1843" w:type="dxa"/>
            <w:vAlign w:val="center"/>
          </w:tcPr>
          <w:p>
            <w:pPr>
              <w:pStyle w:val="8"/>
            </w:pPr>
            <w:r>
              <w:t>工作需要</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社会效益指标</w:t>
            </w:r>
          </w:p>
        </w:tc>
        <w:tc>
          <w:tcPr>
            <w:tcW w:w="1332" w:type="dxa"/>
            <w:vAlign w:val="center"/>
          </w:tcPr>
          <w:p>
            <w:pPr>
              <w:pStyle w:val="8"/>
            </w:pPr>
            <w:r>
              <w:t>需求满足率</w:t>
            </w:r>
          </w:p>
        </w:tc>
        <w:tc>
          <w:tcPr>
            <w:tcW w:w="2891" w:type="dxa"/>
            <w:vAlign w:val="center"/>
          </w:tcPr>
          <w:p>
            <w:pPr>
              <w:pStyle w:val="8"/>
            </w:pPr>
            <w:r>
              <w:t>需求满足率</w:t>
            </w:r>
          </w:p>
        </w:tc>
        <w:tc>
          <w:tcPr>
            <w:tcW w:w="1276" w:type="dxa"/>
            <w:vAlign w:val="center"/>
          </w:tcPr>
          <w:p>
            <w:pPr>
              <w:pStyle w:val="8"/>
            </w:pPr>
            <w:r>
              <w:t>≥95百分比</w:t>
            </w:r>
          </w:p>
        </w:tc>
        <w:tc>
          <w:tcPr>
            <w:tcW w:w="1843" w:type="dxa"/>
            <w:vAlign w:val="center"/>
          </w:tcPr>
          <w:p>
            <w:pPr>
              <w:pStyle w:val="8"/>
            </w:pPr>
            <w:r>
              <w:t>工作需要</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群众满意度</w:t>
            </w:r>
          </w:p>
        </w:tc>
        <w:tc>
          <w:tcPr>
            <w:tcW w:w="2891" w:type="dxa"/>
            <w:vAlign w:val="center"/>
          </w:tcPr>
          <w:p>
            <w:pPr>
              <w:pStyle w:val="8"/>
            </w:pPr>
            <w:r>
              <w:t>群众满意度</w:t>
            </w:r>
          </w:p>
        </w:tc>
        <w:tc>
          <w:tcPr>
            <w:tcW w:w="1276" w:type="dxa"/>
            <w:vAlign w:val="center"/>
          </w:tcPr>
          <w:p>
            <w:pPr>
              <w:pStyle w:val="8"/>
            </w:pPr>
            <w:r>
              <w:t>≥95百分比</w:t>
            </w:r>
          </w:p>
        </w:tc>
        <w:tc>
          <w:tcPr>
            <w:tcW w:w="1843" w:type="dxa"/>
            <w:vAlign w:val="center"/>
          </w:tcPr>
          <w:p>
            <w:pPr>
              <w:pStyle w:val="8"/>
            </w:pPr>
            <w:r>
              <w:t>工作需要</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7" w:name="_Toc_4_4_0000000018"/>
      <w:r>
        <w:rPr>
          <w:color w:val="000000"/>
          <w:sz w:val="28"/>
        </w:rPr>
        <w:t>15.司法业务（运转保障经费）绩效目标表</w:t>
      </w:r>
      <w:bookmarkEnd w:id="17"/>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13012326P0020H010044T</w:t>
            </w:r>
          </w:p>
        </w:tc>
        <w:tc>
          <w:tcPr>
            <w:tcW w:w="1587" w:type="dxa"/>
            <w:vAlign w:val="center"/>
          </w:tcPr>
          <w:p>
            <w:pPr>
              <w:pStyle w:val="9"/>
            </w:pPr>
            <w:r>
              <w:t>项目名称</w:t>
            </w:r>
          </w:p>
        </w:tc>
        <w:tc>
          <w:tcPr>
            <w:tcW w:w="4423" w:type="dxa"/>
            <w:gridSpan w:val="3"/>
            <w:vAlign w:val="center"/>
          </w:tcPr>
          <w:p>
            <w:pPr>
              <w:pStyle w:val="8"/>
            </w:pPr>
            <w:r>
              <w:t>司法业务（运转保障经费）</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7.88</w:t>
            </w:r>
          </w:p>
        </w:tc>
        <w:tc>
          <w:tcPr>
            <w:tcW w:w="1587" w:type="dxa"/>
            <w:vAlign w:val="center"/>
          </w:tcPr>
          <w:p>
            <w:pPr>
              <w:pStyle w:val="9"/>
            </w:pPr>
            <w:r>
              <w:t>其中：财政    资金</w:t>
            </w:r>
          </w:p>
        </w:tc>
        <w:tc>
          <w:tcPr>
            <w:tcW w:w="1304" w:type="dxa"/>
            <w:vAlign w:val="center"/>
          </w:tcPr>
          <w:p>
            <w:pPr>
              <w:pStyle w:val="8"/>
            </w:pPr>
            <w:r>
              <w:t>7.88</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用于运转保障经费支出</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1.用于保障司法业务运转</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工作经费保障人数</w:t>
            </w:r>
          </w:p>
        </w:tc>
        <w:tc>
          <w:tcPr>
            <w:tcW w:w="2891" w:type="dxa"/>
            <w:vAlign w:val="center"/>
          </w:tcPr>
          <w:p>
            <w:pPr>
              <w:pStyle w:val="8"/>
            </w:pPr>
            <w:r>
              <w:t>工作经费保障人数</w:t>
            </w:r>
          </w:p>
        </w:tc>
        <w:tc>
          <w:tcPr>
            <w:tcW w:w="1276" w:type="dxa"/>
            <w:vAlign w:val="center"/>
          </w:tcPr>
          <w:p>
            <w:pPr>
              <w:pStyle w:val="8"/>
            </w:pPr>
            <w:r>
              <w:t>43人</w:t>
            </w:r>
          </w:p>
        </w:tc>
        <w:tc>
          <w:tcPr>
            <w:tcW w:w="1843" w:type="dxa"/>
            <w:vAlign w:val="center"/>
          </w:tcPr>
          <w:p>
            <w:pPr>
              <w:pStyle w:val="8"/>
            </w:pPr>
            <w:r>
              <w:t>历年经验</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业务工作完成率</w:t>
            </w:r>
          </w:p>
        </w:tc>
        <w:tc>
          <w:tcPr>
            <w:tcW w:w="2891" w:type="dxa"/>
            <w:vAlign w:val="center"/>
          </w:tcPr>
          <w:p>
            <w:pPr>
              <w:pStyle w:val="8"/>
            </w:pPr>
            <w:r>
              <w:t>业务工作完成率</w:t>
            </w:r>
          </w:p>
        </w:tc>
        <w:tc>
          <w:tcPr>
            <w:tcW w:w="1276" w:type="dxa"/>
            <w:vAlign w:val="center"/>
          </w:tcPr>
          <w:p>
            <w:pPr>
              <w:pStyle w:val="8"/>
            </w:pPr>
            <w:r>
              <w:t>≥95百分比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业务工作完成及时率</w:t>
            </w:r>
          </w:p>
        </w:tc>
        <w:tc>
          <w:tcPr>
            <w:tcW w:w="2891" w:type="dxa"/>
            <w:vAlign w:val="center"/>
          </w:tcPr>
          <w:p>
            <w:pPr>
              <w:pStyle w:val="8"/>
            </w:pPr>
            <w:r>
              <w:t>业务工作完成及时率</w:t>
            </w:r>
          </w:p>
        </w:tc>
        <w:tc>
          <w:tcPr>
            <w:tcW w:w="1276" w:type="dxa"/>
            <w:vAlign w:val="center"/>
          </w:tcPr>
          <w:p>
            <w:pPr>
              <w:pStyle w:val="8"/>
            </w:pPr>
            <w:r>
              <w:t>≥95百分比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7.88万元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保障工作开展</w:t>
            </w:r>
          </w:p>
        </w:tc>
        <w:tc>
          <w:tcPr>
            <w:tcW w:w="2891" w:type="dxa"/>
            <w:vAlign w:val="center"/>
          </w:tcPr>
          <w:p>
            <w:pPr>
              <w:pStyle w:val="8"/>
            </w:pPr>
            <w:r>
              <w:t>保障工作开展</w:t>
            </w:r>
          </w:p>
        </w:tc>
        <w:tc>
          <w:tcPr>
            <w:tcW w:w="1276" w:type="dxa"/>
            <w:vAlign w:val="center"/>
          </w:tcPr>
          <w:p>
            <w:pPr>
              <w:pStyle w:val="8"/>
            </w:pPr>
            <w:r>
              <w:t>100百分比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服务对象满意度</w:t>
            </w:r>
          </w:p>
        </w:tc>
        <w:tc>
          <w:tcPr>
            <w:tcW w:w="2891" w:type="dxa"/>
            <w:vAlign w:val="center"/>
          </w:tcPr>
          <w:p>
            <w:pPr>
              <w:pStyle w:val="8"/>
            </w:pPr>
            <w:r>
              <w:t>服务对象满意度</w:t>
            </w:r>
          </w:p>
        </w:tc>
        <w:tc>
          <w:tcPr>
            <w:tcW w:w="1276" w:type="dxa"/>
            <w:vAlign w:val="center"/>
          </w:tcPr>
          <w:p>
            <w:pPr>
              <w:pStyle w:val="8"/>
            </w:pPr>
            <w:r>
              <w:t>≥95百分比</w:t>
            </w:r>
          </w:p>
        </w:tc>
        <w:tc>
          <w:tcPr>
            <w:tcW w:w="1843" w:type="dxa"/>
            <w:vAlign w:val="center"/>
          </w:tcPr>
          <w:p>
            <w:pPr>
              <w:pStyle w:val="8"/>
            </w:pPr>
            <w: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8" w:name="_Toc_4_4_0000000019"/>
      <w:r>
        <w:rPr>
          <w:color w:val="000000"/>
          <w:sz w:val="28"/>
        </w:rPr>
        <w:t>16.司法业务（运转保障人民调解工作经费）绩效目标表</w:t>
      </w:r>
      <w:bookmarkEnd w:id="18"/>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13012326P0020H010045E</w:t>
            </w:r>
          </w:p>
        </w:tc>
        <w:tc>
          <w:tcPr>
            <w:tcW w:w="1587" w:type="dxa"/>
            <w:vAlign w:val="center"/>
          </w:tcPr>
          <w:p>
            <w:pPr>
              <w:pStyle w:val="9"/>
            </w:pPr>
            <w:r>
              <w:t>项目名称</w:t>
            </w:r>
          </w:p>
        </w:tc>
        <w:tc>
          <w:tcPr>
            <w:tcW w:w="4423" w:type="dxa"/>
            <w:gridSpan w:val="3"/>
            <w:vAlign w:val="center"/>
          </w:tcPr>
          <w:p>
            <w:pPr>
              <w:pStyle w:val="8"/>
            </w:pPr>
            <w:r>
              <w:t>司法业务（运转保障人民调解工作经费）</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5.00</w:t>
            </w:r>
          </w:p>
        </w:tc>
        <w:tc>
          <w:tcPr>
            <w:tcW w:w="1587" w:type="dxa"/>
            <w:vAlign w:val="center"/>
          </w:tcPr>
          <w:p>
            <w:pPr>
              <w:pStyle w:val="9"/>
            </w:pPr>
            <w:r>
              <w:t>其中：财政    资金</w:t>
            </w:r>
          </w:p>
        </w:tc>
        <w:tc>
          <w:tcPr>
            <w:tcW w:w="1304" w:type="dxa"/>
            <w:vAlign w:val="center"/>
          </w:tcPr>
          <w:p>
            <w:pPr>
              <w:pStyle w:val="8"/>
            </w:pPr>
            <w:r>
              <w:t>5.00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用于人民调解工作相关支出。</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1.保障人民调解工作正常开展</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办案案件数</w:t>
            </w:r>
          </w:p>
        </w:tc>
        <w:tc>
          <w:tcPr>
            <w:tcW w:w="2891" w:type="dxa"/>
            <w:vAlign w:val="center"/>
          </w:tcPr>
          <w:p>
            <w:pPr>
              <w:pStyle w:val="8"/>
            </w:pPr>
            <w:r>
              <w:t>办案案件数</w:t>
            </w:r>
          </w:p>
        </w:tc>
        <w:tc>
          <w:tcPr>
            <w:tcW w:w="1276" w:type="dxa"/>
            <w:vAlign w:val="center"/>
          </w:tcPr>
          <w:p>
            <w:pPr>
              <w:pStyle w:val="8"/>
            </w:pPr>
            <w:r>
              <w:t>≥4200件</w:t>
            </w:r>
          </w:p>
        </w:tc>
        <w:tc>
          <w:tcPr>
            <w:tcW w:w="1843" w:type="dxa"/>
            <w:vAlign w:val="center"/>
          </w:tcPr>
          <w:p>
            <w:pPr>
              <w:pStyle w:val="8"/>
            </w:pPr>
            <w:r>
              <w:t>历年经验</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案件办理率</w:t>
            </w:r>
          </w:p>
        </w:tc>
        <w:tc>
          <w:tcPr>
            <w:tcW w:w="2891" w:type="dxa"/>
            <w:vAlign w:val="center"/>
          </w:tcPr>
          <w:p>
            <w:pPr>
              <w:pStyle w:val="8"/>
            </w:pPr>
            <w:r>
              <w:t>案件办理率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完成率</w:t>
            </w:r>
          </w:p>
        </w:tc>
        <w:tc>
          <w:tcPr>
            <w:tcW w:w="2891" w:type="dxa"/>
            <w:vAlign w:val="center"/>
          </w:tcPr>
          <w:p>
            <w:pPr>
              <w:pStyle w:val="8"/>
            </w:pPr>
            <w:r>
              <w:t>完成率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5万元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化解矛盾率（%）</w:t>
            </w:r>
          </w:p>
        </w:tc>
        <w:tc>
          <w:tcPr>
            <w:tcW w:w="2891" w:type="dxa"/>
            <w:vAlign w:val="center"/>
          </w:tcPr>
          <w:p>
            <w:pPr>
              <w:pStyle w:val="8"/>
            </w:pPr>
            <w:r>
              <w:t>化解矛盾率（%）</w:t>
            </w:r>
          </w:p>
        </w:tc>
        <w:tc>
          <w:tcPr>
            <w:tcW w:w="1276" w:type="dxa"/>
            <w:vAlign w:val="center"/>
          </w:tcPr>
          <w:p>
            <w:pPr>
              <w:pStyle w:val="8"/>
            </w:pPr>
            <w:r>
              <w:t>≥90百分比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满意率</w:t>
            </w:r>
          </w:p>
        </w:tc>
        <w:tc>
          <w:tcPr>
            <w:tcW w:w="2891" w:type="dxa"/>
            <w:vAlign w:val="center"/>
          </w:tcPr>
          <w:p>
            <w:pPr>
              <w:pStyle w:val="8"/>
            </w:pPr>
            <w:r>
              <w:t>满意率</w:t>
            </w:r>
          </w:p>
        </w:tc>
        <w:tc>
          <w:tcPr>
            <w:tcW w:w="1276" w:type="dxa"/>
            <w:vAlign w:val="center"/>
          </w:tcPr>
          <w:p>
            <w:pPr>
              <w:pStyle w:val="8"/>
            </w:pPr>
            <w:r>
              <w:t>≥90百分比</w:t>
            </w:r>
          </w:p>
        </w:tc>
        <w:tc>
          <w:tcPr>
            <w:tcW w:w="1843" w:type="dxa"/>
            <w:vAlign w:val="center"/>
          </w:tcPr>
          <w:p>
            <w:pPr>
              <w:pStyle w:val="8"/>
            </w:pPr>
            <w:r>
              <w:t>工作要求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color w:val="000000"/>
          <w:sz w:val="28"/>
        </w:rPr>
        <w:t xml:space="preserve"> </w:t>
      </w:r>
    </w:p>
    <w:p>
      <w:pPr>
        <w:spacing w:before="0" w:after="0"/>
        <w:ind w:firstLine="560"/>
        <w:jc w:val="left"/>
        <w:outlineLvl w:val="3"/>
      </w:pPr>
      <w:bookmarkStart w:id="19" w:name="_Toc_4_4_0000000020"/>
      <w:r>
        <w:rPr>
          <w:color w:val="000000"/>
          <w:sz w:val="28"/>
        </w:rPr>
        <w:t>17.司法业务（运转保障社区矫正工作经费）绩效目标表</w:t>
      </w:r>
      <w:bookmarkEnd w:id="19"/>
    </w:p>
    <w:tbl>
      <w:tblPr>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7"/>
            </w:pPr>
            <w:r>
              <w:t>315001正定县司法局本级</w:t>
            </w:r>
          </w:p>
        </w:tc>
        <w:tc>
          <w:tcPr>
            <w:tcW w:w="1843" w:type="dxa"/>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jc w:val="center"/>
        </w:trPr>
        <w:tc>
          <w:tcPr>
            <w:tcW w:w="1276" w:type="dxa"/>
            <w:vAlign w:val="center"/>
          </w:tcPr>
          <w:p>
            <w:pPr>
              <w:pStyle w:val="9"/>
            </w:pPr>
            <w:r>
              <w:t>项目编码</w:t>
            </w:r>
          </w:p>
        </w:tc>
        <w:tc>
          <w:tcPr>
            <w:tcW w:w="2608" w:type="dxa"/>
            <w:gridSpan w:val="2"/>
            <w:vAlign w:val="center"/>
          </w:tcPr>
          <w:p>
            <w:pPr>
              <w:pStyle w:val="8"/>
            </w:pPr>
            <w:r>
              <w:t>13012326P0020H0100462</w:t>
            </w:r>
          </w:p>
        </w:tc>
        <w:tc>
          <w:tcPr>
            <w:tcW w:w="1587" w:type="dxa"/>
            <w:vAlign w:val="center"/>
          </w:tcPr>
          <w:p>
            <w:pPr>
              <w:pStyle w:val="9"/>
            </w:pPr>
            <w:r>
              <w:t>项目名称</w:t>
            </w:r>
          </w:p>
        </w:tc>
        <w:tc>
          <w:tcPr>
            <w:tcW w:w="4423" w:type="dxa"/>
            <w:gridSpan w:val="3"/>
            <w:vAlign w:val="center"/>
          </w:tcPr>
          <w:p>
            <w:pPr>
              <w:pStyle w:val="8"/>
            </w:pPr>
            <w:r>
              <w:t>司法业务（运转保障社区矫正工作经费）</w:t>
            </w:r>
          </w:p>
        </w:tc>
      </w:tr>
      <w:tr>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8"/>
            </w:pPr>
            <w:r>
              <w:t>5.00</w:t>
            </w:r>
          </w:p>
        </w:tc>
        <w:tc>
          <w:tcPr>
            <w:tcW w:w="1587" w:type="dxa"/>
            <w:vAlign w:val="center"/>
          </w:tcPr>
          <w:p>
            <w:pPr>
              <w:pStyle w:val="9"/>
            </w:pPr>
            <w:r>
              <w:t>其中：财政    资金</w:t>
            </w:r>
          </w:p>
        </w:tc>
        <w:tc>
          <w:tcPr>
            <w:tcW w:w="1304" w:type="dxa"/>
            <w:vAlign w:val="center"/>
          </w:tcPr>
          <w:p>
            <w:pPr>
              <w:pStyle w:val="8"/>
            </w:pPr>
            <w:r>
              <w:t>5.00</w:t>
            </w:r>
          </w:p>
        </w:tc>
        <w:tc>
          <w:tcPr>
            <w:tcW w:w="1276" w:type="dxa"/>
            <w:vAlign w:val="center"/>
          </w:tcPr>
          <w:p>
            <w:pPr>
              <w:pStyle w:val="9"/>
            </w:pPr>
            <w:r>
              <w:t>其他资金</w:t>
            </w:r>
          </w:p>
        </w:tc>
        <w:tc>
          <w:tcPr>
            <w:tcW w:w="1843" w:type="dxa"/>
            <w:vAlign w:val="center"/>
          </w:tcPr>
          <w:p>
            <w:pPr>
              <w:pStyle w:val="8"/>
            </w:pPr>
            <w:r>
              <w:t xml:space="preserve"> </w:t>
            </w:r>
          </w:p>
        </w:tc>
      </w:tr>
      <w:tr>
        <w:trPr>
          <w:trHeight w:val="369" w:hRule="atLeast"/>
          <w:jc w:val="center"/>
        </w:trPr>
        <w:tc>
          <w:tcPr>
            <w:tcW w:w="1276" w:type="dxa"/>
            <w:vMerge w:val="continue"/>
            <w:vAlign w:val="top"/>
          </w:tcPr>
          <w:p/>
        </w:tc>
        <w:tc>
          <w:tcPr>
            <w:tcW w:w="8618" w:type="dxa"/>
            <w:gridSpan w:val="6"/>
            <w:vAlign w:val="center"/>
          </w:tcPr>
          <w:p>
            <w:pPr>
              <w:pStyle w:val="8"/>
            </w:pPr>
            <w:r>
              <w:t>用于社区矫正业务运转保障项目支出</w:t>
            </w:r>
          </w:p>
        </w:tc>
      </w:tr>
      <w:tr>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rPr>
          <w:trHeight w:val="369" w:hRule="atLeast"/>
          <w:jc w:val="center"/>
        </w:trPr>
        <w:tc>
          <w:tcPr>
            <w:tcW w:w="1276" w:type="dxa"/>
            <w:vMerge w:val="continue"/>
            <w:vAlign w:val="top"/>
          </w:tcPr>
          <w:p/>
        </w:tc>
        <w:tc>
          <w:tcPr>
            <w:tcW w:w="2608" w:type="dxa"/>
            <w:gridSpan w:val="2"/>
            <w:vAlign w:val="center"/>
          </w:tcPr>
          <w:p>
            <w:pPr>
              <w:pStyle w:val="10"/>
            </w:pPr>
            <w:r>
              <w:t>25%</w:t>
            </w:r>
          </w:p>
        </w:tc>
        <w:tc>
          <w:tcPr>
            <w:tcW w:w="1587" w:type="dxa"/>
            <w:vAlign w:val="center"/>
          </w:tcPr>
          <w:p>
            <w:pPr>
              <w:pStyle w:val="10"/>
            </w:pPr>
            <w:r>
              <w:t>50%</w:t>
            </w:r>
          </w:p>
        </w:tc>
        <w:tc>
          <w:tcPr>
            <w:tcW w:w="1304" w:type="dxa"/>
            <w:vAlign w:val="center"/>
          </w:tcPr>
          <w:p>
            <w:pPr>
              <w:pStyle w:val="10"/>
            </w:pPr>
            <w:r>
              <w:t>75%</w:t>
            </w:r>
          </w:p>
        </w:tc>
        <w:tc>
          <w:tcPr>
            <w:tcW w:w="3119" w:type="dxa"/>
            <w:gridSpan w:val="2"/>
            <w:vAlign w:val="center"/>
          </w:tcPr>
          <w:p>
            <w:pPr>
              <w:pStyle w:val="10"/>
            </w:pPr>
            <w:r>
              <w:t>100%</w:t>
            </w:r>
          </w:p>
        </w:tc>
      </w:tr>
      <w:tr>
        <w:trPr>
          <w:trHeight w:val="369" w:hRule="atLeast"/>
          <w:jc w:val="center"/>
        </w:trPr>
        <w:tc>
          <w:tcPr>
            <w:tcW w:w="1276" w:type="dxa"/>
            <w:vAlign w:val="center"/>
          </w:tcPr>
          <w:p>
            <w:pPr>
              <w:pStyle w:val="9"/>
            </w:pPr>
            <w:r>
              <w:t>绩效目标</w:t>
            </w:r>
          </w:p>
        </w:tc>
        <w:tc>
          <w:tcPr>
            <w:tcW w:w="8618" w:type="dxa"/>
            <w:gridSpan w:val="6"/>
            <w:vAlign w:val="center"/>
          </w:tcPr>
          <w:p>
            <w:pPr>
              <w:pStyle w:val="8"/>
            </w:pPr>
            <w:r>
              <w:t>1.开展智慧矫正工作，推动心理服务体系建设、手机定位管理、服务平台等设备维护、运行监管。</w:t>
            </w:r>
          </w:p>
        </w:tc>
      </w:tr>
    </w:tbl>
    <w:p>
      <w:pPr>
        <w:spacing w:before="0" w:after="0" w:line="2" w:lineRule="exact"/>
        <w:ind w:firstLine="0"/>
        <w:jc w:val="center"/>
        <w:outlineLvl w:val="9"/>
      </w:pPr>
      <w:r>
        <w:rPr>
          <w:color w:val="000000"/>
          <w:sz w:val="21"/>
        </w:rPr>
        <w:t xml:space="preserve"> </w:t>
      </w:r>
    </w:p>
    <w:tbl>
      <w:tblPr>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rPr>
          <w:trHeight w:val="369" w:hRule="atLeast"/>
          <w:jc w:val="center"/>
        </w:trPr>
        <w:tc>
          <w:tcPr>
            <w:tcW w:w="1276" w:type="dxa"/>
            <w:vMerge w:val="restart"/>
            <w:vAlign w:val="center"/>
          </w:tcPr>
          <w:p>
            <w:pPr>
              <w:pStyle w:val="10"/>
            </w:pPr>
            <w:r>
              <w:t>产出指标</w:t>
            </w:r>
          </w:p>
        </w:tc>
        <w:tc>
          <w:tcPr>
            <w:tcW w:w="1276" w:type="dxa"/>
            <w:vAlign w:val="center"/>
          </w:tcPr>
          <w:p>
            <w:pPr>
              <w:pStyle w:val="8"/>
            </w:pPr>
            <w:r>
              <w:t>数量指标</w:t>
            </w:r>
          </w:p>
        </w:tc>
        <w:tc>
          <w:tcPr>
            <w:tcW w:w="1332" w:type="dxa"/>
            <w:vAlign w:val="center"/>
          </w:tcPr>
          <w:p>
            <w:pPr>
              <w:pStyle w:val="8"/>
            </w:pPr>
            <w:r>
              <w:t>监管平台数量</w:t>
            </w:r>
          </w:p>
        </w:tc>
        <w:tc>
          <w:tcPr>
            <w:tcW w:w="2891" w:type="dxa"/>
            <w:vAlign w:val="center"/>
          </w:tcPr>
          <w:p>
            <w:pPr>
              <w:pStyle w:val="8"/>
            </w:pPr>
            <w:r>
              <w:t>监管平台数量</w:t>
            </w:r>
          </w:p>
        </w:tc>
        <w:tc>
          <w:tcPr>
            <w:tcW w:w="1276" w:type="dxa"/>
            <w:vAlign w:val="center"/>
          </w:tcPr>
          <w:p>
            <w:pPr>
              <w:pStyle w:val="8"/>
            </w:pPr>
            <w:r>
              <w:t>1个</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质量指标</w:t>
            </w:r>
          </w:p>
        </w:tc>
        <w:tc>
          <w:tcPr>
            <w:tcW w:w="1332" w:type="dxa"/>
            <w:vAlign w:val="center"/>
          </w:tcPr>
          <w:p>
            <w:pPr>
              <w:pStyle w:val="8"/>
            </w:pPr>
            <w:r>
              <w:t>完成率</w:t>
            </w:r>
          </w:p>
        </w:tc>
        <w:tc>
          <w:tcPr>
            <w:tcW w:w="2891" w:type="dxa"/>
            <w:vAlign w:val="center"/>
          </w:tcPr>
          <w:p>
            <w:pPr>
              <w:pStyle w:val="8"/>
            </w:pPr>
            <w:r>
              <w:t>社区矫正对象接受矫正完成率</w:t>
            </w:r>
          </w:p>
        </w:tc>
        <w:tc>
          <w:tcPr>
            <w:tcW w:w="1276" w:type="dxa"/>
            <w:vAlign w:val="center"/>
          </w:tcPr>
          <w:p>
            <w:pPr>
              <w:pStyle w:val="8"/>
            </w:pPr>
            <w:r>
              <w:t>100百分比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时效指标</w:t>
            </w:r>
          </w:p>
        </w:tc>
        <w:tc>
          <w:tcPr>
            <w:tcW w:w="1332" w:type="dxa"/>
            <w:vAlign w:val="center"/>
          </w:tcPr>
          <w:p>
            <w:pPr>
              <w:pStyle w:val="8"/>
            </w:pPr>
            <w:r>
              <w:t>完成时限</w:t>
            </w:r>
          </w:p>
        </w:tc>
        <w:tc>
          <w:tcPr>
            <w:tcW w:w="2891" w:type="dxa"/>
            <w:vAlign w:val="center"/>
          </w:tcPr>
          <w:p>
            <w:pPr>
              <w:pStyle w:val="8"/>
            </w:pPr>
            <w:r>
              <w:t>完成时限</w:t>
            </w:r>
          </w:p>
        </w:tc>
        <w:tc>
          <w:tcPr>
            <w:tcW w:w="1276" w:type="dxa"/>
            <w:vAlign w:val="center"/>
          </w:tcPr>
          <w:p>
            <w:pPr>
              <w:pStyle w:val="8"/>
            </w:pPr>
            <w:r>
              <w:t>≤10工作日</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成本指标</w:t>
            </w:r>
          </w:p>
        </w:tc>
        <w:tc>
          <w:tcPr>
            <w:tcW w:w="1332" w:type="dxa"/>
            <w:vAlign w:val="center"/>
          </w:tcPr>
          <w:p>
            <w:pPr>
              <w:pStyle w:val="8"/>
            </w:pPr>
            <w:r>
              <w:t>财政投入</w:t>
            </w:r>
          </w:p>
        </w:tc>
        <w:tc>
          <w:tcPr>
            <w:tcW w:w="2891" w:type="dxa"/>
            <w:vAlign w:val="center"/>
          </w:tcPr>
          <w:p>
            <w:pPr>
              <w:pStyle w:val="8"/>
            </w:pPr>
            <w:r>
              <w:t>财政投入</w:t>
            </w:r>
          </w:p>
        </w:tc>
        <w:tc>
          <w:tcPr>
            <w:tcW w:w="1276" w:type="dxa"/>
            <w:vAlign w:val="center"/>
          </w:tcPr>
          <w:p>
            <w:pPr>
              <w:pStyle w:val="8"/>
            </w:pPr>
            <w:r>
              <w:t>5万元</w:t>
            </w:r>
          </w:p>
        </w:tc>
        <w:tc>
          <w:tcPr>
            <w:tcW w:w="1843" w:type="dxa"/>
            <w:vAlign w:val="center"/>
          </w:tcPr>
          <w:p>
            <w:pPr>
              <w:pStyle w:val="8"/>
            </w:pPr>
            <w:r>
              <w:t>工作要求</w:t>
            </w:r>
          </w:p>
        </w:tc>
      </w:tr>
      <w:tr>
        <w:trPr>
          <w:trHeight w:val="369" w:hRule="atLeast"/>
          <w:jc w:val="center"/>
        </w:trPr>
        <w:tc>
          <w:tcPr>
            <w:tcW w:w="1276" w:type="dxa"/>
            <w:vMerge w:val="restart"/>
            <w:vAlign w:val="center"/>
          </w:tcPr>
          <w:p>
            <w:pPr>
              <w:pStyle w:val="10"/>
            </w:pPr>
            <w:r>
              <w:t>效益指标</w:t>
            </w:r>
          </w:p>
        </w:tc>
        <w:tc>
          <w:tcPr>
            <w:tcW w:w="1276" w:type="dxa"/>
            <w:vAlign w:val="center"/>
          </w:tcPr>
          <w:p>
            <w:pPr>
              <w:pStyle w:val="8"/>
            </w:pPr>
            <w:r>
              <w:t>社会效益指标</w:t>
            </w:r>
          </w:p>
        </w:tc>
        <w:tc>
          <w:tcPr>
            <w:tcW w:w="1332" w:type="dxa"/>
            <w:vAlign w:val="center"/>
          </w:tcPr>
          <w:p>
            <w:pPr>
              <w:pStyle w:val="8"/>
            </w:pPr>
            <w:r>
              <w:t>教育改造后再次犯罪下降率</w:t>
            </w:r>
          </w:p>
        </w:tc>
        <w:tc>
          <w:tcPr>
            <w:tcW w:w="2891" w:type="dxa"/>
            <w:vAlign w:val="center"/>
          </w:tcPr>
          <w:p>
            <w:pPr>
              <w:pStyle w:val="8"/>
            </w:pPr>
            <w:r>
              <w:t>教育改造后再次犯罪下降率</w:t>
            </w:r>
          </w:p>
        </w:tc>
        <w:tc>
          <w:tcPr>
            <w:tcW w:w="1276" w:type="dxa"/>
            <w:vAlign w:val="center"/>
          </w:tcPr>
          <w:p>
            <w:pPr>
              <w:pStyle w:val="8"/>
            </w:pPr>
            <w:r>
              <w:t>≥0.1百分比</w:t>
            </w:r>
          </w:p>
        </w:tc>
        <w:tc>
          <w:tcPr>
            <w:tcW w:w="1843" w:type="dxa"/>
            <w:vAlign w:val="center"/>
          </w:tcPr>
          <w:p>
            <w:pPr>
              <w:pStyle w:val="8"/>
            </w:pPr>
            <w:r>
              <w:t>工作要求</w:t>
            </w:r>
          </w:p>
        </w:tc>
      </w:tr>
      <w:tr>
        <w:trPr>
          <w:trHeight w:val="369" w:hRule="atLeast"/>
          <w:jc w:val="center"/>
        </w:trPr>
        <w:tc>
          <w:tcPr>
            <w:tcW w:w="1276" w:type="dxa"/>
            <w:vMerge w:val="continue"/>
            <w:vAlign w:val="center"/>
          </w:tcPr>
          <w:p/>
        </w:tc>
        <w:tc>
          <w:tcPr>
            <w:tcW w:w="1276" w:type="dxa"/>
            <w:vAlign w:val="center"/>
          </w:tcPr>
          <w:p>
            <w:pPr>
              <w:pStyle w:val="8"/>
            </w:pPr>
            <w:r>
              <w:t>经济效益指标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生态效益指标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Merge w:val="continue"/>
            <w:vAlign w:val="center"/>
          </w:tcPr>
          <w:p/>
        </w:tc>
        <w:tc>
          <w:tcPr>
            <w:tcW w:w="1276" w:type="dxa"/>
            <w:vAlign w:val="center"/>
          </w:tcPr>
          <w:p>
            <w:pPr>
              <w:pStyle w:val="8"/>
            </w:pPr>
            <w:r>
              <w:t>可持续影响指标</w:t>
            </w:r>
          </w:p>
        </w:tc>
        <w:tc>
          <w:tcPr>
            <w:tcW w:w="1332" w:type="dxa"/>
            <w:vAlign w:val="center"/>
          </w:tcPr>
          <w:p>
            <w:pPr>
              <w:pStyle w:val="8"/>
            </w:pPr>
            <w:r>
              <w:t>不涉及</w:t>
            </w:r>
          </w:p>
        </w:tc>
        <w:tc>
          <w:tcPr>
            <w:tcW w:w="2891" w:type="dxa"/>
            <w:vAlign w:val="center"/>
          </w:tcPr>
          <w:p>
            <w:pPr>
              <w:pStyle w:val="8"/>
            </w:pPr>
            <w:r>
              <w:t>不涉及</w:t>
            </w:r>
          </w:p>
        </w:tc>
        <w:tc>
          <w:tcPr>
            <w:tcW w:w="1276" w:type="dxa"/>
            <w:vAlign w:val="center"/>
          </w:tcPr>
          <w:p>
            <w:pPr>
              <w:pStyle w:val="8"/>
            </w:pPr>
            <w:r>
              <w:t>不涉及</w:t>
            </w:r>
          </w:p>
        </w:tc>
        <w:tc>
          <w:tcPr>
            <w:tcW w:w="1843" w:type="dxa"/>
            <w:vAlign w:val="center"/>
          </w:tcPr>
          <w:p>
            <w:pPr>
              <w:pStyle w:val="8"/>
            </w:pPr>
            <w:r>
              <w:t>不涉及</w:t>
            </w:r>
          </w:p>
        </w:tc>
      </w:tr>
      <w:tr>
        <w:trPr>
          <w:trHeight w:val="369" w:hRule="atLeast"/>
          <w:jc w:val="center"/>
        </w:trPr>
        <w:tc>
          <w:tcPr>
            <w:tcW w:w="1276" w:type="dxa"/>
            <w:vAlign w:val="center"/>
          </w:tcPr>
          <w:p>
            <w:pPr>
              <w:pStyle w:val="10"/>
            </w:pPr>
            <w:r>
              <w:t>满意度指标</w:t>
            </w:r>
          </w:p>
        </w:tc>
        <w:tc>
          <w:tcPr>
            <w:tcW w:w="1276" w:type="dxa"/>
            <w:vAlign w:val="center"/>
          </w:tcPr>
          <w:p>
            <w:pPr>
              <w:pStyle w:val="8"/>
            </w:pPr>
            <w:r>
              <w:t>服务对象满意度指标</w:t>
            </w:r>
          </w:p>
        </w:tc>
        <w:tc>
          <w:tcPr>
            <w:tcW w:w="1332" w:type="dxa"/>
            <w:vAlign w:val="center"/>
          </w:tcPr>
          <w:p>
            <w:pPr>
              <w:pStyle w:val="8"/>
            </w:pPr>
            <w:r>
              <w:t>满意率</w:t>
            </w:r>
          </w:p>
        </w:tc>
        <w:tc>
          <w:tcPr>
            <w:tcW w:w="2891" w:type="dxa"/>
            <w:vAlign w:val="center"/>
          </w:tcPr>
          <w:p>
            <w:pPr>
              <w:pStyle w:val="8"/>
            </w:pPr>
            <w:r>
              <w:t>满意率</w:t>
            </w:r>
          </w:p>
        </w:tc>
        <w:tc>
          <w:tcPr>
            <w:tcW w:w="1276" w:type="dxa"/>
            <w:vAlign w:val="center"/>
          </w:tcPr>
          <w:p>
            <w:pPr>
              <w:pStyle w:val="8"/>
            </w:pPr>
            <w:r>
              <w:t>≥90百分比</w:t>
            </w:r>
          </w:p>
        </w:tc>
        <w:tc>
          <w:tcPr>
            <w:tcW w:w="1843" w:type="dxa"/>
            <w:vAlign w:val="center"/>
          </w:tcPr>
          <w:p>
            <w:pPr>
              <w:pStyle w:val="8"/>
            </w:pPr>
            <w:r>
              <w:t>工作要求</w:t>
            </w:r>
          </w:p>
        </w:tc>
      </w:tr>
    </w:tbl>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rPr>
      <w:sz w:val="24"/>
      <w:szCs w:val="24"/>
      <w:lang w:val="en-US" w:bidi="ar-SA"/>
    </w:rPr>
  </w:style>
  <w:style w:type="character" w:default="1" w:styleId="2">
    <w:name w:val="Default Paragraph Font"/>
  </w:style>
  <w:style w:type="paragraph" w:customStyle="1" w:styleId="3">
    <w:name w:val="插入文本样式-插入总体目标文件"/>
    <w:basedOn w:val="1"/>
    <w:pPr>
      <w:spacing w:before="0" w:after="0" w:line="500" w:lineRule="exact"/>
      <w:ind w:firstLine="560"/>
      <w:jc w:val="left"/>
      <w:outlineLvl w:val="9"/>
    </w:pPr>
    <w:rPr>
      <w:sz w:val="28"/>
    </w:rPr>
  </w:style>
  <w:style w:type="paragraph" w:customStyle="1" w:styleId="4">
    <w:name w:val="插入文本样式-插入职责分类绩效目标文件"/>
    <w:basedOn w:val="1"/>
    <w:pPr>
      <w:spacing w:before="0" w:after="0" w:line="500" w:lineRule="exact"/>
      <w:ind w:firstLine="560"/>
      <w:jc w:val="left"/>
      <w:outlineLvl w:val="9"/>
    </w:pPr>
    <w:rPr>
      <w:sz w:val="28"/>
    </w:rPr>
  </w:style>
  <w:style w:type="paragraph" w:customStyle="1" w:styleId="5">
    <w:name w:val="插入文本样式-插入实现年度发展规划目标的保障措施文件"/>
    <w:basedOn w:val="1"/>
    <w:pPr>
      <w:spacing w:before="0" w:after="0" w:line="500" w:lineRule="exact"/>
      <w:ind w:firstLine="560"/>
      <w:jc w:val="left"/>
      <w:outlineLvl w:val="9"/>
    </w:pPr>
    <w:rPr>
      <w:sz w:val="28"/>
    </w:rPr>
  </w:style>
  <w:style w:type="paragraph" w:customStyle="1" w:styleId="6">
    <w:name w:val="单元格样式4"/>
    <w:pPr>
      <w:spacing w:before="0" w:after="0"/>
      <w:ind w:firstLine="0"/>
      <w:jc w:val="right"/>
      <w:outlineLvl w:val="9"/>
    </w:pPr>
    <w:rPr>
      <w:sz w:val="21"/>
    </w:rPr>
  </w:style>
  <w:style w:type="paragraph" w:customStyle="1" w:styleId="7">
    <w:name w:val="单元格样式5"/>
    <w:pPr>
      <w:spacing w:before="0" w:after="0"/>
      <w:ind w:firstLine="0"/>
      <w:jc w:val="left"/>
      <w:outlineLvl w:val="9"/>
    </w:pPr>
    <w:rPr>
      <w:b/>
      <w:sz w:val="21"/>
    </w:rPr>
  </w:style>
  <w:style w:type="paragraph" w:customStyle="1" w:styleId="8">
    <w:name w:val="单元格样式2"/>
    <w:pPr>
      <w:spacing w:before="0" w:after="0"/>
      <w:ind w:firstLine="0"/>
      <w:jc w:val="left"/>
      <w:outlineLvl w:val="9"/>
    </w:pPr>
    <w:rPr>
      <w:sz w:val="21"/>
    </w:rPr>
  </w:style>
  <w:style w:type="paragraph" w:customStyle="1" w:styleId="9">
    <w:name w:val="单元格样式1"/>
    <w:pPr>
      <w:spacing w:before="0" w:after="0"/>
      <w:ind w:firstLine="0"/>
      <w:jc w:val="center"/>
      <w:outlineLvl w:val="9"/>
    </w:pPr>
    <w:rPr>
      <w:b/>
      <w:sz w:val="21"/>
    </w:rPr>
  </w:style>
  <w:style w:type="paragraph" w:customStyle="1" w:styleId="10">
    <w:name w:val="单元格样式3"/>
    <w:pPr>
      <w:spacing w:before="0" w:after="0"/>
      <w:ind w:firstLine="0"/>
      <w:jc w:val="center"/>
      <w:outlineLvl w:val="9"/>
    </w:pPr>
    <w:rPr>
      <w:sz w:val="21"/>
    </w:rPr>
  </w:style>
  <w:style w:type="paragraph" w:customStyle="1" w:styleId="11">
    <w:name w:val="TOC 2"/>
    <w:basedOn w:val="1"/>
    <w:pPr>
      <w:ind w:left="240"/>
    </w:pPr>
  </w:style>
  <w:style w:type="paragraph" w:customStyle="1" w:styleId="12">
    <w:name w:val="TOC 4"/>
    <w:basedOn w:val="1"/>
    <w:pPr>
      <w:ind w:left="720"/>
    </w:pPr>
  </w:style>
  <w:style w:type="paragraph" w:customStyle="1" w:styleId="13">
    <w:name w:val="TOC 1"/>
    <w:basedOn w:val="1"/>
    <w:pPr>
      <w:spacing w:before="120" w:line="240" w:lineRule="auto"/>
      <w:ind w:firstLine="0"/>
    </w:pPr>
    <w:rPr>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Words>0</Words>
  <Characters>0</Characters>
  <Lines>0</Lines>
  <Paragraphs>0</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2026-02-25T18:26:00Z</dcterms:created>
  <dcterms:modified xsi:type="dcterms:W3CDTF">2026-02-25T17:10:04Z</dcterms:modified>
  <dc:title>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