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bookmarkStart w:id="12" w:name="_GoBack"/>
      <w:bookmarkEnd w:id="12"/>
      <w:r>
        <w:rPr>
          <w:rFonts w:ascii="方正小标宋_GBK" w:hAnsi="方正小标宋_GBK" w:eastAsia="方正小标宋_GBK" w:cs="方正小标宋_GBK"/>
          <w:color w:val="000000"/>
          <w:sz w:val="52"/>
        </w:rPr>
        <w:t xml:space="preserve"> </w:t>
      </w:r>
    </w:p>
    <w:p>
      <w:pPr>
        <w:jc w:val="center"/>
      </w:pPr>
      <w:r>
        <w:rPr>
          <w:rFonts w:ascii="方正小标宋_GBK" w:hAnsi="方正小标宋_GBK" w:eastAsia="方正小标宋_GBK" w:cs="方正小标宋_GBK"/>
          <w:color w:val="000000"/>
          <w:sz w:val="52"/>
        </w:rPr>
        <w:t xml:space="preserve"> </w:t>
      </w:r>
    </w:p>
    <w:p>
      <w:pPr>
        <w:jc w:val="center"/>
      </w:pPr>
      <w:r>
        <w:rPr>
          <w:rFonts w:ascii="方正小标宋_GBK" w:hAnsi="方正小标宋_GBK" w:eastAsia="方正小标宋_GBK" w:cs="方正小标宋_GBK"/>
          <w:color w:val="000000"/>
          <w:sz w:val="52"/>
        </w:rPr>
        <w:t xml:space="preserve"> </w:t>
      </w:r>
    </w:p>
    <w:p>
      <w:pPr>
        <w:jc w:val="center"/>
      </w:pPr>
      <w:r>
        <w:rPr>
          <w:rFonts w:ascii="方正小标宋_GBK" w:hAnsi="方正小标宋_GBK" w:eastAsia="方正小标宋_GBK" w:cs="方正小标宋_GBK"/>
          <w:color w:val="000000"/>
          <w:sz w:val="72"/>
        </w:rPr>
        <w:t>正定县人大常委会办公室</w:t>
      </w:r>
    </w:p>
    <w:p>
      <w:pPr>
        <w:jc w:val="center"/>
      </w:pPr>
      <w:r>
        <w:rPr>
          <w:rFonts w:ascii="方正小标宋_GBK" w:hAnsi="方正小标宋_GBK" w:eastAsia="方正小标宋_GBK" w:cs="方正小标宋_GBK"/>
          <w:color w:val="000000"/>
          <w:sz w:val="72"/>
        </w:rPr>
        <w:t>2026年部门预算绩效文本</w:t>
      </w:r>
    </w:p>
    <w:p>
      <w:pPr>
        <w:jc w:val="center"/>
      </w:pP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宋体" w:hAnsi="宋体" w:eastAsia="宋体" w:cs="宋体"/>
          <w:color w:val="000000"/>
          <w:sz w:val="21"/>
        </w:rPr>
        <w:t xml:space="preserve"> </w:t>
      </w:r>
    </w:p>
    <w:p>
      <w:pPr>
        <w:jc w:val="center"/>
      </w:pPr>
      <w:r>
        <w:rPr>
          <w:rFonts w:ascii="方正楷体_GBK" w:hAnsi="方正楷体_GBK" w:eastAsia="方正楷体_GBK" w:cs="方正楷体_GBK"/>
          <w:b/>
          <w:color w:val="000000"/>
          <w:sz w:val="32"/>
        </w:rPr>
        <w:t>正定县人大常委会办公室编制</w:t>
      </w:r>
    </w:p>
    <w:p>
      <w:pPr>
        <w:jc w:val="center"/>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pPr>
        <w:jc w:val="center"/>
      </w:pPr>
    </w:p>
    <w:p>
      <w:pPr>
        <w:jc w:val="center"/>
        <w:outlineLvl w:val="0"/>
      </w:pPr>
      <w:r>
        <w:rPr>
          <w:rFonts w:ascii="方正小标宋_GBK" w:hAnsi="方正小标宋_GBK" w:eastAsia="方正小标宋_GBK" w:cs="方正小标宋_GBK"/>
          <w:color w:val="000000"/>
          <w:sz w:val="36"/>
        </w:rPr>
        <w:t>目    录</w:t>
      </w:r>
    </w:p>
    <w:p>
      <w:pPr>
        <w:jc w:val="center"/>
      </w:pPr>
      <w:r>
        <w:rPr>
          <w:rFonts w:ascii="方正小标宋_GBK" w:hAnsi="方正小标宋_GBK" w:eastAsia="方正小标宋_GBK" w:cs="方正小标宋_GBK"/>
          <w:color w:val="000000"/>
          <w:sz w:val="30"/>
        </w:rPr>
        <w:t xml:space="preserve"> </w:t>
      </w:r>
    </w:p>
    <w:p>
      <w:pPr>
        <w:jc w:val="center"/>
      </w:pPr>
      <w:r>
        <w:rPr>
          <w:rFonts w:ascii="方正小标宋_GBK" w:hAnsi="方正小标宋_GBK" w:eastAsia="方正小标宋_GBK" w:cs="方正小标宋_GBK"/>
          <w:color w:val="000000"/>
          <w:sz w:val="30"/>
        </w:rPr>
        <w:t>第一部分 部门整体绩效目标</w:t>
      </w:r>
    </w:p>
    <w:p>
      <w:pPr>
        <w:pStyle w:val="17"/>
        <w:tabs>
          <w:tab w:val="right" w:leader="dot" w:pos="928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2</w:t>
      </w:r>
      <w:r>
        <w:fldChar w:fldCharType="end"/>
      </w:r>
      <w:r>
        <w:fldChar w:fldCharType="end"/>
      </w:r>
    </w:p>
    <w:p>
      <w:pPr>
        <w:pStyle w:val="17"/>
        <w:tabs>
          <w:tab w:val="right" w:leader="dot" w:pos="9282"/>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2</w:t>
      </w:r>
      <w:r>
        <w:fldChar w:fldCharType="end"/>
      </w:r>
      <w:r>
        <w:fldChar w:fldCharType="end"/>
      </w:r>
    </w:p>
    <w:p>
      <w:pPr>
        <w:pStyle w:val="17"/>
        <w:tabs>
          <w:tab w:val="right" w:leader="dot" w:pos="9282"/>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30"/>
        </w:rPr>
        <w:t>第二部分 预算项目绩效目标</w:t>
      </w:r>
    </w:p>
    <w:p>
      <w:pPr>
        <w:pStyle w:val="17"/>
        <w:tabs>
          <w:tab w:val="right" w:leader="dot" w:pos="9282"/>
        </w:tabs>
      </w:pPr>
      <w:r>
        <w:fldChar w:fldCharType="begin"/>
      </w:r>
      <w:r>
        <w:instrText xml:space="preserve">TOC \o "4-4" \h \z \u</w:instrText>
      </w:r>
      <w:r>
        <w:fldChar w:fldCharType="separate"/>
      </w:r>
      <w:r>
        <w:fldChar w:fldCharType="begin"/>
      </w:r>
      <w:r>
        <w:instrText xml:space="preserve"> HYPERLINK \l "_Toc_4_4_0000000004" </w:instrText>
      </w:r>
      <w:r>
        <w:fldChar w:fldCharType="separate"/>
      </w:r>
      <w:r>
        <w:t>1.财政预算审查工作经费绩效目标表</w:t>
      </w:r>
      <w:r>
        <w:tab/>
      </w:r>
      <w:r>
        <w:fldChar w:fldCharType="begin"/>
      </w:r>
      <w:r>
        <w:instrText xml:space="preserve">PAGEREF _Toc_4_4_0000000004 \h</w:instrText>
      </w:r>
      <w:r>
        <w:fldChar w:fldCharType="separate"/>
      </w:r>
      <w:r>
        <w:t>5</w:t>
      </w:r>
      <w:r>
        <w:fldChar w:fldCharType="end"/>
      </w:r>
      <w:r>
        <w:fldChar w:fldCharType="end"/>
      </w:r>
    </w:p>
    <w:p>
      <w:pPr>
        <w:pStyle w:val="17"/>
        <w:tabs>
          <w:tab w:val="right" w:leader="dot" w:pos="9282"/>
        </w:tabs>
      </w:pPr>
      <w:r>
        <w:fldChar w:fldCharType="begin"/>
      </w:r>
      <w:r>
        <w:instrText xml:space="preserve"> HYPERLINK \l "_Toc_4_4_0000000005" </w:instrText>
      </w:r>
      <w:r>
        <w:fldChar w:fldCharType="separate"/>
      </w:r>
      <w:r>
        <w:t>2.全国基层立法点工作经费绩效目标表</w:t>
      </w:r>
      <w:r>
        <w:tab/>
      </w:r>
      <w:r>
        <w:fldChar w:fldCharType="begin"/>
      </w:r>
      <w:r>
        <w:instrText xml:space="preserve">PAGEREF _Toc_4_4_0000000005 \h</w:instrText>
      </w:r>
      <w:r>
        <w:fldChar w:fldCharType="separate"/>
      </w:r>
      <w:r>
        <w:t>6</w:t>
      </w:r>
      <w:r>
        <w:fldChar w:fldCharType="end"/>
      </w:r>
      <w:r>
        <w:fldChar w:fldCharType="end"/>
      </w:r>
    </w:p>
    <w:p>
      <w:pPr>
        <w:pStyle w:val="17"/>
        <w:tabs>
          <w:tab w:val="right" w:leader="dot" w:pos="9282"/>
        </w:tabs>
      </w:pPr>
      <w:r>
        <w:fldChar w:fldCharType="begin"/>
      </w:r>
      <w:r>
        <w:instrText xml:space="preserve"> HYPERLINK \l "_Toc_4_4_0000000006" </w:instrText>
      </w:r>
      <w:r>
        <w:fldChar w:fldCharType="separate"/>
      </w:r>
      <w:r>
        <w:t>3.人大代表报刊订阅经费绩效目标表</w:t>
      </w:r>
      <w:r>
        <w:tab/>
      </w:r>
      <w:r>
        <w:fldChar w:fldCharType="begin"/>
      </w:r>
      <w:r>
        <w:instrText xml:space="preserve">PAGEREF _Toc_4_4_0000000006 \h</w:instrText>
      </w:r>
      <w:r>
        <w:fldChar w:fldCharType="separate"/>
      </w:r>
      <w:r>
        <w:t>7</w:t>
      </w:r>
      <w:r>
        <w:fldChar w:fldCharType="end"/>
      </w:r>
      <w:r>
        <w:fldChar w:fldCharType="end"/>
      </w:r>
    </w:p>
    <w:p>
      <w:pPr>
        <w:pStyle w:val="17"/>
        <w:tabs>
          <w:tab w:val="right" w:leader="dot" w:pos="9282"/>
        </w:tabs>
      </w:pPr>
      <w:r>
        <w:fldChar w:fldCharType="begin"/>
      </w:r>
      <w:r>
        <w:instrText xml:space="preserve"> HYPERLINK \l "_Toc_4_4_0000000007" </w:instrText>
      </w:r>
      <w:r>
        <w:fldChar w:fldCharType="separate"/>
      </w:r>
      <w:r>
        <w:t>4.人大代表活动经费绩效目标表</w:t>
      </w:r>
      <w:r>
        <w:tab/>
      </w:r>
      <w:r>
        <w:fldChar w:fldCharType="begin"/>
      </w:r>
      <w:r>
        <w:instrText xml:space="preserve">PAGEREF _Toc_4_4_0000000007 \h</w:instrText>
      </w:r>
      <w:r>
        <w:fldChar w:fldCharType="separate"/>
      </w:r>
      <w:r>
        <w:t>8</w:t>
      </w:r>
      <w:r>
        <w:fldChar w:fldCharType="end"/>
      </w:r>
      <w:r>
        <w:fldChar w:fldCharType="end"/>
      </w:r>
    </w:p>
    <w:p>
      <w:pPr>
        <w:pStyle w:val="17"/>
        <w:tabs>
          <w:tab w:val="right" w:leader="dot" w:pos="9282"/>
        </w:tabs>
      </w:pPr>
      <w:r>
        <w:fldChar w:fldCharType="begin"/>
      </w:r>
      <w:r>
        <w:instrText xml:space="preserve"> HYPERLINK \l "_Toc_4_4_0000000008" </w:instrText>
      </w:r>
      <w:r>
        <w:fldChar w:fldCharType="separate"/>
      </w:r>
      <w:r>
        <w:t>5.人大代表之家（站）工作经费（含网上代表之家服务费）绩效目标表</w:t>
      </w:r>
      <w:r>
        <w:tab/>
      </w:r>
      <w:r>
        <w:fldChar w:fldCharType="begin"/>
      </w:r>
      <w:r>
        <w:instrText xml:space="preserve">PAGEREF _Toc_4_4_0000000008 \h</w:instrText>
      </w:r>
      <w:r>
        <w:fldChar w:fldCharType="separate"/>
      </w:r>
      <w:r>
        <w:t>9</w:t>
      </w:r>
      <w:r>
        <w:fldChar w:fldCharType="end"/>
      </w:r>
      <w:r>
        <w:fldChar w:fldCharType="end"/>
      </w:r>
    </w:p>
    <w:p>
      <w:pPr>
        <w:pStyle w:val="17"/>
        <w:tabs>
          <w:tab w:val="right" w:leader="dot" w:pos="9282"/>
        </w:tabs>
      </w:pPr>
      <w:r>
        <w:fldChar w:fldCharType="begin"/>
      </w:r>
      <w:r>
        <w:instrText xml:space="preserve"> HYPERLINK \l "_Toc_4_4_0000000009" </w:instrText>
      </w:r>
      <w:r>
        <w:fldChar w:fldCharType="separate"/>
      </w:r>
      <w:r>
        <w:t>6.人大会议经费绩效目标表</w:t>
      </w:r>
      <w:r>
        <w:tab/>
      </w:r>
      <w:r>
        <w:fldChar w:fldCharType="begin"/>
      </w:r>
      <w:r>
        <w:instrText xml:space="preserve">PAGEREF _Toc_4_4_0000000009 \h</w:instrText>
      </w:r>
      <w:r>
        <w:fldChar w:fldCharType="separate"/>
      </w:r>
      <w:r>
        <w:t>10</w:t>
      </w:r>
      <w:r>
        <w:fldChar w:fldCharType="end"/>
      </w:r>
      <w:r>
        <w:fldChar w:fldCharType="end"/>
      </w:r>
    </w:p>
    <w:p>
      <w:pPr>
        <w:pStyle w:val="17"/>
        <w:tabs>
          <w:tab w:val="right" w:leader="dot" w:pos="9282"/>
        </w:tabs>
      </w:pPr>
      <w:r>
        <w:fldChar w:fldCharType="begin"/>
      </w:r>
      <w:r>
        <w:instrText xml:space="preserve"> HYPERLINK \l "_Toc_4_4_0000000010" </w:instrText>
      </w:r>
      <w:r>
        <w:fldChar w:fldCharType="separate"/>
      </w:r>
      <w:r>
        <w:t>7.人大年鉴编纂印刷费绩效目标表</w:t>
      </w:r>
      <w:r>
        <w:tab/>
      </w:r>
      <w:r>
        <w:fldChar w:fldCharType="begin"/>
      </w:r>
      <w:r>
        <w:instrText xml:space="preserve">PAGEREF _Toc_4_4_0000000010 \h</w:instrText>
      </w:r>
      <w:r>
        <w:fldChar w:fldCharType="separate"/>
      </w:r>
      <w:r>
        <w:t>11</w:t>
      </w:r>
      <w:r>
        <w:fldChar w:fldCharType="end"/>
      </w:r>
      <w:r>
        <w:fldChar w:fldCharType="end"/>
      </w:r>
    </w:p>
    <w:p>
      <w:pPr>
        <w:pStyle w:val="17"/>
        <w:tabs>
          <w:tab w:val="right" w:leader="dot" w:pos="9282"/>
        </w:tabs>
      </w:pPr>
      <w:r>
        <w:fldChar w:fldCharType="begin"/>
      </w:r>
      <w:r>
        <w:instrText xml:space="preserve"> HYPERLINK \l "_Toc_4_4_0000000011" </w:instrText>
      </w:r>
      <w:r>
        <w:fldChar w:fldCharType="separate"/>
      </w:r>
      <w:r>
        <w:t>8.人大文化建设和古城保护活动经费绩效目标表</w:t>
      </w:r>
      <w:r>
        <w:tab/>
      </w:r>
      <w:r>
        <w:fldChar w:fldCharType="begin"/>
      </w:r>
      <w:r>
        <w:instrText xml:space="preserve">PAGEREF _Toc_4_4_0000000011 \h</w:instrText>
      </w:r>
      <w:r>
        <w:fldChar w:fldCharType="separate"/>
      </w:r>
      <w:r>
        <w:t>12</w:t>
      </w:r>
      <w:r>
        <w:fldChar w:fldCharType="end"/>
      </w:r>
      <w:r>
        <w:fldChar w:fldCharType="end"/>
      </w:r>
    </w:p>
    <w:p>
      <w:pPr>
        <w:pStyle w:val="17"/>
        <w:tabs>
          <w:tab w:val="right" w:leader="dot" w:pos="9282"/>
        </w:tabs>
      </w:pPr>
      <w:r>
        <w:fldChar w:fldCharType="begin"/>
      </w:r>
      <w:r>
        <w:instrText xml:space="preserve"> HYPERLINK \l "_Toc_4_4_0000000012" </w:instrText>
      </w:r>
      <w:r>
        <w:fldChar w:fldCharType="separate"/>
      </w:r>
      <w:r>
        <w:t>9.人大云视频接入服务费绩效目标表</w:t>
      </w:r>
      <w:r>
        <w:tab/>
      </w:r>
      <w:r>
        <w:fldChar w:fldCharType="begin"/>
      </w:r>
      <w:r>
        <w:instrText xml:space="preserve">PAGEREF _Toc_4_4_0000000012 \h</w:instrText>
      </w:r>
      <w:r>
        <w:fldChar w:fldCharType="separate"/>
      </w:r>
      <w:r>
        <w:t>13</w:t>
      </w:r>
      <w:r>
        <w:fldChar w:fldCharType="end"/>
      </w:r>
      <w:r>
        <w:fldChar w:fldCharType="end"/>
      </w:r>
    </w:p>
    <w:p>
      <w:r>
        <w:fldChar w:fldCharType="end"/>
      </w:r>
    </w:p>
    <w:p>
      <w:r>
        <w:br w:type="page"/>
      </w:r>
      <w:r>
        <w:br w:type="textWrapping"/>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第一部分</w:t>
      </w:r>
    </w:p>
    <w:p>
      <w:pPr>
        <w:jc w:val="center"/>
        <w:outlineLvl w:val="0"/>
      </w:pPr>
      <w:r>
        <w:rPr>
          <w:rFonts w:ascii="方正小标宋_GBK" w:hAnsi="方正小标宋_GBK" w:eastAsia="方正小标宋_GBK" w:cs="方正小标宋_GBK"/>
          <w:color w:val="000000"/>
          <w:sz w:val="44"/>
        </w:rPr>
        <w:t>部门整体绩效目标</w:t>
      </w:r>
    </w:p>
    <w:p>
      <w:pPr>
        <w:jc w:val="center"/>
      </w:pPr>
      <w:r>
        <w:rPr>
          <w:rFonts w:ascii="方正小标宋_GBK" w:hAnsi="方正小标宋_GBK" w:eastAsia="方正小标宋_GBK" w:cs="方正小标宋_GBK"/>
          <w:color w:val="000000"/>
          <w:sz w:val="44"/>
        </w:rPr>
        <w:t xml:space="preserve"> </w:t>
      </w:r>
    </w:p>
    <w:p>
      <w:pPr>
        <w:spacing w:before="10" w:after="10"/>
        <w:ind w:firstLine="560"/>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7"/>
      </w:pPr>
      <w:r>
        <w:t>深入学习贯彻习近平总书记关于坚持和完善人民代表大会制度的重要思想，主动顺应新时代人大工作的新任务、新要求，围绕全县改革发展大局，认真履行宪法和法律赋予的职责，实行正确监督、有效监督，支持和保障代表依法履职，始终把坚持党的领导、人民当家作主、依法治国贯穿到县域治理全过程，整体推进、突出重点，创新方法、注重实效，奋力开创人大工作新局面。</w:t>
      </w:r>
    </w:p>
    <w:p>
      <w:pPr>
        <w:spacing w:before="10" w:after="10"/>
        <w:ind w:firstLine="560"/>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8"/>
      </w:pPr>
      <w:r>
        <w:t>人大监督：明确监督工作重点,，围绕党委重大决策部署，选择事关改革发展稳定全局的重大问题、关系人民群众切身利益、社会普遍关注的热点难点问题，有重点、有计划地实施监督。加强计划预算执行监督；加强预决算审查监督；加强和改进司法工作监督；加强生态环境保护工作监督。加强对人大选举任命干部履职情况的监督，切实增强任命人员宪法法律意识，促使其依法履职。</w:t>
      </w:r>
    </w:p>
    <w:p>
      <w:pPr>
        <w:pStyle w:val="8"/>
      </w:pPr>
      <w:r>
        <w:t>人大会议：承担县人民代表大会和县人大常委会各种会议筹备、会务工作，负责常委会文件起草、审核把关，常委会会议、主任会议及常委会党组会议决定事项、工作部署、重要文件及领导批示的传达和督办。按计划召开各项会议，保障县人民代表大会及县人大常委会会议顺利召开，完成会议各项议程。</w:t>
      </w:r>
    </w:p>
    <w:p>
      <w:pPr>
        <w:pStyle w:val="8"/>
      </w:pPr>
      <w:r>
        <w:t>选举和任免：依法做好人大选举任免工作，加强党委对人大选举任免工作的领导，坚持党管干部与人大依法选任相统一，支持和保证人大及其常委会依法行使选举任免权，确保县乡人大选举任免工作顺利完成，提高选举任免工作水平；高质量完成机关领导人选举和常委会人事任免服务工作；高效督办有关部门负责人的目标责任书和述职报告。 依法依规完成人大选举及常委会人事任免工作。</w:t>
      </w:r>
    </w:p>
    <w:p>
      <w:pPr>
        <w:pStyle w:val="8"/>
      </w:pPr>
      <w:r>
        <w:t>人大事务管理：保障新闻宣传与新闻发布工作正常开展，提高人大信息透明度和影响力，加强人大对内、对外交流。保障会议表决系统正常运转；网络与办公平台正常运行；完成机关人事、财务、公文办理、党建、信访、离退休人员服务以及领导交办的其他工作，促进社会和谐稳定，确保机关工作有效运转。努力将县人大常委会机关建设成为作风一流、业务一流、服务一流、纪律一流的工作机关。</w:t>
      </w:r>
    </w:p>
    <w:p>
      <w:pPr>
        <w:spacing w:before="10" w:after="10"/>
        <w:ind w:firstLine="560"/>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9"/>
      </w:pPr>
      <w:r>
        <w:t>（一）学习贯彻党的二十大精神及省、市、县一系列重要会议精神，深入推进中央和省、市、县委重大决策部署的贯彻落实；深入贯彻党的群众路线、密切同人民群众的血肉联系，不断把作风建设引向深入，始终保持人大常委会机关的良好形象。</w:t>
      </w:r>
    </w:p>
    <w:p>
      <w:pPr>
        <w:pStyle w:val="9"/>
      </w:pPr>
      <w:r>
        <w:t>（二）加强对县人大常委会组成人员、县人大代表及机关干部的培训，积极组织学习与人大业务相关的法律法规，不断提高履职水平和工作能力。</w:t>
      </w:r>
    </w:p>
    <w:p>
      <w:pPr>
        <w:pStyle w:val="9"/>
      </w:pPr>
      <w:r>
        <w:t>（三）健全议事规则，创新议事形式，完善审议程序，充实会议内容。召开会议前，引导人大代表和人大常委会组成人员认真准备，紧扣议题审议发言，提高审议质量，增强监督实效。对于审议意见要认真交办督办、跟踪问效，适时反馈办理情况。</w:t>
      </w:r>
    </w:p>
    <w:p>
      <w:pPr>
        <w:pStyle w:val="9"/>
      </w:pPr>
      <w:r>
        <w:t>（四）进行执法调研和执法检查；围绕政府工作报告和“一府两院”专项工作报告涉及内容开展调查研究，开展专题询问和工作评议；对“一府两院”进行监督；组织开展专题询问和工作评议。</w:t>
      </w:r>
    </w:p>
    <w:p>
      <w:pPr>
        <w:pStyle w:val="9"/>
      </w:pPr>
      <w:r>
        <w:t>（五）进一步健全和完善各项工作制度，切实抓好相关规章制度的贯彻落实，保障和促进县人大及其常委会依法履职。</w:t>
      </w:r>
    </w:p>
    <w:p>
      <w:pPr>
        <w:pStyle w:val="9"/>
      </w:pPr>
      <w:r>
        <w:t xml:space="preserve">（六）做好值班工作，及时报告重要情况，传达和督促落实县人大领导指示。协助县人大领导做好需由县人大组织处理的突发事件应急处置工作。  </w:t>
      </w:r>
    </w:p>
    <w:p>
      <w:pPr>
        <w:jc w:val="center"/>
        <w:sectPr>
          <w:footerReference r:id="rId3" w:type="default"/>
          <w:footerReference r:id="rId4" w:type="even"/>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pPr>
        <w:jc w:val="center"/>
      </w:pPr>
      <w:r>
        <w:rPr>
          <w:rFonts w:ascii="方正小标宋_GBK" w:hAnsi="方正小标宋_GBK" w:eastAsia="方正小标宋_GBK" w:cs="方正小标宋_GBK"/>
          <w:color w:val="000000"/>
          <w:sz w:val="52"/>
        </w:rPr>
        <w:t xml:space="preserve"> </w:t>
      </w:r>
    </w:p>
    <w:p>
      <w:pPr>
        <w:jc w:val="center"/>
      </w:pPr>
      <w:r>
        <w:rPr>
          <w:rFonts w:ascii="方正小标宋_GBK" w:hAnsi="方正小标宋_GBK" w:eastAsia="方正小标宋_GBK" w:cs="方正小标宋_GBK"/>
          <w:color w:val="000000"/>
          <w:sz w:val="52"/>
        </w:rPr>
        <w:t xml:space="preserve"> </w:t>
      </w:r>
    </w:p>
    <w:p>
      <w:pPr>
        <w:jc w:val="center"/>
      </w:pPr>
      <w:r>
        <w:rPr>
          <w:rFonts w:ascii="方正小标宋_GBK" w:hAnsi="方正小标宋_GBK" w:eastAsia="方正小标宋_GBK" w:cs="方正小标宋_GBK"/>
          <w:color w:val="000000"/>
          <w:sz w:val="52"/>
        </w:rPr>
        <w:t xml:space="preserve"> </w:t>
      </w:r>
    </w:p>
    <w:p>
      <w:pPr>
        <w:jc w:val="center"/>
      </w:pPr>
      <w:r>
        <w:rPr>
          <w:rFonts w:ascii="方正小标宋_GBK" w:hAnsi="方正小标宋_GBK" w:eastAsia="方正小标宋_GBK" w:cs="方正小标宋_GBK"/>
          <w:color w:val="000000"/>
          <w:sz w:val="44"/>
        </w:rPr>
        <w:t>第二部分</w:t>
      </w:r>
    </w:p>
    <w:p>
      <w:pPr>
        <w:jc w:val="center"/>
      </w:pPr>
      <w:r>
        <w:rPr>
          <w:rFonts w:ascii="方正小标宋_GBK" w:hAnsi="方正小标宋_GBK" w:eastAsia="方正小标宋_GBK" w:cs="方正小标宋_GBK"/>
          <w:color w:val="000000"/>
          <w:sz w:val="44"/>
        </w:rPr>
        <w:t xml:space="preserve"> </w:t>
      </w:r>
    </w:p>
    <w:p>
      <w:pPr>
        <w:jc w:val="center"/>
        <w:outlineLvl w:val="0"/>
      </w:pPr>
      <w:r>
        <w:rPr>
          <w:rFonts w:ascii="方正小标宋_GBK" w:hAnsi="方正小标宋_GBK" w:eastAsia="方正小标宋_GBK" w:cs="方正小标宋_GBK"/>
          <w:color w:val="000000"/>
          <w:sz w:val="44"/>
        </w:rPr>
        <w:t>预算项目绩效目标</w:t>
      </w:r>
    </w:p>
    <w:p>
      <w:pPr>
        <w:jc w:val="center"/>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pPr>
        <w:jc w:val="center"/>
      </w:pPr>
      <w:r>
        <w:rPr>
          <w:rFonts w:ascii="方正仿宋_GBK" w:hAnsi="方正仿宋_GBK" w:eastAsia="方正仿宋_GBK" w:cs="方正仿宋_GBK"/>
          <w:color w:val="000000"/>
          <w:sz w:val="28"/>
        </w:rPr>
        <w:t xml:space="preserve"> </w:t>
      </w:r>
    </w:p>
    <w:p>
      <w:pPr>
        <w:ind w:firstLine="560"/>
        <w:outlineLvl w:val="3"/>
      </w:pPr>
      <w:bookmarkStart w:id="3" w:name="_Toc_4_4_0000000004"/>
      <w:r>
        <w:rPr>
          <w:rFonts w:ascii="方正仿宋_GBK" w:hAnsi="方正仿宋_GBK" w:eastAsia="方正仿宋_GBK" w:cs="方正仿宋_GBK"/>
          <w:color w:val="000000"/>
          <w:sz w:val="28"/>
        </w:rPr>
        <w:t>1.财政预算审查工作经费绩效目标表</w:t>
      </w:r>
      <w:bookmarkEnd w:id="3"/>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13012326P000002124526</w:t>
            </w:r>
          </w:p>
        </w:tc>
        <w:tc>
          <w:tcPr>
            <w:tcW w:w="1587" w:type="dxa"/>
            <w:vAlign w:val="center"/>
          </w:tcPr>
          <w:p>
            <w:pPr>
              <w:pStyle w:val="13"/>
            </w:pPr>
            <w:r>
              <w:t>项目名称</w:t>
            </w:r>
          </w:p>
        </w:tc>
        <w:tc>
          <w:tcPr>
            <w:tcW w:w="4423" w:type="dxa"/>
            <w:gridSpan w:val="3"/>
            <w:vAlign w:val="center"/>
          </w:tcPr>
          <w:p>
            <w:pPr>
              <w:pStyle w:val="12"/>
            </w:pPr>
            <w:r>
              <w:t>财政预算审查工作经费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2.50</w:t>
            </w:r>
          </w:p>
        </w:tc>
        <w:tc>
          <w:tcPr>
            <w:tcW w:w="1587" w:type="dxa"/>
            <w:vAlign w:val="center"/>
          </w:tcPr>
          <w:p>
            <w:pPr>
              <w:pStyle w:val="13"/>
            </w:pPr>
            <w:r>
              <w:t>其中：财政    资金</w:t>
            </w:r>
          </w:p>
        </w:tc>
        <w:tc>
          <w:tcPr>
            <w:tcW w:w="1304" w:type="dxa"/>
            <w:vAlign w:val="center"/>
          </w:tcPr>
          <w:p>
            <w:pPr>
              <w:pStyle w:val="12"/>
            </w:pPr>
            <w:r>
              <w:t>2.50</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用于开展预算联网监督工作；为人大代表购置有关政策性书籍资料，对人大代表开展预算审查培训工作，以提高人大代表预算审查能力。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1.提高代表审查监督工作水平，充分发挥人大代表预算监督职责。</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召开财政预算审查会议次数</w:t>
            </w:r>
          </w:p>
        </w:tc>
        <w:tc>
          <w:tcPr>
            <w:tcW w:w="2891" w:type="dxa"/>
            <w:vAlign w:val="center"/>
          </w:tcPr>
          <w:p>
            <w:pPr>
              <w:pStyle w:val="12"/>
            </w:pPr>
            <w:r>
              <w:t>召开财政预算审查会议次数与计划数比率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代表参与预算审查率</w:t>
            </w:r>
          </w:p>
        </w:tc>
        <w:tc>
          <w:tcPr>
            <w:tcW w:w="2891" w:type="dxa"/>
            <w:vAlign w:val="center"/>
          </w:tcPr>
          <w:p>
            <w:pPr>
              <w:pStyle w:val="12"/>
            </w:pPr>
            <w:r>
              <w:t>参与预算审查工作的代表人数占总人数比率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预算资金使用率</w:t>
            </w:r>
          </w:p>
        </w:tc>
        <w:tc>
          <w:tcPr>
            <w:tcW w:w="2891" w:type="dxa"/>
            <w:vAlign w:val="center"/>
          </w:tcPr>
          <w:p>
            <w:pPr>
              <w:pStyle w:val="12"/>
            </w:pPr>
            <w:r>
              <w:t>预算资金使用率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提升代表预算审查监督工作水平</w:t>
            </w:r>
          </w:p>
        </w:tc>
        <w:tc>
          <w:tcPr>
            <w:tcW w:w="2891" w:type="dxa"/>
            <w:vAlign w:val="center"/>
          </w:tcPr>
          <w:p>
            <w:pPr>
              <w:pStyle w:val="12"/>
            </w:pPr>
            <w:r>
              <w:t>提升代表预算审查监督工作水平</w:t>
            </w:r>
          </w:p>
        </w:tc>
        <w:tc>
          <w:tcPr>
            <w:tcW w:w="1276" w:type="dxa"/>
            <w:vAlign w:val="center"/>
          </w:tcPr>
          <w:p>
            <w:pPr>
              <w:pStyle w:val="12"/>
            </w:pPr>
            <w:r>
              <w:t>提升代表预算审查监督工作水平</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代表满意度</w:t>
            </w:r>
          </w:p>
        </w:tc>
        <w:tc>
          <w:tcPr>
            <w:tcW w:w="2891" w:type="dxa"/>
            <w:vAlign w:val="center"/>
          </w:tcPr>
          <w:p>
            <w:pPr>
              <w:pStyle w:val="12"/>
            </w:pPr>
            <w:r>
              <w:t>代表满意度</w:t>
            </w:r>
          </w:p>
        </w:tc>
        <w:tc>
          <w:tcPr>
            <w:tcW w:w="1276" w:type="dxa"/>
            <w:vAlign w:val="center"/>
          </w:tcPr>
          <w:p>
            <w:pPr>
              <w:pStyle w:val="12"/>
            </w:pPr>
            <w:r>
              <w:t>≥95%</w:t>
            </w:r>
          </w:p>
        </w:tc>
        <w:tc>
          <w:tcPr>
            <w:tcW w:w="1843" w:type="dxa"/>
            <w:vAlign w:val="center"/>
          </w:tcPr>
          <w:p>
            <w:pPr>
              <w:pStyle w:val="12"/>
            </w:pPr>
            <w:r>
              <w:t>工作计划</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4" w:name="_Toc_4_4_0000000005"/>
      <w:r>
        <w:rPr>
          <w:rFonts w:ascii="方正仿宋_GBK" w:hAnsi="方正仿宋_GBK" w:eastAsia="方正仿宋_GBK" w:cs="方正仿宋_GBK"/>
          <w:color w:val="000000"/>
          <w:sz w:val="28"/>
        </w:rPr>
        <w:t>2.全国基层立法点工作经费绩效目标表</w:t>
      </w:r>
      <w:bookmarkEnd w:id="4"/>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13012326P000002124480</w:t>
            </w:r>
          </w:p>
        </w:tc>
        <w:tc>
          <w:tcPr>
            <w:tcW w:w="1587" w:type="dxa"/>
            <w:vAlign w:val="center"/>
          </w:tcPr>
          <w:p>
            <w:pPr>
              <w:pStyle w:val="13"/>
            </w:pPr>
            <w:r>
              <w:t>项目名称</w:t>
            </w:r>
          </w:p>
        </w:tc>
        <w:tc>
          <w:tcPr>
            <w:tcW w:w="4423" w:type="dxa"/>
            <w:gridSpan w:val="3"/>
            <w:vAlign w:val="center"/>
          </w:tcPr>
          <w:p>
            <w:pPr>
              <w:pStyle w:val="12"/>
            </w:pPr>
            <w:r>
              <w:t>全国基层立法点工作经费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10.00</w:t>
            </w:r>
          </w:p>
        </w:tc>
        <w:tc>
          <w:tcPr>
            <w:tcW w:w="1587" w:type="dxa"/>
            <w:vAlign w:val="center"/>
          </w:tcPr>
          <w:p>
            <w:pPr>
              <w:pStyle w:val="13"/>
            </w:pPr>
            <w:r>
              <w:t>其中：财政    资金</w:t>
            </w:r>
          </w:p>
        </w:tc>
        <w:tc>
          <w:tcPr>
            <w:tcW w:w="1304" w:type="dxa"/>
            <w:vAlign w:val="center"/>
          </w:tcPr>
          <w:p>
            <w:pPr>
              <w:pStyle w:val="12"/>
            </w:pPr>
            <w:r>
              <w:t>10.00</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用于保障正定镇人大代表之家基层立法联系点建设及正常开展活动。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1.保障正定镇全国代表之家基层立法联系点建设；保障立法点各项活动正常开展。</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开展各类法律知识宣传讲座次数</w:t>
            </w:r>
          </w:p>
        </w:tc>
        <w:tc>
          <w:tcPr>
            <w:tcW w:w="2891" w:type="dxa"/>
            <w:vAlign w:val="center"/>
          </w:tcPr>
          <w:p>
            <w:pPr>
              <w:pStyle w:val="12"/>
            </w:pPr>
            <w:r>
              <w:t>开展各类法律知识宣传讲座次数与计划数比率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群众参与立法、立法工作更接地气</w:t>
            </w:r>
          </w:p>
        </w:tc>
        <w:tc>
          <w:tcPr>
            <w:tcW w:w="2891" w:type="dxa"/>
            <w:vAlign w:val="center"/>
          </w:tcPr>
          <w:p>
            <w:pPr>
              <w:pStyle w:val="12"/>
            </w:pPr>
            <w:r>
              <w:t>群众参与立法、立法工作更接地气</w:t>
            </w:r>
          </w:p>
        </w:tc>
        <w:tc>
          <w:tcPr>
            <w:tcW w:w="1276" w:type="dxa"/>
            <w:vAlign w:val="center"/>
          </w:tcPr>
          <w:p>
            <w:pPr>
              <w:pStyle w:val="12"/>
            </w:pPr>
            <w:r>
              <w:t>群众合理化建议</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按预算资金完成率</w:t>
            </w:r>
          </w:p>
        </w:tc>
        <w:tc>
          <w:tcPr>
            <w:tcW w:w="2891" w:type="dxa"/>
            <w:vAlign w:val="center"/>
          </w:tcPr>
          <w:p>
            <w:pPr>
              <w:pStyle w:val="12"/>
            </w:pPr>
            <w:r>
              <w:t>按预算资金完成率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群众法律意识提升</w:t>
            </w:r>
          </w:p>
        </w:tc>
        <w:tc>
          <w:tcPr>
            <w:tcW w:w="2891" w:type="dxa"/>
            <w:vAlign w:val="center"/>
          </w:tcPr>
          <w:p>
            <w:pPr>
              <w:pStyle w:val="12"/>
            </w:pPr>
            <w:r>
              <w:t>群众法律意识提升</w:t>
            </w:r>
          </w:p>
        </w:tc>
        <w:tc>
          <w:tcPr>
            <w:tcW w:w="1276" w:type="dxa"/>
            <w:vAlign w:val="center"/>
          </w:tcPr>
          <w:p>
            <w:pPr>
              <w:pStyle w:val="12"/>
            </w:pPr>
            <w:r>
              <w:t>代表、群众法律意识提升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群众满意率</w:t>
            </w:r>
          </w:p>
        </w:tc>
        <w:tc>
          <w:tcPr>
            <w:tcW w:w="2891" w:type="dxa"/>
            <w:vAlign w:val="center"/>
          </w:tcPr>
          <w:p>
            <w:pPr>
              <w:pStyle w:val="12"/>
            </w:pPr>
            <w:r>
              <w:t>群众满意率</w:t>
            </w:r>
          </w:p>
        </w:tc>
        <w:tc>
          <w:tcPr>
            <w:tcW w:w="1276" w:type="dxa"/>
            <w:vAlign w:val="center"/>
          </w:tcPr>
          <w:p>
            <w:pPr>
              <w:pStyle w:val="12"/>
            </w:pPr>
            <w:r>
              <w:t>≥95%</w:t>
            </w:r>
          </w:p>
        </w:tc>
        <w:tc>
          <w:tcPr>
            <w:tcW w:w="1843" w:type="dxa"/>
            <w:vAlign w:val="center"/>
          </w:tcPr>
          <w:p>
            <w:pPr>
              <w:pStyle w:val="12"/>
            </w:pPr>
            <w:r>
              <w:t>工作计划</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5" w:name="_Toc_4_4_0000000006"/>
      <w:r>
        <w:rPr>
          <w:rFonts w:ascii="方正仿宋_GBK" w:hAnsi="方正仿宋_GBK" w:eastAsia="方正仿宋_GBK" w:cs="方正仿宋_GBK"/>
          <w:color w:val="000000"/>
          <w:sz w:val="28"/>
        </w:rPr>
        <w:t>3.人大代表报刊订阅经费绩效目标表</w:t>
      </w:r>
      <w:bookmarkEnd w:id="5"/>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13012326P00004610004A</w:t>
            </w:r>
          </w:p>
        </w:tc>
        <w:tc>
          <w:tcPr>
            <w:tcW w:w="1587" w:type="dxa"/>
            <w:vAlign w:val="center"/>
          </w:tcPr>
          <w:p>
            <w:pPr>
              <w:pStyle w:val="13"/>
            </w:pPr>
            <w:r>
              <w:t>项目名称</w:t>
            </w:r>
          </w:p>
        </w:tc>
        <w:tc>
          <w:tcPr>
            <w:tcW w:w="4423" w:type="dxa"/>
            <w:gridSpan w:val="3"/>
            <w:vAlign w:val="center"/>
          </w:tcPr>
          <w:p>
            <w:pPr>
              <w:pStyle w:val="12"/>
            </w:pPr>
            <w:r>
              <w:t>人大代表报刊订阅经费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8.38</w:t>
            </w:r>
          </w:p>
        </w:tc>
        <w:tc>
          <w:tcPr>
            <w:tcW w:w="1587" w:type="dxa"/>
            <w:vAlign w:val="center"/>
          </w:tcPr>
          <w:p>
            <w:pPr>
              <w:pStyle w:val="13"/>
            </w:pPr>
            <w:r>
              <w:t>其中：财政    资金</w:t>
            </w:r>
          </w:p>
        </w:tc>
        <w:tc>
          <w:tcPr>
            <w:tcW w:w="1304" w:type="dxa"/>
            <w:vAlign w:val="center"/>
          </w:tcPr>
          <w:p>
            <w:pPr>
              <w:pStyle w:val="12"/>
            </w:pPr>
            <w:r>
              <w:t>8.38</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主要用于为人大代表订阅《人民代表报》、《中国人大》、《公民与法治》等报刊。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让全县人大代表及时了解全国及省、市人大制度建设和社会主义民主政治建设的进程,了解人大和代表工作的程序和重点,学习各地人大的先进工作经验,研究人大制度理论，交流人大工作经验，开拓人大工作视野。</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报刊杂志订阅数量</w:t>
            </w:r>
          </w:p>
        </w:tc>
        <w:tc>
          <w:tcPr>
            <w:tcW w:w="2891" w:type="dxa"/>
            <w:vAlign w:val="center"/>
          </w:tcPr>
          <w:p>
            <w:pPr>
              <w:pStyle w:val="12"/>
            </w:pPr>
            <w:r>
              <w:t>实际订阅数占任务数的比例</w:t>
            </w:r>
          </w:p>
        </w:tc>
        <w:tc>
          <w:tcPr>
            <w:tcW w:w="1276" w:type="dxa"/>
            <w:vAlign w:val="center"/>
          </w:tcPr>
          <w:p>
            <w:pPr>
              <w:pStyle w:val="12"/>
            </w:pPr>
            <w:r>
              <w:t>≥95%</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代表报刊订阅率</w:t>
            </w:r>
          </w:p>
        </w:tc>
        <w:tc>
          <w:tcPr>
            <w:tcW w:w="2891" w:type="dxa"/>
            <w:vAlign w:val="center"/>
          </w:tcPr>
          <w:p>
            <w:pPr>
              <w:pStyle w:val="12"/>
            </w:pPr>
            <w:r>
              <w:t>实际订阅人数占代表总数的比例</w:t>
            </w:r>
          </w:p>
        </w:tc>
        <w:tc>
          <w:tcPr>
            <w:tcW w:w="1276" w:type="dxa"/>
            <w:vAlign w:val="center"/>
          </w:tcPr>
          <w:p>
            <w:pPr>
              <w:pStyle w:val="12"/>
            </w:pPr>
            <w:r>
              <w:t>≥95%</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报刊订阅完成时间</w:t>
            </w:r>
          </w:p>
        </w:tc>
        <w:tc>
          <w:tcPr>
            <w:tcW w:w="2891" w:type="dxa"/>
            <w:vAlign w:val="center"/>
          </w:tcPr>
          <w:p>
            <w:pPr>
              <w:pStyle w:val="12"/>
            </w:pPr>
            <w:r>
              <w:t>报刊订阅完成时间</w:t>
            </w:r>
          </w:p>
        </w:tc>
        <w:tc>
          <w:tcPr>
            <w:tcW w:w="1276" w:type="dxa"/>
            <w:vAlign w:val="center"/>
          </w:tcPr>
          <w:p>
            <w:pPr>
              <w:pStyle w:val="12"/>
            </w:pPr>
            <w:r>
              <w:t>2026年12月31日前完成</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预算资金完成率</w:t>
            </w:r>
          </w:p>
        </w:tc>
        <w:tc>
          <w:tcPr>
            <w:tcW w:w="2891" w:type="dxa"/>
            <w:vAlign w:val="center"/>
          </w:tcPr>
          <w:p>
            <w:pPr>
              <w:pStyle w:val="12"/>
            </w:pPr>
            <w:r>
              <w:t>预算资金完成率</w:t>
            </w:r>
          </w:p>
        </w:tc>
        <w:tc>
          <w:tcPr>
            <w:tcW w:w="1276" w:type="dxa"/>
            <w:vAlign w:val="center"/>
          </w:tcPr>
          <w:p>
            <w:pPr>
              <w:pStyle w:val="12"/>
            </w:pPr>
            <w:r>
              <w:t>≥95%</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业务能力提升情况</w:t>
            </w:r>
          </w:p>
        </w:tc>
        <w:tc>
          <w:tcPr>
            <w:tcW w:w="2891" w:type="dxa"/>
            <w:vAlign w:val="center"/>
          </w:tcPr>
          <w:p>
            <w:pPr>
              <w:pStyle w:val="12"/>
            </w:pPr>
            <w:r>
              <w:t>业务能力的提升情况</w:t>
            </w:r>
          </w:p>
        </w:tc>
        <w:tc>
          <w:tcPr>
            <w:tcW w:w="1276" w:type="dxa"/>
            <w:vAlign w:val="center"/>
          </w:tcPr>
          <w:p>
            <w:pPr>
              <w:pStyle w:val="12"/>
            </w:pPr>
            <w:r>
              <w:t>业务能力的提升情况</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代表满意率</w:t>
            </w:r>
          </w:p>
        </w:tc>
        <w:tc>
          <w:tcPr>
            <w:tcW w:w="2891" w:type="dxa"/>
            <w:vAlign w:val="center"/>
          </w:tcPr>
          <w:p>
            <w:pPr>
              <w:pStyle w:val="12"/>
            </w:pPr>
            <w:r>
              <w:t>代表满意人数占代表人数的比率</w:t>
            </w:r>
          </w:p>
        </w:tc>
        <w:tc>
          <w:tcPr>
            <w:tcW w:w="1276" w:type="dxa"/>
            <w:vAlign w:val="center"/>
          </w:tcPr>
          <w:p>
            <w:pPr>
              <w:pStyle w:val="12"/>
            </w:pPr>
            <w:r>
              <w:t>≥95%</w:t>
            </w:r>
          </w:p>
        </w:tc>
        <w:tc>
          <w:tcPr>
            <w:tcW w:w="1843" w:type="dxa"/>
            <w:vAlign w:val="center"/>
          </w:tcPr>
          <w:p>
            <w:pPr>
              <w:pStyle w:val="12"/>
            </w:pPr>
            <w:r>
              <w:t xml:space="preserve"> 订阅计划</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6" w:name="_Toc_4_4_0000000007"/>
      <w:r>
        <w:rPr>
          <w:rFonts w:ascii="方正仿宋_GBK" w:hAnsi="方正仿宋_GBK" w:eastAsia="方正仿宋_GBK" w:cs="方正仿宋_GBK"/>
          <w:color w:val="000000"/>
          <w:sz w:val="28"/>
        </w:rPr>
        <w:t>4.人大代表活动经费绩效目标表</w:t>
      </w:r>
      <w:bookmarkEnd w:id="6"/>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13012326P00000212451J</w:t>
            </w:r>
          </w:p>
        </w:tc>
        <w:tc>
          <w:tcPr>
            <w:tcW w:w="1587" w:type="dxa"/>
            <w:vAlign w:val="center"/>
          </w:tcPr>
          <w:p>
            <w:pPr>
              <w:pStyle w:val="13"/>
            </w:pPr>
            <w:r>
              <w:t>项目名称</w:t>
            </w:r>
          </w:p>
        </w:tc>
        <w:tc>
          <w:tcPr>
            <w:tcW w:w="4423" w:type="dxa"/>
            <w:gridSpan w:val="3"/>
            <w:vAlign w:val="center"/>
          </w:tcPr>
          <w:p>
            <w:pPr>
              <w:pStyle w:val="12"/>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5.00</w:t>
            </w:r>
          </w:p>
        </w:tc>
        <w:tc>
          <w:tcPr>
            <w:tcW w:w="1587" w:type="dxa"/>
            <w:vAlign w:val="center"/>
          </w:tcPr>
          <w:p>
            <w:pPr>
              <w:pStyle w:val="13"/>
            </w:pPr>
            <w:r>
              <w:t>其中：财政    资金</w:t>
            </w:r>
          </w:p>
        </w:tc>
        <w:tc>
          <w:tcPr>
            <w:tcW w:w="1304" w:type="dxa"/>
            <w:vAlign w:val="center"/>
          </w:tcPr>
          <w:p>
            <w:pPr>
              <w:pStyle w:val="12"/>
            </w:pPr>
            <w:r>
              <w:t>5.00</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主要用于代表小组活动、代表视察、执法检查、工作调研以及代表活动的资料费，培训费、食宿费、交通费等活动的正常费用。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1.充分发挥代表监督作用，促进代表之间交流，</w:t>
            </w:r>
            <w:r>
              <w:rPr>
                <w:rFonts w:hint="eastAsia"/>
                <w:lang w:eastAsia="zh-CN"/>
              </w:rPr>
              <w:t>更好地为</w:t>
            </w:r>
            <w:r>
              <w:t>人民群众服务。</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代表开展活动次数</w:t>
            </w:r>
          </w:p>
        </w:tc>
        <w:tc>
          <w:tcPr>
            <w:tcW w:w="2891" w:type="dxa"/>
            <w:vAlign w:val="center"/>
          </w:tcPr>
          <w:p>
            <w:pPr>
              <w:pStyle w:val="12"/>
            </w:pPr>
            <w:r>
              <w:t>代表开展活动次数占计划数的比率</w:t>
            </w:r>
          </w:p>
        </w:tc>
        <w:tc>
          <w:tcPr>
            <w:tcW w:w="1276" w:type="dxa"/>
            <w:vAlign w:val="center"/>
          </w:tcPr>
          <w:p>
            <w:pPr>
              <w:pStyle w:val="12"/>
            </w:pPr>
            <w:r>
              <w:t>≥95%</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代表参加活动率</w:t>
            </w:r>
          </w:p>
        </w:tc>
        <w:tc>
          <w:tcPr>
            <w:tcW w:w="2891" w:type="dxa"/>
            <w:vAlign w:val="center"/>
          </w:tcPr>
          <w:p>
            <w:pPr>
              <w:pStyle w:val="12"/>
            </w:pPr>
            <w:r>
              <w:t>代表参加活动人数占总人数的比率</w:t>
            </w:r>
          </w:p>
        </w:tc>
        <w:tc>
          <w:tcPr>
            <w:tcW w:w="1276" w:type="dxa"/>
            <w:vAlign w:val="center"/>
          </w:tcPr>
          <w:p>
            <w:pPr>
              <w:pStyle w:val="12"/>
            </w:pPr>
            <w:r>
              <w:t>≥95%</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全年预算资金完成率</w:t>
            </w:r>
          </w:p>
        </w:tc>
        <w:tc>
          <w:tcPr>
            <w:tcW w:w="2891" w:type="dxa"/>
            <w:vAlign w:val="center"/>
          </w:tcPr>
          <w:p>
            <w:pPr>
              <w:pStyle w:val="12"/>
            </w:pPr>
            <w:r>
              <w:t>年终完成全年预算资金支出进度</w:t>
            </w:r>
          </w:p>
        </w:tc>
        <w:tc>
          <w:tcPr>
            <w:tcW w:w="1276" w:type="dxa"/>
            <w:vAlign w:val="center"/>
          </w:tcPr>
          <w:p>
            <w:pPr>
              <w:pStyle w:val="12"/>
            </w:pPr>
            <w:r>
              <w:t>≥95%</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提高代表履职能力</w:t>
            </w:r>
          </w:p>
        </w:tc>
        <w:tc>
          <w:tcPr>
            <w:tcW w:w="2891" w:type="dxa"/>
            <w:vAlign w:val="center"/>
          </w:tcPr>
          <w:p>
            <w:pPr>
              <w:pStyle w:val="12"/>
            </w:pPr>
            <w:r>
              <w:t>提高代表履职能力</w:t>
            </w:r>
          </w:p>
        </w:tc>
        <w:tc>
          <w:tcPr>
            <w:tcW w:w="1276" w:type="dxa"/>
            <w:vAlign w:val="center"/>
          </w:tcPr>
          <w:p>
            <w:pPr>
              <w:pStyle w:val="12"/>
            </w:pPr>
            <w:r>
              <w:t>提高代表履职能力</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准确性提升</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提供工作经验</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代表满意度</w:t>
            </w:r>
          </w:p>
        </w:tc>
        <w:tc>
          <w:tcPr>
            <w:tcW w:w="2891" w:type="dxa"/>
            <w:vAlign w:val="center"/>
          </w:tcPr>
          <w:p>
            <w:pPr>
              <w:pStyle w:val="12"/>
            </w:pPr>
            <w:r>
              <w:t>代表整体满意度</w:t>
            </w:r>
          </w:p>
        </w:tc>
        <w:tc>
          <w:tcPr>
            <w:tcW w:w="1276" w:type="dxa"/>
            <w:vAlign w:val="center"/>
          </w:tcPr>
          <w:p>
            <w:pPr>
              <w:pStyle w:val="12"/>
            </w:pPr>
            <w:r>
              <w:t>≥95%</w:t>
            </w:r>
          </w:p>
        </w:tc>
        <w:tc>
          <w:tcPr>
            <w:tcW w:w="1843" w:type="dxa"/>
            <w:vAlign w:val="center"/>
          </w:tcPr>
          <w:p>
            <w:pPr>
              <w:pStyle w:val="12"/>
            </w:pPr>
            <w:r>
              <w:t>工作安排</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7" w:name="_Toc_4_4_0000000008"/>
      <w:r>
        <w:rPr>
          <w:rFonts w:ascii="方正仿宋_GBK" w:hAnsi="方正仿宋_GBK" w:eastAsia="方正仿宋_GBK" w:cs="方正仿宋_GBK"/>
          <w:color w:val="000000"/>
          <w:sz w:val="28"/>
        </w:rPr>
        <w:t>5.人大代表之家（站）工作经费（含网上代表之家服务费）绩效目标表</w:t>
      </w:r>
      <w:bookmarkEnd w:id="7"/>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13012326P00000212449K</w:t>
            </w:r>
          </w:p>
        </w:tc>
        <w:tc>
          <w:tcPr>
            <w:tcW w:w="1587" w:type="dxa"/>
            <w:vAlign w:val="center"/>
          </w:tcPr>
          <w:p>
            <w:pPr>
              <w:pStyle w:val="13"/>
            </w:pPr>
            <w:r>
              <w:t>项目名称</w:t>
            </w:r>
          </w:p>
        </w:tc>
        <w:tc>
          <w:tcPr>
            <w:tcW w:w="4423" w:type="dxa"/>
            <w:gridSpan w:val="3"/>
            <w:vAlign w:val="center"/>
          </w:tcPr>
          <w:p>
            <w:pPr>
              <w:pStyle w:val="12"/>
            </w:pPr>
            <w:r>
              <w:t>人大代表之家（站）工作经费（含网上代表之家服务费）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35.71</w:t>
            </w:r>
          </w:p>
        </w:tc>
        <w:tc>
          <w:tcPr>
            <w:tcW w:w="1587" w:type="dxa"/>
            <w:vAlign w:val="center"/>
          </w:tcPr>
          <w:p>
            <w:pPr>
              <w:pStyle w:val="13"/>
            </w:pPr>
            <w:r>
              <w:t>其中：财政    资金</w:t>
            </w:r>
          </w:p>
        </w:tc>
        <w:tc>
          <w:tcPr>
            <w:tcW w:w="1304" w:type="dxa"/>
            <w:vAlign w:val="center"/>
          </w:tcPr>
          <w:p>
            <w:pPr>
              <w:pStyle w:val="12"/>
            </w:pPr>
            <w:r>
              <w:t>35.71</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用于人大代表之家（站）建设及活动的开展。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1.加强家站建设，及时反映群众合理诉求、妥善化解各种矛盾；充分发挥代表作用，切实增强代表在闭会期间的履职实效。</w:t>
            </w:r>
          </w:p>
          <w:p>
            <w:pPr>
              <w:pStyle w:val="12"/>
            </w:pP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代表回家(站)率</w:t>
            </w:r>
          </w:p>
        </w:tc>
        <w:tc>
          <w:tcPr>
            <w:tcW w:w="2891" w:type="dxa"/>
            <w:vAlign w:val="center"/>
          </w:tcPr>
          <w:p>
            <w:pPr>
              <w:pStyle w:val="12"/>
            </w:pPr>
            <w:r>
              <w:t>代表回家站人数占代表总人数比率</w:t>
            </w:r>
          </w:p>
        </w:tc>
        <w:tc>
          <w:tcPr>
            <w:tcW w:w="1276" w:type="dxa"/>
            <w:vAlign w:val="center"/>
          </w:tcPr>
          <w:p>
            <w:pPr>
              <w:pStyle w:val="12"/>
            </w:pPr>
            <w:r>
              <w:t>≥95%</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群众意见办结率</w:t>
            </w:r>
          </w:p>
        </w:tc>
        <w:tc>
          <w:tcPr>
            <w:tcW w:w="2891" w:type="dxa"/>
            <w:vAlign w:val="center"/>
          </w:tcPr>
          <w:p>
            <w:pPr>
              <w:pStyle w:val="12"/>
            </w:pPr>
            <w:r>
              <w:t>办结次数占意见数的比例</w:t>
            </w:r>
          </w:p>
        </w:tc>
        <w:tc>
          <w:tcPr>
            <w:tcW w:w="1276" w:type="dxa"/>
            <w:vAlign w:val="center"/>
          </w:tcPr>
          <w:p>
            <w:pPr>
              <w:pStyle w:val="12"/>
            </w:pPr>
            <w:r>
              <w:t>≥95%</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工作任务完成及时率</w:t>
            </w:r>
          </w:p>
        </w:tc>
        <w:tc>
          <w:tcPr>
            <w:tcW w:w="1276" w:type="dxa"/>
            <w:vAlign w:val="center"/>
          </w:tcPr>
          <w:p>
            <w:pPr>
              <w:pStyle w:val="12"/>
            </w:pPr>
            <w:r>
              <w:t>≥95%</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按预算资金完成率</w:t>
            </w:r>
          </w:p>
        </w:tc>
        <w:tc>
          <w:tcPr>
            <w:tcW w:w="2891" w:type="dxa"/>
            <w:vAlign w:val="center"/>
          </w:tcPr>
          <w:p>
            <w:pPr>
              <w:pStyle w:val="12"/>
            </w:pPr>
            <w:r>
              <w:t>按预算资金完成率</w:t>
            </w:r>
          </w:p>
        </w:tc>
        <w:tc>
          <w:tcPr>
            <w:tcW w:w="1276" w:type="dxa"/>
            <w:vAlign w:val="center"/>
          </w:tcPr>
          <w:p>
            <w:pPr>
              <w:pStyle w:val="12"/>
            </w:pPr>
            <w:r>
              <w:t>≥95%</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人大代表素质提升</w:t>
            </w:r>
          </w:p>
        </w:tc>
        <w:tc>
          <w:tcPr>
            <w:tcW w:w="2891" w:type="dxa"/>
            <w:vAlign w:val="center"/>
          </w:tcPr>
          <w:p>
            <w:pPr>
              <w:pStyle w:val="12"/>
            </w:pPr>
            <w:r>
              <w:t>人大代表素质提升</w:t>
            </w:r>
          </w:p>
        </w:tc>
        <w:tc>
          <w:tcPr>
            <w:tcW w:w="1276" w:type="dxa"/>
            <w:vAlign w:val="center"/>
          </w:tcPr>
          <w:p>
            <w:pPr>
              <w:pStyle w:val="12"/>
            </w:pPr>
            <w:r>
              <w:t>人大代表素质提升</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群众满意率</w:t>
            </w:r>
          </w:p>
        </w:tc>
        <w:tc>
          <w:tcPr>
            <w:tcW w:w="2891" w:type="dxa"/>
            <w:vAlign w:val="center"/>
          </w:tcPr>
          <w:p>
            <w:pPr>
              <w:pStyle w:val="12"/>
            </w:pPr>
            <w:r>
              <w:t>群众满意率</w:t>
            </w:r>
          </w:p>
        </w:tc>
        <w:tc>
          <w:tcPr>
            <w:tcW w:w="1276" w:type="dxa"/>
            <w:vAlign w:val="center"/>
          </w:tcPr>
          <w:p>
            <w:pPr>
              <w:pStyle w:val="12"/>
            </w:pPr>
            <w:r>
              <w:t>≥95%</w:t>
            </w:r>
          </w:p>
        </w:tc>
        <w:tc>
          <w:tcPr>
            <w:tcW w:w="1843" w:type="dxa"/>
            <w:vAlign w:val="center"/>
          </w:tcPr>
          <w:p>
            <w:pPr>
              <w:pStyle w:val="12"/>
            </w:pPr>
            <w:r>
              <w:t>计划标准</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8" w:name="_Toc_4_4_0000000009"/>
      <w:r>
        <w:rPr>
          <w:rFonts w:ascii="方正仿宋_GBK" w:hAnsi="方正仿宋_GBK" w:eastAsia="方正仿宋_GBK" w:cs="方正仿宋_GBK"/>
          <w:color w:val="000000"/>
          <w:sz w:val="28"/>
        </w:rPr>
        <w:t>6.人大会议经费绩效目标表</w:t>
      </w:r>
      <w:bookmarkEnd w:id="8"/>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13012326P000030100041</w:t>
            </w:r>
          </w:p>
        </w:tc>
        <w:tc>
          <w:tcPr>
            <w:tcW w:w="1587" w:type="dxa"/>
            <w:vAlign w:val="center"/>
          </w:tcPr>
          <w:p>
            <w:pPr>
              <w:pStyle w:val="13"/>
            </w:pPr>
            <w:r>
              <w:t>项目名称</w:t>
            </w:r>
          </w:p>
        </w:tc>
        <w:tc>
          <w:tcPr>
            <w:tcW w:w="4423" w:type="dxa"/>
            <w:gridSpan w:val="3"/>
            <w:vAlign w:val="center"/>
          </w:tcPr>
          <w:p>
            <w:pPr>
              <w:pStyle w:val="12"/>
            </w:pPr>
            <w:r>
              <w:t>人大会议经费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37.00</w:t>
            </w:r>
          </w:p>
        </w:tc>
        <w:tc>
          <w:tcPr>
            <w:tcW w:w="1587" w:type="dxa"/>
            <w:vAlign w:val="center"/>
          </w:tcPr>
          <w:p>
            <w:pPr>
              <w:pStyle w:val="13"/>
            </w:pPr>
            <w:r>
              <w:t>其中：财政    资金</w:t>
            </w:r>
          </w:p>
        </w:tc>
        <w:tc>
          <w:tcPr>
            <w:tcW w:w="1304" w:type="dxa"/>
            <w:vAlign w:val="center"/>
          </w:tcPr>
          <w:p>
            <w:pPr>
              <w:pStyle w:val="12"/>
            </w:pPr>
            <w:r>
              <w:t>37.00</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用于保障人代会及常委会顺利圆满召开，主要包括代表住宿费，餐费、会议室占用费，资料印刷费，办公用品及各种证件制作费、租车费等。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1.完善各项会议制度，规范会议程序，提高会议质量；提高人大代表及常委会审议水平，保障各项会议顺利召开。</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参与投票代表人数</w:t>
            </w:r>
          </w:p>
        </w:tc>
        <w:tc>
          <w:tcPr>
            <w:tcW w:w="2891" w:type="dxa"/>
            <w:vAlign w:val="center"/>
          </w:tcPr>
          <w:p>
            <w:pPr>
              <w:pStyle w:val="12"/>
            </w:pPr>
            <w:r>
              <w:t>参与投票代表人数占应投票人数的比率</w:t>
            </w:r>
          </w:p>
        </w:tc>
        <w:tc>
          <w:tcPr>
            <w:tcW w:w="1276" w:type="dxa"/>
            <w:vAlign w:val="center"/>
          </w:tcPr>
          <w:p>
            <w:pPr>
              <w:pStyle w:val="12"/>
            </w:pPr>
            <w:r>
              <w:t>100%</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代表参会率</w:t>
            </w:r>
          </w:p>
        </w:tc>
        <w:tc>
          <w:tcPr>
            <w:tcW w:w="2891" w:type="dxa"/>
            <w:vAlign w:val="center"/>
          </w:tcPr>
          <w:p>
            <w:pPr>
              <w:pStyle w:val="12"/>
            </w:pPr>
            <w:r>
              <w:t>代表参会人数占代表总人数的比率</w:t>
            </w:r>
          </w:p>
        </w:tc>
        <w:tc>
          <w:tcPr>
            <w:tcW w:w="1276" w:type="dxa"/>
            <w:vAlign w:val="center"/>
          </w:tcPr>
          <w:p>
            <w:pPr>
              <w:pStyle w:val="12"/>
            </w:pPr>
            <w:r>
              <w:t>≥95%</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按预算资金完成率</w:t>
            </w:r>
          </w:p>
        </w:tc>
        <w:tc>
          <w:tcPr>
            <w:tcW w:w="2891" w:type="dxa"/>
            <w:vAlign w:val="center"/>
          </w:tcPr>
          <w:p>
            <w:pPr>
              <w:pStyle w:val="12"/>
            </w:pPr>
            <w:r>
              <w:t>按预算资金完成率</w:t>
            </w:r>
          </w:p>
        </w:tc>
        <w:tc>
          <w:tcPr>
            <w:tcW w:w="1276" w:type="dxa"/>
            <w:vAlign w:val="center"/>
          </w:tcPr>
          <w:p>
            <w:pPr>
              <w:pStyle w:val="12"/>
            </w:pPr>
            <w:r>
              <w:t>≥95%</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促进人民幸福指数提升</w:t>
            </w:r>
          </w:p>
        </w:tc>
        <w:tc>
          <w:tcPr>
            <w:tcW w:w="2891" w:type="dxa"/>
            <w:vAlign w:val="center"/>
          </w:tcPr>
          <w:p>
            <w:pPr>
              <w:pStyle w:val="12"/>
            </w:pPr>
            <w:r>
              <w:t>促进人民幸福指数提升</w:t>
            </w:r>
          </w:p>
        </w:tc>
        <w:tc>
          <w:tcPr>
            <w:tcW w:w="1276" w:type="dxa"/>
            <w:vAlign w:val="center"/>
          </w:tcPr>
          <w:p>
            <w:pPr>
              <w:pStyle w:val="12"/>
            </w:pPr>
            <w:r>
              <w:t>促进人民幸福指数提升</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会议安排方案</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代表满意度</w:t>
            </w:r>
          </w:p>
        </w:tc>
        <w:tc>
          <w:tcPr>
            <w:tcW w:w="2891" w:type="dxa"/>
            <w:vAlign w:val="center"/>
          </w:tcPr>
          <w:p>
            <w:pPr>
              <w:pStyle w:val="12"/>
            </w:pPr>
            <w:r>
              <w:t>参会代表满意率</w:t>
            </w:r>
          </w:p>
        </w:tc>
        <w:tc>
          <w:tcPr>
            <w:tcW w:w="1276" w:type="dxa"/>
            <w:vAlign w:val="center"/>
          </w:tcPr>
          <w:p>
            <w:pPr>
              <w:pStyle w:val="12"/>
            </w:pPr>
            <w:r>
              <w:t>≥95%</w:t>
            </w:r>
          </w:p>
        </w:tc>
        <w:tc>
          <w:tcPr>
            <w:tcW w:w="1843" w:type="dxa"/>
            <w:vAlign w:val="center"/>
          </w:tcPr>
          <w:p>
            <w:pPr>
              <w:pStyle w:val="12"/>
            </w:pPr>
            <w:r>
              <w:t>会议安排方案</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9" w:name="_Toc_4_4_0000000010"/>
      <w:r>
        <w:rPr>
          <w:rFonts w:ascii="方正仿宋_GBK" w:hAnsi="方正仿宋_GBK" w:eastAsia="方正仿宋_GBK" w:cs="方正仿宋_GBK"/>
          <w:color w:val="000000"/>
          <w:sz w:val="28"/>
        </w:rPr>
        <w:t>7.人大年鉴编纂印刷费绩效目标表</w:t>
      </w:r>
      <w:bookmarkEnd w:id="9"/>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13012326P00000212453R</w:t>
            </w:r>
          </w:p>
        </w:tc>
        <w:tc>
          <w:tcPr>
            <w:tcW w:w="1587" w:type="dxa"/>
            <w:vAlign w:val="center"/>
          </w:tcPr>
          <w:p>
            <w:pPr>
              <w:pStyle w:val="13"/>
            </w:pPr>
            <w:r>
              <w:t>项目名称</w:t>
            </w:r>
          </w:p>
        </w:tc>
        <w:tc>
          <w:tcPr>
            <w:tcW w:w="4423" w:type="dxa"/>
            <w:gridSpan w:val="3"/>
            <w:vAlign w:val="center"/>
          </w:tcPr>
          <w:p>
            <w:pPr>
              <w:pStyle w:val="12"/>
            </w:pPr>
            <w:r>
              <w:t>人大年鉴编纂印刷费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10.00</w:t>
            </w:r>
          </w:p>
        </w:tc>
        <w:tc>
          <w:tcPr>
            <w:tcW w:w="1587" w:type="dxa"/>
            <w:vAlign w:val="center"/>
          </w:tcPr>
          <w:p>
            <w:pPr>
              <w:pStyle w:val="13"/>
            </w:pPr>
            <w:r>
              <w:t>其中：财政    资金</w:t>
            </w:r>
          </w:p>
        </w:tc>
        <w:tc>
          <w:tcPr>
            <w:tcW w:w="1304" w:type="dxa"/>
            <w:vAlign w:val="center"/>
          </w:tcPr>
          <w:p>
            <w:pPr>
              <w:pStyle w:val="12"/>
            </w:pPr>
            <w:r>
              <w:t>10.00</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用于人大年鉴编纂印刷工作。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1.为领导决策提供依据，为民众提供信息，为县内外各个层面提供参考依据，让人大代表和人民群众更多的了解人大工作。</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年鉴印制数量</w:t>
            </w:r>
          </w:p>
        </w:tc>
        <w:tc>
          <w:tcPr>
            <w:tcW w:w="2891" w:type="dxa"/>
            <w:vAlign w:val="center"/>
          </w:tcPr>
          <w:p>
            <w:pPr>
              <w:pStyle w:val="12"/>
            </w:pPr>
            <w:r>
              <w:t>年鉴印制数量完成率</w:t>
            </w:r>
          </w:p>
        </w:tc>
        <w:tc>
          <w:tcPr>
            <w:tcW w:w="1276" w:type="dxa"/>
            <w:vAlign w:val="center"/>
          </w:tcPr>
          <w:p>
            <w:pPr>
              <w:pStyle w:val="12"/>
            </w:pPr>
            <w:r>
              <w:t>≥95%</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高质量完成年鉴编纂工作</w:t>
            </w:r>
          </w:p>
        </w:tc>
        <w:tc>
          <w:tcPr>
            <w:tcW w:w="2891" w:type="dxa"/>
            <w:vAlign w:val="center"/>
          </w:tcPr>
          <w:p>
            <w:pPr>
              <w:pStyle w:val="12"/>
            </w:pPr>
            <w:r>
              <w:t>高质量完成年鉴编纂工作</w:t>
            </w:r>
          </w:p>
        </w:tc>
        <w:tc>
          <w:tcPr>
            <w:tcW w:w="1276" w:type="dxa"/>
            <w:vAlign w:val="center"/>
          </w:tcPr>
          <w:p>
            <w:pPr>
              <w:pStyle w:val="12"/>
            </w:pPr>
            <w:r>
              <w:t>高质量、高标准</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按时完成年鉴编纂</w:t>
            </w:r>
          </w:p>
        </w:tc>
        <w:tc>
          <w:tcPr>
            <w:tcW w:w="2891" w:type="dxa"/>
            <w:vAlign w:val="center"/>
          </w:tcPr>
          <w:p>
            <w:pPr>
              <w:pStyle w:val="12"/>
            </w:pPr>
            <w:r>
              <w:t>按时完成年鉴编纂</w:t>
            </w:r>
          </w:p>
        </w:tc>
        <w:tc>
          <w:tcPr>
            <w:tcW w:w="1276" w:type="dxa"/>
            <w:vAlign w:val="center"/>
          </w:tcPr>
          <w:p>
            <w:pPr>
              <w:pStyle w:val="12"/>
            </w:pPr>
            <w:r>
              <w:t>2026年12月31日前</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预算资金完成率</w:t>
            </w:r>
          </w:p>
        </w:tc>
        <w:tc>
          <w:tcPr>
            <w:tcW w:w="2891" w:type="dxa"/>
            <w:vAlign w:val="center"/>
          </w:tcPr>
          <w:p>
            <w:pPr>
              <w:pStyle w:val="12"/>
            </w:pPr>
            <w:r>
              <w:t>预算资金完成率</w:t>
            </w:r>
          </w:p>
        </w:tc>
        <w:tc>
          <w:tcPr>
            <w:tcW w:w="1276" w:type="dxa"/>
            <w:vAlign w:val="center"/>
          </w:tcPr>
          <w:p>
            <w:pPr>
              <w:pStyle w:val="12"/>
            </w:pPr>
            <w:r>
              <w:t>≥95%</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提升人大工作水平</w:t>
            </w:r>
          </w:p>
        </w:tc>
        <w:tc>
          <w:tcPr>
            <w:tcW w:w="2891" w:type="dxa"/>
            <w:vAlign w:val="center"/>
          </w:tcPr>
          <w:p>
            <w:pPr>
              <w:pStyle w:val="12"/>
            </w:pPr>
            <w:r>
              <w:t>提升人大工作水平</w:t>
            </w:r>
          </w:p>
        </w:tc>
        <w:tc>
          <w:tcPr>
            <w:tcW w:w="1276" w:type="dxa"/>
            <w:vAlign w:val="center"/>
          </w:tcPr>
          <w:p>
            <w:pPr>
              <w:pStyle w:val="12"/>
            </w:pPr>
            <w:r>
              <w:t>提升人大工作水平</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t'g'g'z建议</w:t>
            </w:r>
          </w:p>
        </w:tc>
        <w:tc>
          <w:tcPr>
            <w:tcW w:w="1843"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代表满意度</w:t>
            </w:r>
          </w:p>
        </w:tc>
        <w:tc>
          <w:tcPr>
            <w:tcW w:w="2891" w:type="dxa"/>
            <w:vAlign w:val="center"/>
          </w:tcPr>
          <w:p>
            <w:pPr>
              <w:pStyle w:val="12"/>
            </w:pPr>
            <w:r>
              <w:t>代表满意度</w:t>
            </w:r>
          </w:p>
        </w:tc>
        <w:tc>
          <w:tcPr>
            <w:tcW w:w="1276" w:type="dxa"/>
            <w:vAlign w:val="center"/>
          </w:tcPr>
          <w:p>
            <w:pPr>
              <w:pStyle w:val="12"/>
            </w:pPr>
            <w:r>
              <w:t>≥95%</w:t>
            </w:r>
          </w:p>
        </w:tc>
        <w:tc>
          <w:tcPr>
            <w:tcW w:w="1843" w:type="dxa"/>
            <w:vAlign w:val="center"/>
          </w:tcPr>
          <w:p>
            <w:pPr>
              <w:pStyle w:val="12"/>
            </w:pPr>
            <w:r>
              <w:t>合同内容</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10" w:name="_Toc_4_4_0000000011"/>
      <w:r>
        <w:rPr>
          <w:rFonts w:ascii="方正仿宋_GBK" w:hAnsi="方正仿宋_GBK" w:eastAsia="方正仿宋_GBK" w:cs="方正仿宋_GBK"/>
          <w:color w:val="000000"/>
          <w:sz w:val="28"/>
        </w:rPr>
        <w:t>8.人大文化建设和古城保护活动经费绩效目标表</w:t>
      </w:r>
      <w:bookmarkEnd w:id="10"/>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13012326P00000212450Y</w:t>
            </w:r>
          </w:p>
        </w:tc>
        <w:tc>
          <w:tcPr>
            <w:tcW w:w="1587" w:type="dxa"/>
            <w:vAlign w:val="center"/>
          </w:tcPr>
          <w:p>
            <w:pPr>
              <w:pStyle w:val="13"/>
            </w:pPr>
            <w:r>
              <w:t>项目名称</w:t>
            </w:r>
          </w:p>
        </w:tc>
        <w:tc>
          <w:tcPr>
            <w:tcW w:w="4423" w:type="dxa"/>
            <w:gridSpan w:val="3"/>
            <w:vAlign w:val="center"/>
          </w:tcPr>
          <w:p>
            <w:pPr>
              <w:pStyle w:val="12"/>
            </w:pPr>
            <w:r>
              <w:t>人大文化建设和古城保护活动经费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26.00</w:t>
            </w:r>
          </w:p>
        </w:tc>
        <w:tc>
          <w:tcPr>
            <w:tcW w:w="1587" w:type="dxa"/>
            <w:vAlign w:val="center"/>
          </w:tcPr>
          <w:p>
            <w:pPr>
              <w:pStyle w:val="13"/>
            </w:pPr>
            <w:r>
              <w:t>其中：财政    资金</w:t>
            </w:r>
          </w:p>
        </w:tc>
        <w:tc>
          <w:tcPr>
            <w:tcW w:w="1304" w:type="dxa"/>
            <w:vAlign w:val="center"/>
          </w:tcPr>
          <w:p>
            <w:pPr>
              <w:pStyle w:val="12"/>
            </w:pPr>
            <w:r>
              <w:t>26.00</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用于人大文化建设和古城保护活动开展。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1.增强全县人民对传统文化及古城保护的了解和认识，更好地理解中华民族的历史和文化底蕴，提升文化素养和综合素养及古城保护意识。</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编发学习资料和理论通俗读物</w:t>
            </w:r>
          </w:p>
        </w:tc>
        <w:tc>
          <w:tcPr>
            <w:tcW w:w="2891" w:type="dxa"/>
            <w:vAlign w:val="center"/>
          </w:tcPr>
          <w:p>
            <w:pPr>
              <w:pStyle w:val="12"/>
            </w:pPr>
            <w:r>
              <w:t>编发学习资料和理论通俗读物</w:t>
            </w:r>
          </w:p>
        </w:tc>
        <w:tc>
          <w:tcPr>
            <w:tcW w:w="1276" w:type="dxa"/>
            <w:vAlign w:val="center"/>
          </w:tcPr>
          <w:p>
            <w:pPr>
              <w:pStyle w:val="12"/>
            </w:pPr>
            <w:r>
              <w:t>≥10000 本</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通过多种渠道广泛宣传</w:t>
            </w:r>
          </w:p>
        </w:tc>
        <w:tc>
          <w:tcPr>
            <w:tcW w:w="2891" w:type="dxa"/>
            <w:vAlign w:val="center"/>
          </w:tcPr>
          <w:p>
            <w:pPr>
              <w:pStyle w:val="12"/>
            </w:pPr>
            <w:r>
              <w:t>通过多种渠道广泛宣传</w:t>
            </w:r>
          </w:p>
        </w:tc>
        <w:tc>
          <w:tcPr>
            <w:tcW w:w="1276" w:type="dxa"/>
            <w:vAlign w:val="center"/>
          </w:tcPr>
          <w:p>
            <w:pPr>
              <w:pStyle w:val="12"/>
            </w:pPr>
            <w:r>
              <w:t>宣传覆盖面</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按预算资金完成率</w:t>
            </w:r>
          </w:p>
        </w:tc>
        <w:tc>
          <w:tcPr>
            <w:tcW w:w="2891" w:type="dxa"/>
            <w:vAlign w:val="center"/>
          </w:tcPr>
          <w:p>
            <w:pPr>
              <w:pStyle w:val="12"/>
            </w:pPr>
            <w:r>
              <w:t>按预算资金完成率</w:t>
            </w:r>
          </w:p>
        </w:tc>
        <w:tc>
          <w:tcPr>
            <w:tcW w:w="1276" w:type="dxa"/>
            <w:vAlign w:val="center"/>
          </w:tcPr>
          <w:p>
            <w:pPr>
              <w:pStyle w:val="12"/>
            </w:pPr>
            <w:r>
              <w:t>≥95%</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古城保护意识、文化素养提升</w:t>
            </w:r>
          </w:p>
        </w:tc>
        <w:tc>
          <w:tcPr>
            <w:tcW w:w="2891" w:type="dxa"/>
            <w:vAlign w:val="center"/>
          </w:tcPr>
          <w:p>
            <w:pPr>
              <w:pStyle w:val="12"/>
            </w:pPr>
            <w:r>
              <w:t>古城保护意识、文化素养提升</w:t>
            </w:r>
          </w:p>
        </w:tc>
        <w:tc>
          <w:tcPr>
            <w:tcW w:w="1276" w:type="dxa"/>
            <w:vAlign w:val="center"/>
          </w:tcPr>
          <w:p>
            <w:pPr>
              <w:pStyle w:val="12"/>
            </w:pPr>
            <w:r>
              <w:t>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≥95%</w:t>
            </w:r>
          </w:p>
        </w:tc>
        <w:tc>
          <w:tcPr>
            <w:tcW w:w="1843" w:type="dxa"/>
            <w:vAlign w:val="center"/>
          </w:tcPr>
          <w:p>
            <w:pPr>
              <w:pStyle w:val="12"/>
            </w:pPr>
            <w:r>
              <w:t>工作计划</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11" w:name="_Toc_4_4_0000000012"/>
      <w:r>
        <w:rPr>
          <w:rFonts w:ascii="方正仿宋_GBK" w:hAnsi="方正仿宋_GBK" w:eastAsia="方正仿宋_GBK" w:cs="方正仿宋_GBK"/>
          <w:color w:val="000000"/>
          <w:sz w:val="28"/>
        </w:rPr>
        <w:t>9.人大云视频接入服务费绩效目标表</w:t>
      </w:r>
      <w:bookmarkEnd w:id="11"/>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1"/>
            </w:pPr>
            <w:r>
              <w:t>101001正定县人大常委会办公室本级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2"/>
            </w:pPr>
            <w:r>
              <w:t>13012326P00000212447C</w:t>
            </w:r>
          </w:p>
        </w:tc>
        <w:tc>
          <w:tcPr>
            <w:tcW w:w="1587" w:type="dxa"/>
            <w:vAlign w:val="center"/>
          </w:tcPr>
          <w:p>
            <w:pPr>
              <w:pStyle w:val="13"/>
            </w:pPr>
            <w:r>
              <w:t>项目名称</w:t>
            </w:r>
          </w:p>
        </w:tc>
        <w:tc>
          <w:tcPr>
            <w:tcW w:w="4423" w:type="dxa"/>
            <w:gridSpan w:val="3"/>
            <w:vAlign w:val="center"/>
          </w:tcPr>
          <w:p>
            <w:pPr>
              <w:pStyle w:val="12"/>
            </w:pPr>
            <w:r>
              <w:t>人大云视频接入服务费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2"/>
            </w:pPr>
            <w:r>
              <w:t>0.84</w:t>
            </w:r>
          </w:p>
        </w:tc>
        <w:tc>
          <w:tcPr>
            <w:tcW w:w="1587" w:type="dxa"/>
            <w:vAlign w:val="center"/>
          </w:tcPr>
          <w:p>
            <w:pPr>
              <w:pStyle w:val="13"/>
            </w:pPr>
            <w:r>
              <w:t>其中：财政    资金</w:t>
            </w:r>
          </w:p>
        </w:tc>
        <w:tc>
          <w:tcPr>
            <w:tcW w:w="1304" w:type="dxa"/>
            <w:vAlign w:val="center"/>
          </w:tcPr>
          <w:p>
            <w:pPr>
              <w:pStyle w:val="12"/>
            </w:pPr>
            <w:r>
              <w:t>0.84</w:t>
            </w:r>
          </w:p>
        </w:tc>
        <w:tc>
          <w:tcPr>
            <w:tcW w:w="1276" w:type="dxa"/>
            <w:vAlign w:val="center"/>
          </w:tcPr>
          <w:p>
            <w:pPr>
              <w:pStyle w:val="13"/>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用于推动县人大视频会议系统建设、提高网络会议运行效率。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9"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8" w:type="dxa"/>
            <w:gridSpan w:val="6"/>
            <w:vAlign w:val="center"/>
          </w:tcPr>
          <w:p>
            <w:pPr>
              <w:pStyle w:val="12"/>
            </w:pPr>
            <w:r>
              <w:t>1.推动县人大视频会议系统建设，提高网络会议运行效率;为人大代表履职，联动监督提供高效的沟通途径</w:t>
            </w:r>
          </w:p>
        </w:tc>
      </w:tr>
    </w:tbl>
    <w:p>
      <w:pPr>
        <w:spacing w:line="2" w:lineRule="exact"/>
        <w:jc w:val="center"/>
      </w:pPr>
      <w:r>
        <w:rPr>
          <w:rFonts w:ascii="方正书宋_GBK" w:hAnsi="方正书宋_GBK" w:eastAsia="方正书宋_GBK" w:cs="方正书宋_GBK"/>
          <w:color w:val="000000"/>
          <w:sz w:val="21"/>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2"/>
            </w:pPr>
            <w:r>
              <w:t>数量指标</w:t>
            </w:r>
          </w:p>
        </w:tc>
        <w:tc>
          <w:tcPr>
            <w:tcW w:w="1332" w:type="dxa"/>
            <w:vAlign w:val="center"/>
          </w:tcPr>
          <w:p>
            <w:pPr>
              <w:pStyle w:val="12"/>
            </w:pPr>
            <w:r>
              <w:t>视频会议召开次数</w:t>
            </w:r>
          </w:p>
        </w:tc>
        <w:tc>
          <w:tcPr>
            <w:tcW w:w="2891" w:type="dxa"/>
            <w:vAlign w:val="center"/>
          </w:tcPr>
          <w:p>
            <w:pPr>
              <w:pStyle w:val="12"/>
            </w:pPr>
            <w:r>
              <w:t>视频会议召开次数</w:t>
            </w:r>
          </w:p>
        </w:tc>
        <w:tc>
          <w:tcPr>
            <w:tcW w:w="1276" w:type="dxa"/>
            <w:vAlign w:val="center"/>
          </w:tcPr>
          <w:p>
            <w:pPr>
              <w:pStyle w:val="12"/>
            </w:pPr>
            <w:r>
              <w:t>≥10次</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视频会议召开效果</w:t>
            </w:r>
          </w:p>
        </w:tc>
        <w:tc>
          <w:tcPr>
            <w:tcW w:w="2891" w:type="dxa"/>
            <w:vAlign w:val="center"/>
          </w:tcPr>
          <w:p>
            <w:pPr>
              <w:pStyle w:val="12"/>
            </w:pPr>
            <w:r>
              <w:t>视频会议高质量完成率</w:t>
            </w:r>
          </w:p>
        </w:tc>
        <w:tc>
          <w:tcPr>
            <w:tcW w:w="1276" w:type="dxa"/>
            <w:vAlign w:val="center"/>
          </w:tcPr>
          <w:p>
            <w:pPr>
              <w:pStyle w:val="12"/>
            </w:pPr>
            <w:r>
              <w:t>≥95%</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服务费按时支付</w:t>
            </w:r>
          </w:p>
        </w:tc>
        <w:tc>
          <w:tcPr>
            <w:tcW w:w="2891" w:type="dxa"/>
            <w:vAlign w:val="center"/>
          </w:tcPr>
          <w:p>
            <w:pPr>
              <w:pStyle w:val="12"/>
            </w:pPr>
            <w:r>
              <w:t>服务费按时支付</w:t>
            </w:r>
          </w:p>
        </w:tc>
        <w:tc>
          <w:tcPr>
            <w:tcW w:w="1276" w:type="dxa"/>
            <w:vAlign w:val="center"/>
          </w:tcPr>
          <w:p>
            <w:pPr>
              <w:pStyle w:val="12"/>
            </w:pPr>
            <w:r>
              <w:t>2026年12月31日之前完成</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预算资金完成率</w:t>
            </w:r>
          </w:p>
        </w:tc>
        <w:tc>
          <w:tcPr>
            <w:tcW w:w="2891" w:type="dxa"/>
            <w:vAlign w:val="center"/>
          </w:tcPr>
          <w:p>
            <w:pPr>
              <w:pStyle w:val="12"/>
            </w:pPr>
            <w:r>
              <w:t>预算资金完成率</w:t>
            </w:r>
          </w:p>
        </w:tc>
        <w:tc>
          <w:tcPr>
            <w:tcW w:w="1276" w:type="dxa"/>
            <w:vAlign w:val="center"/>
          </w:tcPr>
          <w:p>
            <w:pPr>
              <w:pStyle w:val="12"/>
            </w:pPr>
            <w:r>
              <w:t>100%</w:t>
            </w:r>
          </w:p>
        </w:tc>
        <w:tc>
          <w:tcPr>
            <w:tcW w:w="1843" w:type="dxa"/>
            <w:vAlign w:val="center"/>
          </w:tcPr>
          <w:p>
            <w:pPr>
              <w:pStyle w:val="12"/>
            </w:pPr>
            <w:r>
              <w:t>计划安排</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效益指标</w:t>
            </w:r>
          </w:p>
        </w:tc>
        <w:tc>
          <w:tcPr>
            <w:tcW w:w="1276" w:type="dxa"/>
            <w:vAlign w:val="center"/>
          </w:tcPr>
          <w:p>
            <w:pPr>
              <w:pStyle w:val="12"/>
            </w:pPr>
            <w:r>
              <w:t>社会效益指标</w:t>
            </w:r>
          </w:p>
        </w:tc>
        <w:tc>
          <w:tcPr>
            <w:tcW w:w="1332" w:type="dxa"/>
            <w:vAlign w:val="center"/>
          </w:tcPr>
          <w:p>
            <w:pPr>
              <w:pStyle w:val="12"/>
            </w:pPr>
            <w:r>
              <w:t>会议召开效率提高</w:t>
            </w:r>
          </w:p>
        </w:tc>
        <w:tc>
          <w:tcPr>
            <w:tcW w:w="2891" w:type="dxa"/>
            <w:vAlign w:val="center"/>
          </w:tcPr>
          <w:p>
            <w:pPr>
              <w:pStyle w:val="12"/>
            </w:pPr>
            <w:r>
              <w:t>会议召开效率提高</w:t>
            </w:r>
          </w:p>
        </w:tc>
        <w:tc>
          <w:tcPr>
            <w:tcW w:w="1276" w:type="dxa"/>
            <w:vAlign w:val="center"/>
          </w:tcPr>
          <w:p>
            <w:pPr>
              <w:pStyle w:val="12"/>
            </w:pPr>
            <w:r>
              <w:t>会议召开效率提高</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服务水平提升</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准确性提高</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提供工作建议</w:t>
            </w:r>
          </w:p>
        </w:tc>
        <w:tc>
          <w:tcPr>
            <w:tcW w:w="1843"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2"/>
            </w:pPr>
            <w:r>
              <w:t>服务对象满意度指标</w:t>
            </w:r>
          </w:p>
        </w:tc>
        <w:tc>
          <w:tcPr>
            <w:tcW w:w="1332" w:type="dxa"/>
            <w:vAlign w:val="center"/>
          </w:tcPr>
          <w:p>
            <w:pPr>
              <w:pStyle w:val="12"/>
            </w:pPr>
            <w:r>
              <w:t>人大代表满意度</w:t>
            </w:r>
          </w:p>
        </w:tc>
        <w:tc>
          <w:tcPr>
            <w:tcW w:w="2891" w:type="dxa"/>
            <w:vAlign w:val="center"/>
          </w:tcPr>
          <w:p>
            <w:pPr>
              <w:pStyle w:val="12"/>
            </w:pPr>
            <w:r>
              <w:t>人大代表满意度</w:t>
            </w:r>
          </w:p>
        </w:tc>
        <w:tc>
          <w:tcPr>
            <w:tcW w:w="1276" w:type="dxa"/>
            <w:vAlign w:val="center"/>
          </w:tcPr>
          <w:p>
            <w:pPr>
              <w:pStyle w:val="12"/>
            </w:pPr>
            <w:r>
              <w:t>≥95%</w:t>
            </w:r>
          </w:p>
        </w:tc>
        <w:tc>
          <w:tcPr>
            <w:tcW w:w="1843" w:type="dxa"/>
            <w:vAlign w:val="center"/>
          </w:tcPr>
          <w:p>
            <w:pPr>
              <w:pStyle w:val="12"/>
            </w:pPr>
            <w:r>
              <w:t>计划安排</w:t>
            </w:r>
          </w:p>
        </w:tc>
      </w:tr>
    </w:tbl>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04858"/>
    <w:rsid w:val="00136D81"/>
    <w:rsid w:val="00B04858"/>
    <w:rsid w:val="00D6072E"/>
    <w:rsid w:val="00F14EBD"/>
    <w:rsid w:val="4BA67D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9"/>
    <w:semiHidden/>
    <w:unhideWhenUsed/>
    <w:qFormat/>
    <w:uiPriority w:val="99"/>
    <w:pPr>
      <w:tabs>
        <w:tab w:val="center" w:pos="4153"/>
        <w:tab w:val="right" w:pos="8306"/>
      </w:tabs>
      <w:snapToGrid w:val="0"/>
    </w:pPr>
    <w:rPr>
      <w:sz w:val="18"/>
      <w:szCs w:val="18"/>
    </w:rPr>
  </w:style>
  <w:style w:type="paragraph" w:styleId="3">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插入文本样式-插入总体目标文件"/>
    <w:basedOn w:val="1"/>
    <w:qFormat/>
    <w:uiPriority w:val="0"/>
    <w:pPr>
      <w:spacing w:line="500" w:lineRule="exact"/>
      <w:ind w:firstLine="560"/>
    </w:pPr>
    <w:rPr>
      <w:rFonts w:eastAsia="方正仿宋_GBK"/>
      <w:sz w:val="28"/>
    </w:rPr>
  </w:style>
  <w:style w:type="paragraph" w:customStyle="1" w:styleId="8">
    <w:name w:val="插入文本样式-插入职责分类绩效目标文件"/>
    <w:basedOn w:val="1"/>
    <w:qFormat/>
    <w:uiPriority w:val="0"/>
    <w:pPr>
      <w:spacing w:line="500" w:lineRule="exact"/>
      <w:ind w:firstLine="560"/>
    </w:pPr>
    <w:rPr>
      <w:rFonts w:eastAsia="方正仿宋_GBK"/>
      <w:sz w:val="28"/>
    </w:rPr>
  </w:style>
  <w:style w:type="paragraph" w:customStyle="1" w:styleId="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10">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1">
    <w:name w:val="单元格样式5"/>
    <w:qFormat/>
    <w:uiPriority w:val="0"/>
    <w:rPr>
      <w:rFonts w:ascii="方正书宋_GBK" w:hAnsi="方正书宋_GBK" w:eastAsia="方正书宋_GBK" w:cs="方正书宋_GBK"/>
      <w:b/>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4">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5">
    <w:name w:val="TOC 2"/>
    <w:basedOn w:val="1"/>
    <w:qFormat/>
    <w:uiPriority w:val="0"/>
    <w:pPr>
      <w:ind w:left="240"/>
    </w:pPr>
  </w:style>
  <w:style w:type="paragraph" w:customStyle="1" w:styleId="16">
    <w:name w:val="TOC 4"/>
    <w:basedOn w:val="1"/>
    <w:qFormat/>
    <w:uiPriority w:val="0"/>
    <w:pPr>
      <w:ind w:left="720"/>
    </w:pPr>
  </w:style>
  <w:style w:type="paragraph" w:customStyle="1" w:styleId="17">
    <w:name w:val="TOC 1"/>
    <w:basedOn w:val="1"/>
    <w:qFormat/>
    <w:uiPriority w:val="0"/>
    <w:pPr>
      <w:spacing w:before="120"/>
    </w:pPr>
    <w:rPr>
      <w:rFonts w:eastAsia="方正仿宋_GBK"/>
      <w:color w:val="000000"/>
      <w:sz w:val="28"/>
    </w:rPr>
  </w:style>
  <w:style w:type="character" w:customStyle="1" w:styleId="18">
    <w:name w:val="页眉 Char"/>
    <w:basedOn w:val="6"/>
    <w:link w:val="3"/>
    <w:semiHidden/>
    <w:qFormat/>
    <w:uiPriority w:val="99"/>
    <w:rPr>
      <w:sz w:val="18"/>
      <w:szCs w:val="18"/>
      <w:lang w:eastAsia="uk-UA"/>
    </w:rPr>
  </w:style>
  <w:style w:type="character" w:customStyle="1" w:styleId="1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1323</Words>
  <Characters>7542</Characters>
  <Lines>62</Lines>
  <Paragraphs>17</Paragraphs>
  <TotalTime>5</TotalTime>
  <ScaleCrop>false</ScaleCrop>
  <LinksUpToDate>false</LinksUpToDate>
  <CharactersWithSpaces>8848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2026-02-24T11:07:00Z</dcterms:created>
  <dc:creator>hp</dc:creator>
  <cp:lastModifiedBy>hp</cp:lastModifiedBy>
  <cp:lastPrinted>2026-02-24T07:48:00Z</cp:lastPrinted>
  <dcterms:modified xsi:type="dcterms:W3CDTF">2026-03-03T02:59:43Z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