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一、正定县工商业联合会本级收支预算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一、正定县工商业联合会本级收支预算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714001正定县工商业联合会本级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123.05</w:t>
            </w:r>
          </w:p>
        </w:tc>
        <w:tc>
          <w:tcPr>
            <w:tcW w:w="4535" w:type="dxa"/>
            <w:vAlign w:val="center"/>
          </w:tcPr>
          <w:p>
            <w:pPr>
              <w:pStyle w:val="12"/>
            </w:pPr>
            <w:r>
              <w:t>一、一般公共服务支出</w:t>
            </w:r>
          </w:p>
        </w:tc>
        <w:tc>
          <w:tcPr>
            <w:tcW w:w="2126" w:type="dxa"/>
            <w:vAlign w:val="center"/>
          </w:tcPr>
          <w:p>
            <w:pPr>
              <w:pStyle w:val="11"/>
            </w:pPr>
            <w:r>
              <w:t>73.73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36.94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5.62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6.76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123.05</w:t>
            </w:r>
          </w:p>
        </w:tc>
        <w:tc>
          <w:tcPr>
            <w:tcW w:w="4535" w:type="dxa"/>
            <w:vAlign w:val="center"/>
          </w:tcPr>
          <w:p>
            <w:pPr>
              <w:pStyle w:val="14"/>
            </w:pPr>
            <w:r>
              <w:t>本年支出合计</w:t>
            </w:r>
          </w:p>
        </w:tc>
        <w:tc>
          <w:tcPr>
            <w:tcW w:w="2126" w:type="dxa"/>
            <w:vAlign w:val="center"/>
          </w:tcPr>
          <w:p>
            <w:pPr>
              <w:pStyle w:val="15"/>
            </w:pPr>
            <w:r>
              <w:t>123.05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123.05</w:t>
            </w:r>
          </w:p>
        </w:tc>
        <w:tc>
          <w:tcPr>
            <w:tcW w:w="4535" w:type="dxa"/>
            <w:vAlign w:val="center"/>
          </w:tcPr>
          <w:p>
            <w:pPr>
              <w:pStyle w:val="14"/>
            </w:pPr>
            <w:r>
              <w:t>支出总计</w:t>
            </w:r>
          </w:p>
        </w:tc>
        <w:tc>
          <w:tcPr>
            <w:tcW w:w="2126" w:type="dxa"/>
            <w:vAlign w:val="center"/>
          </w:tcPr>
          <w:p>
            <w:pPr>
              <w:pStyle w:val="15"/>
            </w:pPr>
            <w:r>
              <w:t>123.05</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714001正定县工商业联合会本级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123.05</w:t>
            </w:r>
          </w:p>
        </w:tc>
        <w:tc>
          <w:tcPr>
            <w:tcW w:w="1134" w:type="dxa"/>
            <w:vAlign w:val="center"/>
          </w:tcPr>
          <w:p>
            <w:pPr>
              <w:pStyle w:val="15"/>
            </w:pPr>
            <w:r>
              <w:t>123.05</w:t>
            </w:r>
          </w:p>
        </w:tc>
        <w:tc>
          <w:tcPr>
            <w:tcW w:w="1134" w:type="dxa"/>
            <w:vAlign w:val="center"/>
          </w:tcPr>
          <w:p>
            <w:pPr>
              <w:pStyle w:val="15"/>
            </w:pPr>
            <w:r>
              <w:t>123.05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73.73</w:t>
            </w:r>
          </w:p>
        </w:tc>
        <w:tc>
          <w:tcPr>
            <w:tcW w:w="1134" w:type="dxa"/>
            <w:vAlign w:val="center"/>
          </w:tcPr>
          <w:p>
            <w:pPr>
              <w:pStyle w:val="11"/>
            </w:pPr>
            <w:r>
              <w:t>73.73</w:t>
            </w:r>
          </w:p>
        </w:tc>
        <w:tc>
          <w:tcPr>
            <w:tcW w:w="1134" w:type="dxa"/>
            <w:vAlign w:val="center"/>
          </w:tcPr>
          <w:p>
            <w:pPr>
              <w:pStyle w:val="11"/>
            </w:pPr>
            <w:r>
              <w:t>73.73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20128</w:t>
            </w:r>
          </w:p>
        </w:tc>
        <w:tc>
          <w:tcPr>
            <w:tcW w:w="1559" w:type="dxa"/>
            <w:vAlign w:val="center"/>
          </w:tcPr>
          <w:p>
            <w:pPr>
              <w:pStyle w:val="12"/>
            </w:pPr>
            <w:r>
              <w:t>民主党派及工商联事务</w:t>
            </w:r>
          </w:p>
        </w:tc>
        <w:tc>
          <w:tcPr>
            <w:tcW w:w="1134" w:type="dxa"/>
            <w:vAlign w:val="center"/>
          </w:tcPr>
          <w:p>
            <w:pPr>
              <w:pStyle w:val="11"/>
            </w:pPr>
            <w:r>
              <w:t>73.73</w:t>
            </w:r>
          </w:p>
        </w:tc>
        <w:tc>
          <w:tcPr>
            <w:tcW w:w="1134" w:type="dxa"/>
            <w:vAlign w:val="center"/>
          </w:tcPr>
          <w:p>
            <w:pPr>
              <w:pStyle w:val="11"/>
            </w:pPr>
            <w:r>
              <w:t>73.73</w:t>
            </w:r>
          </w:p>
        </w:tc>
        <w:tc>
          <w:tcPr>
            <w:tcW w:w="1134" w:type="dxa"/>
            <w:vAlign w:val="center"/>
          </w:tcPr>
          <w:p>
            <w:pPr>
              <w:pStyle w:val="11"/>
            </w:pPr>
            <w:r>
              <w:t>73.73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2012801</w:t>
            </w:r>
          </w:p>
        </w:tc>
        <w:tc>
          <w:tcPr>
            <w:tcW w:w="1559" w:type="dxa"/>
            <w:vAlign w:val="center"/>
          </w:tcPr>
          <w:p>
            <w:pPr>
              <w:pStyle w:val="12"/>
            </w:pPr>
            <w:r>
              <w:t>行政运行</w:t>
            </w:r>
          </w:p>
        </w:tc>
        <w:tc>
          <w:tcPr>
            <w:tcW w:w="1134" w:type="dxa"/>
            <w:vAlign w:val="center"/>
          </w:tcPr>
          <w:p>
            <w:pPr>
              <w:pStyle w:val="11"/>
            </w:pPr>
            <w:r>
              <w:t>70.23</w:t>
            </w:r>
          </w:p>
        </w:tc>
        <w:tc>
          <w:tcPr>
            <w:tcW w:w="1134" w:type="dxa"/>
            <w:vAlign w:val="center"/>
          </w:tcPr>
          <w:p>
            <w:pPr>
              <w:pStyle w:val="11"/>
            </w:pPr>
            <w:r>
              <w:t>70.23</w:t>
            </w:r>
          </w:p>
        </w:tc>
        <w:tc>
          <w:tcPr>
            <w:tcW w:w="1134" w:type="dxa"/>
            <w:vAlign w:val="center"/>
          </w:tcPr>
          <w:p>
            <w:pPr>
              <w:pStyle w:val="11"/>
            </w:pPr>
            <w:r>
              <w:t>70.23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2012802</w:t>
            </w:r>
          </w:p>
        </w:tc>
        <w:tc>
          <w:tcPr>
            <w:tcW w:w="1559" w:type="dxa"/>
            <w:vAlign w:val="center"/>
          </w:tcPr>
          <w:p>
            <w:pPr>
              <w:pStyle w:val="12"/>
            </w:pPr>
            <w:r>
              <w:t>一般行政管理事务</w:t>
            </w:r>
          </w:p>
        </w:tc>
        <w:tc>
          <w:tcPr>
            <w:tcW w:w="1134" w:type="dxa"/>
            <w:vAlign w:val="center"/>
          </w:tcPr>
          <w:p>
            <w:pPr>
              <w:pStyle w:val="11"/>
            </w:pPr>
            <w:r>
              <w:t>3.50</w:t>
            </w:r>
          </w:p>
        </w:tc>
        <w:tc>
          <w:tcPr>
            <w:tcW w:w="1134" w:type="dxa"/>
            <w:vAlign w:val="center"/>
          </w:tcPr>
          <w:p>
            <w:pPr>
              <w:pStyle w:val="11"/>
            </w:pPr>
            <w:r>
              <w:t>3.50</w:t>
            </w:r>
          </w:p>
        </w:tc>
        <w:tc>
          <w:tcPr>
            <w:tcW w:w="1134" w:type="dxa"/>
            <w:vAlign w:val="center"/>
          </w:tcPr>
          <w:p>
            <w:pPr>
              <w:pStyle w:val="11"/>
            </w:pPr>
            <w:r>
              <w:t>3.50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36.94</w:t>
            </w:r>
          </w:p>
        </w:tc>
        <w:tc>
          <w:tcPr>
            <w:tcW w:w="1134" w:type="dxa"/>
            <w:vAlign w:val="center"/>
          </w:tcPr>
          <w:p>
            <w:pPr>
              <w:pStyle w:val="11"/>
            </w:pPr>
            <w:r>
              <w:t>36.94</w:t>
            </w:r>
          </w:p>
        </w:tc>
        <w:tc>
          <w:tcPr>
            <w:tcW w:w="1134" w:type="dxa"/>
            <w:vAlign w:val="center"/>
          </w:tcPr>
          <w:p>
            <w:pPr>
              <w:pStyle w:val="11"/>
            </w:pPr>
            <w:r>
              <w:t>36.94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36.94</w:t>
            </w:r>
          </w:p>
        </w:tc>
        <w:tc>
          <w:tcPr>
            <w:tcW w:w="1134" w:type="dxa"/>
            <w:vAlign w:val="center"/>
          </w:tcPr>
          <w:p>
            <w:pPr>
              <w:pStyle w:val="11"/>
            </w:pPr>
            <w:r>
              <w:t>36.94</w:t>
            </w:r>
          </w:p>
        </w:tc>
        <w:tc>
          <w:tcPr>
            <w:tcW w:w="1134" w:type="dxa"/>
            <w:vAlign w:val="center"/>
          </w:tcPr>
          <w:p>
            <w:pPr>
              <w:pStyle w:val="11"/>
            </w:pPr>
            <w:r>
              <w:t>36.94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28.85</w:t>
            </w:r>
          </w:p>
        </w:tc>
        <w:tc>
          <w:tcPr>
            <w:tcW w:w="1134" w:type="dxa"/>
            <w:vAlign w:val="center"/>
          </w:tcPr>
          <w:p>
            <w:pPr>
              <w:pStyle w:val="11"/>
            </w:pPr>
            <w:r>
              <w:t>28.85</w:t>
            </w:r>
          </w:p>
        </w:tc>
        <w:tc>
          <w:tcPr>
            <w:tcW w:w="1134" w:type="dxa"/>
            <w:vAlign w:val="center"/>
          </w:tcPr>
          <w:p>
            <w:pPr>
              <w:pStyle w:val="11"/>
            </w:pPr>
            <w:r>
              <w:t>28.85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8.09</w:t>
            </w:r>
          </w:p>
        </w:tc>
        <w:tc>
          <w:tcPr>
            <w:tcW w:w="1134" w:type="dxa"/>
            <w:vAlign w:val="center"/>
          </w:tcPr>
          <w:p>
            <w:pPr>
              <w:pStyle w:val="11"/>
            </w:pPr>
            <w:r>
              <w:t>8.09</w:t>
            </w:r>
          </w:p>
        </w:tc>
        <w:tc>
          <w:tcPr>
            <w:tcW w:w="1134" w:type="dxa"/>
            <w:vAlign w:val="center"/>
          </w:tcPr>
          <w:p>
            <w:pPr>
              <w:pStyle w:val="11"/>
            </w:pPr>
            <w:r>
              <w:t>8.09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5.62</w:t>
            </w:r>
          </w:p>
        </w:tc>
        <w:tc>
          <w:tcPr>
            <w:tcW w:w="1134" w:type="dxa"/>
            <w:vAlign w:val="center"/>
          </w:tcPr>
          <w:p>
            <w:pPr>
              <w:pStyle w:val="11"/>
            </w:pPr>
            <w:r>
              <w:t>5.62</w:t>
            </w:r>
          </w:p>
        </w:tc>
        <w:tc>
          <w:tcPr>
            <w:tcW w:w="1134" w:type="dxa"/>
            <w:vAlign w:val="center"/>
          </w:tcPr>
          <w:p>
            <w:pPr>
              <w:pStyle w:val="11"/>
            </w:pPr>
            <w:r>
              <w:t>5.62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5.62</w:t>
            </w:r>
          </w:p>
        </w:tc>
        <w:tc>
          <w:tcPr>
            <w:tcW w:w="1134" w:type="dxa"/>
            <w:vAlign w:val="center"/>
          </w:tcPr>
          <w:p>
            <w:pPr>
              <w:pStyle w:val="11"/>
            </w:pPr>
            <w:r>
              <w:t>5.62</w:t>
            </w:r>
          </w:p>
        </w:tc>
        <w:tc>
          <w:tcPr>
            <w:tcW w:w="1134" w:type="dxa"/>
            <w:vAlign w:val="center"/>
          </w:tcPr>
          <w:p>
            <w:pPr>
              <w:pStyle w:val="11"/>
            </w:pPr>
            <w:r>
              <w:t>5.62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3.04</w:t>
            </w:r>
          </w:p>
        </w:tc>
        <w:tc>
          <w:tcPr>
            <w:tcW w:w="1134" w:type="dxa"/>
            <w:vAlign w:val="center"/>
          </w:tcPr>
          <w:p>
            <w:pPr>
              <w:pStyle w:val="11"/>
            </w:pPr>
            <w:r>
              <w:t>3.04</w:t>
            </w:r>
          </w:p>
        </w:tc>
        <w:tc>
          <w:tcPr>
            <w:tcW w:w="1134" w:type="dxa"/>
            <w:vAlign w:val="center"/>
          </w:tcPr>
          <w:p>
            <w:pPr>
              <w:pStyle w:val="11"/>
            </w:pPr>
            <w:r>
              <w:t>3.04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2101103</w:t>
            </w:r>
          </w:p>
        </w:tc>
        <w:tc>
          <w:tcPr>
            <w:tcW w:w="1559" w:type="dxa"/>
            <w:vAlign w:val="center"/>
          </w:tcPr>
          <w:p>
            <w:pPr>
              <w:pStyle w:val="12"/>
            </w:pPr>
            <w:r>
              <w:t>公务员医疗补助</w:t>
            </w:r>
          </w:p>
        </w:tc>
        <w:tc>
          <w:tcPr>
            <w:tcW w:w="1134" w:type="dxa"/>
            <w:vAlign w:val="center"/>
          </w:tcPr>
          <w:p>
            <w:pPr>
              <w:pStyle w:val="11"/>
            </w:pPr>
            <w:r>
              <w:t>2.58</w:t>
            </w:r>
          </w:p>
        </w:tc>
        <w:tc>
          <w:tcPr>
            <w:tcW w:w="1134" w:type="dxa"/>
            <w:vAlign w:val="center"/>
          </w:tcPr>
          <w:p>
            <w:pPr>
              <w:pStyle w:val="11"/>
            </w:pPr>
            <w:r>
              <w:t>2.58</w:t>
            </w:r>
          </w:p>
        </w:tc>
        <w:tc>
          <w:tcPr>
            <w:tcW w:w="1134" w:type="dxa"/>
            <w:vAlign w:val="center"/>
          </w:tcPr>
          <w:p>
            <w:pPr>
              <w:pStyle w:val="11"/>
            </w:pPr>
            <w:r>
              <w:t>2.58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6.76</w:t>
            </w:r>
          </w:p>
        </w:tc>
        <w:tc>
          <w:tcPr>
            <w:tcW w:w="1134" w:type="dxa"/>
            <w:vAlign w:val="center"/>
          </w:tcPr>
          <w:p>
            <w:pPr>
              <w:pStyle w:val="11"/>
            </w:pPr>
            <w:r>
              <w:t>6.76</w:t>
            </w:r>
          </w:p>
        </w:tc>
        <w:tc>
          <w:tcPr>
            <w:tcW w:w="1134" w:type="dxa"/>
            <w:vAlign w:val="center"/>
          </w:tcPr>
          <w:p>
            <w:pPr>
              <w:pStyle w:val="11"/>
            </w:pPr>
            <w:r>
              <w:t>6.76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6.76</w:t>
            </w:r>
          </w:p>
        </w:tc>
        <w:tc>
          <w:tcPr>
            <w:tcW w:w="1134" w:type="dxa"/>
            <w:vAlign w:val="center"/>
          </w:tcPr>
          <w:p>
            <w:pPr>
              <w:pStyle w:val="11"/>
            </w:pPr>
            <w:r>
              <w:t>6.76</w:t>
            </w:r>
          </w:p>
        </w:tc>
        <w:tc>
          <w:tcPr>
            <w:tcW w:w="1134" w:type="dxa"/>
            <w:vAlign w:val="center"/>
          </w:tcPr>
          <w:p>
            <w:pPr>
              <w:pStyle w:val="11"/>
            </w:pPr>
            <w:r>
              <w:t>6.76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6.76</w:t>
            </w:r>
          </w:p>
        </w:tc>
        <w:tc>
          <w:tcPr>
            <w:tcW w:w="1134" w:type="dxa"/>
            <w:vAlign w:val="center"/>
          </w:tcPr>
          <w:p>
            <w:pPr>
              <w:pStyle w:val="11"/>
            </w:pPr>
            <w:r>
              <w:t>6.76</w:t>
            </w:r>
          </w:p>
        </w:tc>
        <w:tc>
          <w:tcPr>
            <w:tcW w:w="1134" w:type="dxa"/>
            <w:vAlign w:val="center"/>
          </w:tcPr>
          <w:p>
            <w:pPr>
              <w:pStyle w:val="11"/>
            </w:pPr>
            <w:r>
              <w:t>6.76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714001正定县工商业联合会本级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123.05</w:t>
            </w:r>
          </w:p>
        </w:tc>
        <w:tc>
          <w:tcPr>
            <w:tcW w:w="1361" w:type="dxa"/>
            <w:vAlign w:val="center"/>
          </w:tcPr>
          <w:p>
            <w:pPr>
              <w:pStyle w:val="15"/>
            </w:pPr>
            <w:r>
              <w:t>119.55</w:t>
            </w:r>
          </w:p>
        </w:tc>
        <w:tc>
          <w:tcPr>
            <w:tcW w:w="1361" w:type="dxa"/>
            <w:vAlign w:val="center"/>
          </w:tcPr>
          <w:p>
            <w:pPr>
              <w:pStyle w:val="15"/>
            </w:pPr>
            <w:r>
              <w:t>3.50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73.73</w:t>
            </w:r>
          </w:p>
        </w:tc>
        <w:tc>
          <w:tcPr>
            <w:tcW w:w="1361" w:type="dxa"/>
            <w:vAlign w:val="center"/>
          </w:tcPr>
          <w:p>
            <w:pPr>
              <w:pStyle w:val="11"/>
            </w:pPr>
            <w:r>
              <w:t>70.23</w:t>
            </w:r>
          </w:p>
        </w:tc>
        <w:tc>
          <w:tcPr>
            <w:tcW w:w="1361" w:type="dxa"/>
            <w:vAlign w:val="center"/>
          </w:tcPr>
          <w:p>
            <w:pPr>
              <w:pStyle w:val="11"/>
            </w:pPr>
            <w:r>
              <w:t>3.50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20128</w:t>
            </w:r>
          </w:p>
        </w:tc>
        <w:tc>
          <w:tcPr>
            <w:tcW w:w="4535" w:type="dxa"/>
            <w:vAlign w:val="center"/>
          </w:tcPr>
          <w:p>
            <w:pPr>
              <w:pStyle w:val="12"/>
            </w:pPr>
            <w:r>
              <w:t>民主党派及工商联事务</w:t>
            </w:r>
          </w:p>
        </w:tc>
        <w:tc>
          <w:tcPr>
            <w:tcW w:w="1361" w:type="dxa"/>
            <w:vAlign w:val="center"/>
          </w:tcPr>
          <w:p>
            <w:pPr>
              <w:pStyle w:val="11"/>
            </w:pPr>
            <w:r>
              <w:t>73.73</w:t>
            </w:r>
          </w:p>
        </w:tc>
        <w:tc>
          <w:tcPr>
            <w:tcW w:w="1361" w:type="dxa"/>
            <w:vAlign w:val="center"/>
          </w:tcPr>
          <w:p>
            <w:pPr>
              <w:pStyle w:val="11"/>
            </w:pPr>
            <w:r>
              <w:t>70.23</w:t>
            </w:r>
          </w:p>
        </w:tc>
        <w:tc>
          <w:tcPr>
            <w:tcW w:w="1361" w:type="dxa"/>
            <w:vAlign w:val="center"/>
          </w:tcPr>
          <w:p>
            <w:pPr>
              <w:pStyle w:val="11"/>
            </w:pPr>
            <w:r>
              <w:t>3.50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2012801</w:t>
            </w:r>
          </w:p>
        </w:tc>
        <w:tc>
          <w:tcPr>
            <w:tcW w:w="4535" w:type="dxa"/>
            <w:vAlign w:val="center"/>
          </w:tcPr>
          <w:p>
            <w:pPr>
              <w:pStyle w:val="12"/>
            </w:pPr>
            <w:r>
              <w:t>行政运行</w:t>
            </w:r>
          </w:p>
        </w:tc>
        <w:tc>
          <w:tcPr>
            <w:tcW w:w="1361" w:type="dxa"/>
            <w:vAlign w:val="center"/>
          </w:tcPr>
          <w:p>
            <w:pPr>
              <w:pStyle w:val="11"/>
            </w:pPr>
            <w:r>
              <w:t>70.23</w:t>
            </w:r>
          </w:p>
        </w:tc>
        <w:tc>
          <w:tcPr>
            <w:tcW w:w="1361" w:type="dxa"/>
            <w:vAlign w:val="center"/>
          </w:tcPr>
          <w:p>
            <w:pPr>
              <w:pStyle w:val="11"/>
            </w:pPr>
            <w:r>
              <w:t>70.23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2012802</w:t>
            </w:r>
          </w:p>
        </w:tc>
        <w:tc>
          <w:tcPr>
            <w:tcW w:w="4535" w:type="dxa"/>
            <w:vAlign w:val="center"/>
          </w:tcPr>
          <w:p>
            <w:pPr>
              <w:pStyle w:val="12"/>
            </w:pPr>
            <w:r>
              <w:t>一般行政管理事务</w:t>
            </w:r>
          </w:p>
        </w:tc>
        <w:tc>
          <w:tcPr>
            <w:tcW w:w="1361" w:type="dxa"/>
            <w:vAlign w:val="center"/>
          </w:tcPr>
          <w:p>
            <w:pPr>
              <w:pStyle w:val="11"/>
            </w:pPr>
            <w:r>
              <w:t>3.50</w:t>
            </w:r>
          </w:p>
        </w:tc>
        <w:tc>
          <w:tcPr>
            <w:tcW w:w="1361" w:type="dxa"/>
            <w:vAlign w:val="center"/>
          </w:tcPr>
          <w:p>
            <w:pPr>
              <w:pStyle w:val="11"/>
            </w:pPr>
          </w:p>
        </w:tc>
        <w:tc>
          <w:tcPr>
            <w:tcW w:w="1361" w:type="dxa"/>
            <w:vAlign w:val="center"/>
          </w:tcPr>
          <w:p>
            <w:pPr>
              <w:pStyle w:val="11"/>
            </w:pPr>
            <w:r>
              <w:t>3.50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36.94</w:t>
            </w:r>
          </w:p>
        </w:tc>
        <w:tc>
          <w:tcPr>
            <w:tcW w:w="1361" w:type="dxa"/>
            <w:vAlign w:val="center"/>
          </w:tcPr>
          <w:p>
            <w:pPr>
              <w:pStyle w:val="11"/>
            </w:pPr>
            <w:r>
              <w:t>36.94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36.94</w:t>
            </w:r>
          </w:p>
        </w:tc>
        <w:tc>
          <w:tcPr>
            <w:tcW w:w="1361" w:type="dxa"/>
            <w:vAlign w:val="center"/>
          </w:tcPr>
          <w:p>
            <w:pPr>
              <w:pStyle w:val="11"/>
            </w:pPr>
            <w:r>
              <w:t>36.94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28.85</w:t>
            </w:r>
          </w:p>
        </w:tc>
        <w:tc>
          <w:tcPr>
            <w:tcW w:w="1361" w:type="dxa"/>
            <w:vAlign w:val="center"/>
          </w:tcPr>
          <w:p>
            <w:pPr>
              <w:pStyle w:val="11"/>
            </w:pPr>
            <w:r>
              <w:t>28.85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8.09</w:t>
            </w:r>
          </w:p>
        </w:tc>
        <w:tc>
          <w:tcPr>
            <w:tcW w:w="1361" w:type="dxa"/>
            <w:vAlign w:val="center"/>
          </w:tcPr>
          <w:p>
            <w:pPr>
              <w:pStyle w:val="11"/>
            </w:pPr>
            <w:r>
              <w:t>8.09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5.62</w:t>
            </w:r>
          </w:p>
        </w:tc>
        <w:tc>
          <w:tcPr>
            <w:tcW w:w="1361" w:type="dxa"/>
            <w:vAlign w:val="center"/>
          </w:tcPr>
          <w:p>
            <w:pPr>
              <w:pStyle w:val="11"/>
            </w:pPr>
            <w:r>
              <w:t>5.62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5.62</w:t>
            </w:r>
          </w:p>
        </w:tc>
        <w:tc>
          <w:tcPr>
            <w:tcW w:w="1361" w:type="dxa"/>
            <w:vAlign w:val="center"/>
          </w:tcPr>
          <w:p>
            <w:pPr>
              <w:pStyle w:val="11"/>
            </w:pPr>
            <w:r>
              <w:t>5.62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3.04</w:t>
            </w:r>
          </w:p>
        </w:tc>
        <w:tc>
          <w:tcPr>
            <w:tcW w:w="1361" w:type="dxa"/>
            <w:vAlign w:val="center"/>
          </w:tcPr>
          <w:p>
            <w:pPr>
              <w:pStyle w:val="11"/>
            </w:pPr>
            <w:r>
              <w:t>3.04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2101103</w:t>
            </w:r>
          </w:p>
        </w:tc>
        <w:tc>
          <w:tcPr>
            <w:tcW w:w="4535" w:type="dxa"/>
            <w:vAlign w:val="center"/>
          </w:tcPr>
          <w:p>
            <w:pPr>
              <w:pStyle w:val="12"/>
            </w:pPr>
            <w:r>
              <w:t>公务员医疗补助</w:t>
            </w:r>
          </w:p>
        </w:tc>
        <w:tc>
          <w:tcPr>
            <w:tcW w:w="1361" w:type="dxa"/>
            <w:vAlign w:val="center"/>
          </w:tcPr>
          <w:p>
            <w:pPr>
              <w:pStyle w:val="11"/>
            </w:pPr>
            <w:r>
              <w:t>2.58</w:t>
            </w:r>
          </w:p>
        </w:tc>
        <w:tc>
          <w:tcPr>
            <w:tcW w:w="1361" w:type="dxa"/>
            <w:vAlign w:val="center"/>
          </w:tcPr>
          <w:p>
            <w:pPr>
              <w:pStyle w:val="11"/>
            </w:pPr>
            <w:r>
              <w:t>2.58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6.76</w:t>
            </w:r>
          </w:p>
        </w:tc>
        <w:tc>
          <w:tcPr>
            <w:tcW w:w="1361" w:type="dxa"/>
            <w:vAlign w:val="center"/>
          </w:tcPr>
          <w:p>
            <w:pPr>
              <w:pStyle w:val="11"/>
            </w:pPr>
            <w:r>
              <w:t>6.76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6.76</w:t>
            </w:r>
          </w:p>
        </w:tc>
        <w:tc>
          <w:tcPr>
            <w:tcW w:w="1361" w:type="dxa"/>
            <w:vAlign w:val="center"/>
          </w:tcPr>
          <w:p>
            <w:pPr>
              <w:pStyle w:val="11"/>
            </w:pPr>
            <w:r>
              <w:t>6.76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6.76</w:t>
            </w:r>
          </w:p>
        </w:tc>
        <w:tc>
          <w:tcPr>
            <w:tcW w:w="1361" w:type="dxa"/>
            <w:vAlign w:val="center"/>
          </w:tcPr>
          <w:p>
            <w:pPr>
              <w:pStyle w:val="11"/>
            </w:pPr>
            <w:r>
              <w:t>6.76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714001正定县工商业联合会本级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123.05</w:t>
            </w:r>
          </w:p>
        </w:tc>
        <w:tc>
          <w:tcPr>
            <w:tcW w:w="3402" w:type="dxa"/>
            <w:vAlign w:val="center"/>
          </w:tcPr>
          <w:p>
            <w:pPr>
              <w:pStyle w:val="12"/>
            </w:pPr>
            <w:r>
              <w:t>一、一般公共服务支出</w:t>
            </w:r>
          </w:p>
        </w:tc>
        <w:tc>
          <w:tcPr>
            <w:tcW w:w="1474" w:type="dxa"/>
            <w:vAlign w:val="center"/>
          </w:tcPr>
          <w:p>
            <w:pPr>
              <w:pStyle w:val="11"/>
            </w:pPr>
            <w:r>
              <w:t>73.73</w:t>
            </w:r>
          </w:p>
        </w:tc>
        <w:tc>
          <w:tcPr>
            <w:tcW w:w="1474" w:type="dxa"/>
            <w:vAlign w:val="center"/>
          </w:tcPr>
          <w:p>
            <w:pPr>
              <w:pStyle w:val="11"/>
            </w:pPr>
            <w:r>
              <w:t>73.73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36.94</w:t>
            </w:r>
          </w:p>
        </w:tc>
        <w:tc>
          <w:tcPr>
            <w:tcW w:w="1474" w:type="dxa"/>
            <w:vAlign w:val="center"/>
          </w:tcPr>
          <w:p>
            <w:pPr>
              <w:pStyle w:val="11"/>
            </w:pPr>
            <w:r>
              <w:t>36.94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5.62</w:t>
            </w:r>
          </w:p>
        </w:tc>
        <w:tc>
          <w:tcPr>
            <w:tcW w:w="1474" w:type="dxa"/>
            <w:vAlign w:val="center"/>
          </w:tcPr>
          <w:p>
            <w:pPr>
              <w:pStyle w:val="11"/>
            </w:pPr>
            <w:r>
              <w:t>5.62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6.76</w:t>
            </w:r>
          </w:p>
        </w:tc>
        <w:tc>
          <w:tcPr>
            <w:tcW w:w="1474" w:type="dxa"/>
            <w:vAlign w:val="center"/>
          </w:tcPr>
          <w:p>
            <w:pPr>
              <w:pStyle w:val="11"/>
            </w:pPr>
            <w:r>
              <w:t>6.76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123.05</w:t>
            </w:r>
          </w:p>
        </w:tc>
        <w:tc>
          <w:tcPr>
            <w:tcW w:w="3402" w:type="dxa"/>
            <w:vAlign w:val="center"/>
          </w:tcPr>
          <w:p>
            <w:pPr>
              <w:pStyle w:val="14"/>
            </w:pPr>
            <w:r>
              <w:t>本年支出合计</w:t>
            </w:r>
          </w:p>
        </w:tc>
        <w:tc>
          <w:tcPr>
            <w:tcW w:w="1474" w:type="dxa"/>
            <w:vAlign w:val="center"/>
          </w:tcPr>
          <w:p>
            <w:pPr>
              <w:pStyle w:val="15"/>
            </w:pPr>
            <w:r>
              <w:t>123.05</w:t>
            </w:r>
          </w:p>
        </w:tc>
        <w:tc>
          <w:tcPr>
            <w:tcW w:w="1474" w:type="dxa"/>
            <w:vAlign w:val="center"/>
          </w:tcPr>
          <w:p>
            <w:pPr>
              <w:pStyle w:val="15"/>
            </w:pPr>
            <w:r>
              <w:t>123.05</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123.05</w:t>
            </w:r>
          </w:p>
        </w:tc>
        <w:tc>
          <w:tcPr>
            <w:tcW w:w="3402" w:type="dxa"/>
            <w:vAlign w:val="center"/>
          </w:tcPr>
          <w:p>
            <w:pPr>
              <w:pStyle w:val="14"/>
            </w:pPr>
            <w:r>
              <w:t>支出总计</w:t>
            </w:r>
          </w:p>
        </w:tc>
        <w:tc>
          <w:tcPr>
            <w:tcW w:w="1474" w:type="dxa"/>
            <w:vAlign w:val="center"/>
          </w:tcPr>
          <w:p>
            <w:pPr>
              <w:pStyle w:val="15"/>
            </w:pPr>
            <w:r>
              <w:t>123.05</w:t>
            </w:r>
          </w:p>
        </w:tc>
        <w:tc>
          <w:tcPr>
            <w:tcW w:w="1474" w:type="dxa"/>
            <w:vAlign w:val="center"/>
          </w:tcPr>
          <w:p>
            <w:pPr>
              <w:pStyle w:val="15"/>
            </w:pPr>
            <w:r>
              <w:t>123.05</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714001正定县工商业联合会本级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123.05</w:t>
            </w:r>
          </w:p>
        </w:tc>
        <w:tc>
          <w:tcPr>
            <w:tcW w:w="2551" w:type="dxa"/>
            <w:vAlign w:val="center"/>
          </w:tcPr>
          <w:p>
            <w:pPr>
              <w:pStyle w:val="15"/>
            </w:pPr>
            <w:r>
              <w:t>119.55</w:t>
            </w:r>
          </w:p>
        </w:tc>
        <w:tc>
          <w:tcPr>
            <w:tcW w:w="2551" w:type="dxa"/>
            <w:vAlign w:val="center"/>
          </w:tcPr>
          <w:p>
            <w:pPr>
              <w:pStyle w:val="15"/>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73.73</w:t>
            </w:r>
          </w:p>
        </w:tc>
        <w:tc>
          <w:tcPr>
            <w:tcW w:w="2551" w:type="dxa"/>
            <w:vAlign w:val="center"/>
          </w:tcPr>
          <w:p>
            <w:pPr>
              <w:pStyle w:val="11"/>
            </w:pPr>
            <w:r>
              <w:t>70.23</w:t>
            </w:r>
          </w:p>
        </w:tc>
        <w:tc>
          <w:tcPr>
            <w:tcW w:w="2551" w:type="dxa"/>
            <w:vAlign w:val="center"/>
          </w:tcPr>
          <w:p>
            <w:pPr>
              <w:pStyle w:val="11"/>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20128</w:t>
            </w:r>
          </w:p>
        </w:tc>
        <w:tc>
          <w:tcPr>
            <w:tcW w:w="4535" w:type="dxa"/>
            <w:vAlign w:val="center"/>
          </w:tcPr>
          <w:p>
            <w:pPr>
              <w:pStyle w:val="12"/>
            </w:pPr>
            <w:r>
              <w:t>民主党派及工商联事务</w:t>
            </w:r>
          </w:p>
        </w:tc>
        <w:tc>
          <w:tcPr>
            <w:tcW w:w="2551" w:type="dxa"/>
            <w:vAlign w:val="center"/>
          </w:tcPr>
          <w:p>
            <w:pPr>
              <w:pStyle w:val="11"/>
            </w:pPr>
            <w:r>
              <w:t>73.73</w:t>
            </w:r>
          </w:p>
        </w:tc>
        <w:tc>
          <w:tcPr>
            <w:tcW w:w="2551" w:type="dxa"/>
            <w:vAlign w:val="center"/>
          </w:tcPr>
          <w:p>
            <w:pPr>
              <w:pStyle w:val="11"/>
            </w:pPr>
            <w:r>
              <w:t>70.23</w:t>
            </w:r>
          </w:p>
        </w:tc>
        <w:tc>
          <w:tcPr>
            <w:tcW w:w="2551" w:type="dxa"/>
            <w:vAlign w:val="center"/>
          </w:tcPr>
          <w:p>
            <w:pPr>
              <w:pStyle w:val="11"/>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2012801</w:t>
            </w:r>
          </w:p>
        </w:tc>
        <w:tc>
          <w:tcPr>
            <w:tcW w:w="4535" w:type="dxa"/>
            <w:vAlign w:val="center"/>
          </w:tcPr>
          <w:p>
            <w:pPr>
              <w:pStyle w:val="12"/>
            </w:pPr>
            <w:r>
              <w:t>行政运行</w:t>
            </w:r>
          </w:p>
        </w:tc>
        <w:tc>
          <w:tcPr>
            <w:tcW w:w="2551" w:type="dxa"/>
            <w:vAlign w:val="center"/>
          </w:tcPr>
          <w:p>
            <w:pPr>
              <w:pStyle w:val="11"/>
            </w:pPr>
            <w:r>
              <w:t>70.23</w:t>
            </w:r>
          </w:p>
        </w:tc>
        <w:tc>
          <w:tcPr>
            <w:tcW w:w="2551" w:type="dxa"/>
            <w:vAlign w:val="center"/>
          </w:tcPr>
          <w:p>
            <w:pPr>
              <w:pStyle w:val="11"/>
            </w:pPr>
            <w:r>
              <w:t>70.23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2012802</w:t>
            </w:r>
          </w:p>
        </w:tc>
        <w:tc>
          <w:tcPr>
            <w:tcW w:w="4535" w:type="dxa"/>
            <w:vAlign w:val="center"/>
          </w:tcPr>
          <w:p>
            <w:pPr>
              <w:pStyle w:val="12"/>
            </w:pPr>
            <w:r>
              <w:t>一般行政管理事务</w:t>
            </w:r>
          </w:p>
        </w:tc>
        <w:tc>
          <w:tcPr>
            <w:tcW w:w="2551" w:type="dxa"/>
            <w:vAlign w:val="center"/>
          </w:tcPr>
          <w:p>
            <w:pPr>
              <w:pStyle w:val="11"/>
            </w:pPr>
            <w:r>
              <w:t>3.50</w:t>
            </w:r>
          </w:p>
        </w:tc>
        <w:tc>
          <w:tcPr>
            <w:tcW w:w="2551" w:type="dxa"/>
            <w:vAlign w:val="center"/>
          </w:tcPr>
          <w:p>
            <w:pPr>
              <w:pStyle w:val="11"/>
            </w:pPr>
          </w:p>
        </w:tc>
        <w:tc>
          <w:tcPr>
            <w:tcW w:w="2551" w:type="dxa"/>
            <w:vAlign w:val="center"/>
          </w:tcPr>
          <w:p>
            <w:pPr>
              <w:pStyle w:val="11"/>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36.94</w:t>
            </w:r>
          </w:p>
        </w:tc>
        <w:tc>
          <w:tcPr>
            <w:tcW w:w="2551" w:type="dxa"/>
            <w:vAlign w:val="center"/>
          </w:tcPr>
          <w:p>
            <w:pPr>
              <w:pStyle w:val="11"/>
            </w:pPr>
            <w:r>
              <w:t>36.94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36.94</w:t>
            </w:r>
          </w:p>
        </w:tc>
        <w:tc>
          <w:tcPr>
            <w:tcW w:w="2551" w:type="dxa"/>
            <w:vAlign w:val="center"/>
          </w:tcPr>
          <w:p>
            <w:pPr>
              <w:pStyle w:val="11"/>
            </w:pPr>
            <w:r>
              <w:t>36.94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28.85</w:t>
            </w:r>
          </w:p>
        </w:tc>
        <w:tc>
          <w:tcPr>
            <w:tcW w:w="2551" w:type="dxa"/>
            <w:vAlign w:val="center"/>
          </w:tcPr>
          <w:p>
            <w:pPr>
              <w:pStyle w:val="11"/>
            </w:pPr>
            <w:r>
              <w:t>28.85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8.09</w:t>
            </w:r>
          </w:p>
        </w:tc>
        <w:tc>
          <w:tcPr>
            <w:tcW w:w="2551" w:type="dxa"/>
            <w:vAlign w:val="center"/>
          </w:tcPr>
          <w:p>
            <w:pPr>
              <w:pStyle w:val="11"/>
            </w:pPr>
            <w:r>
              <w:t>8.09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5.62</w:t>
            </w:r>
          </w:p>
        </w:tc>
        <w:tc>
          <w:tcPr>
            <w:tcW w:w="2551" w:type="dxa"/>
            <w:vAlign w:val="center"/>
          </w:tcPr>
          <w:p>
            <w:pPr>
              <w:pStyle w:val="11"/>
            </w:pPr>
            <w:r>
              <w:t>5.62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5.62</w:t>
            </w:r>
          </w:p>
        </w:tc>
        <w:tc>
          <w:tcPr>
            <w:tcW w:w="2551" w:type="dxa"/>
            <w:vAlign w:val="center"/>
          </w:tcPr>
          <w:p>
            <w:pPr>
              <w:pStyle w:val="11"/>
            </w:pPr>
            <w:r>
              <w:t>5.62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3.04</w:t>
            </w:r>
          </w:p>
        </w:tc>
        <w:tc>
          <w:tcPr>
            <w:tcW w:w="2551" w:type="dxa"/>
            <w:vAlign w:val="center"/>
          </w:tcPr>
          <w:p>
            <w:pPr>
              <w:pStyle w:val="11"/>
            </w:pPr>
            <w:r>
              <w:t>3.04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2101103</w:t>
            </w:r>
          </w:p>
        </w:tc>
        <w:tc>
          <w:tcPr>
            <w:tcW w:w="4535" w:type="dxa"/>
            <w:vAlign w:val="center"/>
          </w:tcPr>
          <w:p>
            <w:pPr>
              <w:pStyle w:val="12"/>
            </w:pPr>
            <w:r>
              <w:t>公务员医疗补助</w:t>
            </w:r>
          </w:p>
        </w:tc>
        <w:tc>
          <w:tcPr>
            <w:tcW w:w="2551" w:type="dxa"/>
            <w:vAlign w:val="center"/>
          </w:tcPr>
          <w:p>
            <w:pPr>
              <w:pStyle w:val="11"/>
            </w:pPr>
            <w:r>
              <w:t>2.58</w:t>
            </w:r>
          </w:p>
        </w:tc>
        <w:tc>
          <w:tcPr>
            <w:tcW w:w="2551" w:type="dxa"/>
            <w:vAlign w:val="center"/>
          </w:tcPr>
          <w:p>
            <w:pPr>
              <w:pStyle w:val="11"/>
            </w:pPr>
            <w:r>
              <w:t>2.58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6.76</w:t>
            </w:r>
          </w:p>
        </w:tc>
        <w:tc>
          <w:tcPr>
            <w:tcW w:w="2551" w:type="dxa"/>
            <w:vAlign w:val="center"/>
          </w:tcPr>
          <w:p>
            <w:pPr>
              <w:pStyle w:val="11"/>
            </w:pPr>
            <w:r>
              <w:t>6.76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6.76</w:t>
            </w:r>
          </w:p>
        </w:tc>
        <w:tc>
          <w:tcPr>
            <w:tcW w:w="2551" w:type="dxa"/>
            <w:vAlign w:val="center"/>
          </w:tcPr>
          <w:p>
            <w:pPr>
              <w:pStyle w:val="11"/>
            </w:pPr>
            <w:r>
              <w:t>6.76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6.76</w:t>
            </w:r>
          </w:p>
        </w:tc>
        <w:tc>
          <w:tcPr>
            <w:tcW w:w="2551" w:type="dxa"/>
            <w:vAlign w:val="center"/>
          </w:tcPr>
          <w:p>
            <w:pPr>
              <w:pStyle w:val="11"/>
            </w:pPr>
            <w:r>
              <w:t>6.76</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714001正定县工商业联合会本级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119.55</w:t>
            </w:r>
          </w:p>
        </w:tc>
        <w:tc>
          <w:tcPr>
            <w:tcW w:w="2551" w:type="dxa"/>
            <w:vAlign w:val="center"/>
          </w:tcPr>
          <w:p>
            <w:pPr>
              <w:pStyle w:val="15"/>
            </w:pPr>
            <w:r>
              <w:t>110.12</w:t>
            </w:r>
          </w:p>
        </w:tc>
        <w:tc>
          <w:tcPr>
            <w:tcW w:w="2551" w:type="dxa"/>
            <w:vAlign w:val="center"/>
          </w:tcPr>
          <w:p>
            <w:pPr>
              <w:pStyle w:val="15"/>
            </w:pPr>
            <w:r>
              <w:t>9.43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81.27</w:t>
            </w:r>
          </w:p>
        </w:tc>
        <w:tc>
          <w:tcPr>
            <w:tcW w:w="2551" w:type="dxa"/>
            <w:vAlign w:val="center"/>
          </w:tcPr>
          <w:p>
            <w:pPr>
              <w:pStyle w:val="11"/>
            </w:pPr>
            <w:r>
              <w:t>81.27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24.93</w:t>
            </w:r>
          </w:p>
        </w:tc>
        <w:tc>
          <w:tcPr>
            <w:tcW w:w="2551" w:type="dxa"/>
            <w:vAlign w:val="center"/>
          </w:tcPr>
          <w:p>
            <w:pPr>
              <w:pStyle w:val="11"/>
            </w:pPr>
            <w:r>
              <w:t>24.93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16.95</w:t>
            </w:r>
          </w:p>
        </w:tc>
        <w:tc>
          <w:tcPr>
            <w:tcW w:w="2551" w:type="dxa"/>
            <w:vAlign w:val="center"/>
          </w:tcPr>
          <w:p>
            <w:pPr>
              <w:pStyle w:val="11"/>
            </w:pPr>
            <w:r>
              <w:t>16.95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18.72</w:t>
            </w:r>
          </w:p>
        </w:tc>
        <w:tc>
          <w:tcPr>
            <w:tcW w:w="2551" w:type="dxa"/>
            <w:vAlign w:val="center"/>
          </w:tcPr>
          <w:p>
            <w:pPr>
              <w:pStyle w:val="11"/>
            </w:pPr>
            <w:r>
              <w:t>18.72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8.09</w:t>
            </w:r>
          </w:p>
        </w:tc>
        <w:tc>
          <w:tcPr>
            <w:tcW w:w="2551" w:type="dxa"/>
            <w:vAlign w:val="center"/>
          </w:tcPr>
          <w:p>
            <w:pPr>
              <w:pStyle w:val="11"/>
            </w:pPr>
            <w:r>
              <w:t>8.09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3.04</w:t>
            </w:r>
          </w:p>
        </w:tc>
        <w:tc>
          <w:tcPr>
            <w:tcW w:w="2551" w:type="dxa"/>
            <w:vAlign w:val="center"/>
          </w:tcPr>
          <w:p>
            <w:pPr>
              <w:pStyle w:val="11"/>
            </w:pPr>
            <w:r>
              <w:t>3.04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2.58</w:t>
            </w:r>
          </w:p>
        </w:tc>
        <w:tc>
          <w:tcPr>
            <w:tcW w:w="2551" w:type="dxa"/>
            <w:vAlign w:val="center"/>
          </w:tcPr>
          <w:p>
            <w:pPr>
              <w:pStyle w:val="11"/>
            </w:pPr>
            <w:r>
              <w:t>2.58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0.20</w:t>
            </w:r>
          </w:p>
        </w:tc>
        <w:tc>
          <w:tcPr>
            <w:tcW w:w="2551" w:type="dxa"/>
            <w:vAlign w:val="center"/>
          </w:tcPr>
          <w:p>
            <w:pPr>
              <w:pStyle w:val="11"/>
            </w:pPr>
            <w:r>
              <w:t>0.20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6.76</w:t>
            </w:r>
          </w:p>
        </w:tc>
        <w:tc>
          <w:tcPr>
            <w:tcW w:w="2551" w:type="dxa"/>
            <w:vAlign w:val="center"/>
          </w:tcPr>
          <w:p>
            <w:pPr>
              <w:pStyle w:val="11"/>
            </w:pPr>
            <w:r>
              <w:t>6.76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9.43</w:t>
            </w:r>
          </w:p>
        </w:tc>
        <w:tc>
          <w:tcPr>
            <w:tcW w:w="2551" w:type="dxa"/>
            <w:vAlign w:val="center"/>
          </w:tcPr>
          <w:p>
            <w:pPr>
              <w:pStyle w:val="11"/>
            </w:pPr>
          </w:p>
        </w:tc>
        <w:tc>
          <w:tcPr>
            <w:tcW w:w="2551" w:type="dxa"/>
            <w:vAlign w:val="center"/>
          </w:tcPr>
          <w:p>
            <w:pPr>
              <w:pStyle w:val="11"/>
            </w:pPr>
            <w:r>
              <w:t>9.43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0.50</w:t>
            </w:r>
          </w:p>
        </w:tc>
        <w:tc>
          <w:tcPr>
            <w:tcW w:w="2551" w:type="dxa"/>
            <w:vAlign w:val="center"/>
          </w:tcPr>
          <w:p>
            <w:pPr>
              <w:pStyle w:val="11"/>
            </w:pPr>
          </w:p>
        </w:tc>
        <w:tc>
          <w:tcPr>
            <w:tcW w:w="2551"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30202</w:t>
            </w:r>
          </w:p>
        </w:tc>
        <w:tc>
          <w:tcPr>
            <w:tcW w:w="4535" w:type="dxa"/>
            <w:vAlign w:val="center"/>
          </w:tcPr>
          <w:p>
            <w:pPr>
              <w:pStyle w:val="12"/>
            </w:pPr>
            <w:r>
              <w:t>印刷费</w:t>
            </w:r>
          </w:p>
        </w:tc>
        <w:tc>
          <w:tcPr>
            <w:tcW w:w="2551" w:type="dxa"/>
            <w:vAlign w:val="center"/>
          </w:tcPr>
          <w:p>
            <w:pPr>
              <w:pStyle w:val="11"/>
            </w:pPr>
            <w:r>
              <w:t>0.44</w:t>
            </w:r>
          </w:p>
        </w:tc>
        <w:tc>
          <w:tcPr>
            <w:tcW w:w="2551" w:type="dxa"/>
            <w:vAlign w:val="center"/>
          </w:tcPr>
          <w:p>
            <w:pPr>
              <w:pStyle w:val="11"/>
            </w:pPr>
          </w:p>
        </w:tc>
        <w:tc>
          <w:tcPr>
            <w:tcW w:w="2551" w:type="dxa"/>
            <w:vAlign w:val="center"/>
          </w:tcPr>
          <w:p>
            <w:pPr>
              <w:pStyle w:val="11"/>
            </w:pPr>
            <w:r>
              <w:t>0.44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2.48</w:t>
            </w:r>
          </w:p>
        </w:tc>
        <w:tc>
          <w:tcPr>
            <w:tcW w:w="2551" w:type="dxa"/>
            <w:vAlign w:val="center"/>
          </w:tcPr>
          <w:p>
            <w:pPr>
              <w:pStyle w:val="11"/>
            </w:pPr>
          </w:p>
        </w:tc>
        <w:tc>
          <w:tcPr>
            <w:tcW w:w="2551" w:type="dxa"/>
            <w:vAlign w:val="center"/>
          </w:tcPr>
          <w:p>
            <w:pPr>
              <w:pStyle w:val="11"/>
            </w:pPr>
            <w:r>
              <w:t>2.48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0.60</w:t>
            </w:r>
          </w:p>
        </w:tc>
        <w:tc>
          <w:tcPr>
            <w:tcW w:w="2551" w:type="dxa"/>
            <w:vAlign w:val="center"/>
          </w:tcPr>
          <w:p>
            <w:pPr>
              <w:pStyle w:val="11"/>
            </w:pPr>
          </w:p>
        </w:tc>
        <w:tc>
          <w:tcPr>
            <w:tcW w:w="2551" w:type="dxa"/>
            <w:vAlign w:val="center"/>
          </w:tcPr>
          <w:p>
            <w:pPr>
              <w:pStyle w:val="11"/>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0.80</w:t>
            </w:r>
          </w:p>
        </w:tc>
        <w:tc>
          <w:tcPr>
            <w:tcW w:w="2551" w:type="dxa"/>
            <w:vAlign w:val="center"/>
          </w:tcPr>
          <w:p>
            <w:pPr>
              <w:pStyle w:val="11"/>
            </w:pPr>
          </w:p>
        </w:tc>
        <w:tc>
          <w:tcPr>
            <w:tcW w:w="2551" w:type="dxa"/>
            <w:vAlign w:val="center"/>
          </w:tcPr>
          <w:p>
            <w:pPr>
              <w:pStyle w:val="11"/>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3.42</w:t>
            </w:r>
          </w:p>
        </w:tc>
        <w:tc>
          <w:tcPr>
            <w:tcW w:w="2551" w:type="dxa"/>
            <w:vAlign w:val="center"/>
          </w:tcPr>
          <w:p>
            <w:pPr>
              <w:pStyle w:val="11"/>
            </w:pPr>
          </w:p>
        </w:tc>
        <w:tc>
          <w:tcPr>
            <w:tcW w:w="2551" w:type="dxa"/>
            <w:vAlign w:val="center"/>
          </w:tcPr>
          <w:p>
            <w:pPr>
              <w:pStyle w:val="11"/>
            </w:pPr>
            <w:r>
              <w:t>3.42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1.19</w:t>
            </w:r>
          </w:p>
        </w:tc>
        <w:tc>
          <w:tcPr>
            <w:tcW w:w="2551" w:type="dxa"/>
            <w:vAlign w:val="center"/>
          </w:tcPr>
          <w:p>
            <w:pPr>
              <w:pStyle w:val="11"/>
            </w:pPr>
          </w:p>
        </w:tc>
        <w:tc>
          <w:tcPr>
            <w:tcW w:w="2551" w:type="dxa"/>
            <w:vAlign w:val="center"/>
          </w:tcPr>
          <w:p>
            <w:pPr>
              <w:pStyle w:val="11"/>
            </w:pPr>
            <w:r>
              <w:t>1.19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28.85</w:t>
            </w:r>
          </w:p>
        </w:tc>
        <w:tc>
          <w:tcPr>
            <w:tcW w:w="2551" w:type="dxa"/>
            <w:vAlign w:val="center"/>
          </w:tcPr>
          <w:p>
            <w:pPr>
              <w:pStyle w:val="11"/>
            </w:pPr>
            <w:r>
              <w:t>28.85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28.85</w:t>
            </w:r>
          </w:p>
        </w:tc>
        <w:tc>
          <w:tcPr>
            <w:tcW w:w="2551" w:type="dxa"/>
            <w:vAlign w:val="center"/>
          </w:tcPr>
          <w:p>
            <w:pPr>
              <w:pStyle w:val="11"/>
            </w:pPr>
            <w:r>
              <w:t>28.85</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714001正定县工商业联合会本级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714001正定县工商业联合会本级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714001正定县工商业联合会本级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正定县工商业联合会本级2026年单位预算信息公开情况说明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按照《中华人民共和国预算法》、《地方预决算公开操作规程》和《关于进一步推进预算公开工作的实施意见》规定，现将正定县工商业联合会本级2026年单位预算公开如下：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（一）负责宣传、贯彻党和国家的方针政策，加强和改进思想政治工作，提倡爱国、敬业、守法，做好工商界代表人士的推荐工作。</w:t>
      </w:r>
    </w:p>
    <w:p>
      <w:pPr>
        <w:pStyle w:val="17"/>
      </w:pPr>
      <w:r>
        <w:t>（二）负责参与全县大政方针及政治、经济、社会生活中的重要问题的政治协商，发挥民主监督的作用。代表并维护会员的合法权益，反映会员的意见、要求和建议。</w:t>
      </w:r>
    </w:p>
    <w:p>
      <w:pPr>
        <w:pStyle w:val="17"/>
      </w:pPr>
      <w:r>
        <w:t>（三）负责开展工商专业培训，帮助会员改进经营管理，完善财会管理，提高生产技术和产品质量。负责为会员提供信息和科技、管理、法律、会计、审计、融资、咨询等服务，引导会员积极参加经济建设。</w:t>
      </w:r>
    </w:p>
    <w:p>
      <w:pPr>
        <w:pStyle w:val="17"/>
      </w:pPr>
      <w:r>
        <w:t>（四）负责组织会员举办和参加各种对内对外经济技术交流，促进与世界各国工商社团及工商界人士的联系和友谊，协助引进资金、技术、人才。</w:t>
      </w:r>
    </w:p>
    <w:p>
      <w:pPr>
        <w:pStyle w:val="17"/>
      </w:pPr>
      <w:r>
        <w:t>（五）负责引导会员弘扬中华民族传统美德，热心社会公益事业。</w:t>
      </w:r>
    </w:p>
    <w:p>
      <w:pPr>
        <w:pStyle w:val="17"/>
      </w:pPr>
      <w:r>
        <w:t>（六）负责为会员提供有关证明，协调关系，调解经济纠纷。</w:t>
      </w:r>
    </w:p>
    <w:p>
      <w:pPr>
        <w:pStyle w:val="17"/>
      </w:pPr>
      <w:r>
        <w:t>（七）负责办好会办企业、事业。</w:t>
      </w:r>
    </w:p>
    <w:p>
      <w:pPr>
        <w:pStyle w:val="17"/>
      </w:pPr>
      <w:r>
        <w:t>（八）承办有关部门委托事项。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正定县工商业联合会本级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123.05万元，其中：一般公共预算收入123.05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正定县工商业联合会本级年度单位预算中支出预算的总体情况。2026年支出预算123.05万元，其中基本支出119.55万元，包括人员经费110.12万元和日常公用经费9.43万元；项目支出3.50万元，主要为主要为组织开展非公经济人士理想信念教育活动、开展座谈培训，共计0.67万元；保障日常工作正常运转、学习资料及印刷，维护设备等共计1.33万元；开展友好商会交流和会员考察活动共计1.5万元；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2026年预算收支安排123.05万元，较2025年预算增加6.49万元，其中：基本支出增加6.49万元，主要为机关人员工资调标，增加工资费用。项目支出增加0.00万元，主要为项目支出无变化。</w:t>
      </w:r>
    </w:p>
    <w:p>
      <w:pPr>
        <w:pStyle w:val="18"/>
      </w:pPr>
      <w:r>
        <w:t>。预计下年使用的单位资金结余增加0.00万元。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2"/>
      </w:pPr>
      <w:r>
        <w:t>202</w:t>
      </w:r>
      <w:r>
        <w:rPr>
          <w:rFonts w:hint="eastAsia"/>
          <w:lang w:val="en-US" w:eastAsia="zh-CN"/>
        </w:rPr>
        <w:t>6</w:t>
      </w:r>
      <w:r>
        <w:t>年，我部门机关运行经费共计安排9.</w:t>
      </w:r>
      <w:r>
        <w:rPr>
          <w:rFonts w:hint="eastAsia"/>
          <w:lang w:val="en-US" w:eastAsia="zh-CN"/>
        </w:rPr>
        <w:t>43</w:t>
      </w:r>
      <w:r>
        <w:t>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3"/>
      </w:pPr>
      <w:r>
        <w:t>202</w:t>
      </w:r>
      <w:r>
        <w:rPr>
          <w:rFonts w:hint="eastAsia"/>
          <w:lang w:val="en-US" w:eastAsia="zh-CN"/>
        </w:rPr>
        <w:t>6</w:t>
      </w:r>
      <w:r>
        <w:t>年，我部门财政拨款“三公”经费预算安排0.00万元，其中因公出国（境）费0.00万元；公务用车购置及运维费0.00万元（其中：公务用车购置费为0.00万元，公务用车运维费0.00万元)；公务接待费0.00万元。与202</w:t>
      </w:r>
      <w:r>
        <w:rPr>
          <w:rFonts w:hint="eastAsia"/>
          <w:lang w:val="en-US" w:eastAsia="zh-CN"/>
        </w:rPr>
        <w:t>5</w:t>
      </w:r>
      <w:r>
        <w:t>年相比增加0.00万元，增减变化的主要原因是我部门202</w:t>
      </w:r>
      <w:r>
        <w:rPr>
          <w:rFonts w:hint="eastAsia"/>
          <w:lang w:val="en-US" w:eastAsia="zh-CN"/>
        </w:rPr>
        <w:t>6</w:t>
      </w:r>
      <w:r>
        <w:t>年“三公”经费预算与202</w:t>
      </w:r>
      <w:r>
        <w:rPr>
          <w:rFonts w:hint="eastAsia"/>
          <w:lang w:val="en-US" w:eastAsia="zh-CN"/>
        </w:rPr>
        <w:t>5</w:t>
      </w:r>
      <w:r>
        <w:t>年相持平。</w:t>
      </w:r>
    </w:p>
    <w:p>
      <w:pPr>
        <w:spacing w:before="10" w:after="10" w:line="240" w:lineRule="auto"/>
        <w:ind w:firstLine="640"/>
        <w:jc w:val="left"/>
        <w:outlineLvl w:val="5"/>
        <w:sectPr>
          <w:pgSz w:w="16840" w:h="11900" w:orient="landscape"/>
          <w:pgMar w:top="1361" w:right="1020" w:bottom="1361" w:left="1020" w:header="720" w:footer="720" w:gutter="0"/>
        </w:sectPr>
      </w:pPr>
      <w:bookmarkStart w:id="1" w:name="_GoBack"/>
      <w:bookmarkEnd w:id="1"/>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1、非公经济人士理想信念教育、培训座谈会经费绩效目标表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13012326P005J7J101568</w:t>
            </w:r>
          </w:p>
        </w:tc>
        <w:tc>
          <w:tcPr>
            <w:tcW w:w="2835" w:type="dxa"/>
            <w:vAlign w:val="center"/>
          </w:tcPr>
          <w:p>
            <w:pPr>
              <w:pStyle w:val="10"/>
            </w:pPr>
            <w:r>
              <w:t>项目名称</w:t>
            </w:r>
          </w:p>
        </w:tc>
        <w:tc>
          <w:tcPr>
            <w:tcW w:w="6095" w:type="dxa"/>
            <w:gridSpan w:val="3"/>
            <w:vAlign w:val="center"/>
          </w:tcPr>
          <w:p>
            <w:pPr>
              <w:pStyle w:val="12"/>
            </w:pPr>
            <w:r>
              <w:t>非公经济人士理想信念教育、培训座谈会经费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0.67</w:t>
            </w:r>
          </w:p>
        </w:tc>
        <w:tc>
          <w:tcPr>
            <w:tcW w:w="2835" w:type="dxa"/>
            <w:vAlign w:val="center"/>
          </w:tcPr>
          <w:p>
            <w:pPr>
              <w:pStyle w:val="10"/>
            </w:pPr>
            <w:r>
              <w:t>其中：财政    资金</w:t>
            </w:r>
          </w:p>
        </w:tc>
        <w:tc>
          <w:tcPr>
            <w:tcW w:w="2551" w:type="dxa"/>
            <w:vAlign w:val="center"/>
          </w:tcPr>
          <w:p>
            <w:pPr>
              <w:pStyle w:val="12"/>
            </w:pPr>
            <w:r>
              <w:t>0.67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按照《深入开展理想信念教育实践活动》的要求，以“守法诚信、坚定信念”为重点，继续深入开展非公有制经济人士理想信念教育实践活动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1.非公经济人士理想信念更加坚定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举办座谈会次数</w:t>
            </w:r>
          </w:p>
        </w:tc>
        <w:tc>
          <w:tcPr>
            <w:tcW w:w="5386" w:type="dxa"/>
            <w:vAlign w:val="center"/>
          </w:tcPr>
          <w:p>
            <w:pPr>
              <w:pStyle w:val="12"/>
            </w:pPr>
            <w:r>
              <w:t>举办非公经济人士座谈会次数</w:t>
            </w:r>
          </w:p>
        </w:tc>
        <w:tc>
          <w:tcPr>
            <w:tcW w:w="2268" w:type="dxa"/>
            <w:vAlign w:val="center"/>
          </w:tcPr>
          <w:p>
            <w:pPr>
              <w:pStyle w:val="12"/>
            </w:pPr>
            <w:r>
              <w:t>≥1</w:t>
            </w:r>
          </w:p>
        </w:tc>
        <w:tc>
          <w:tcPr>
            <w:tcW w:w="1276" w:type="dxa"/>
            <w:vAlign w:val="center"/>
          </w:tcPr>
          <w:p>
            <w:pPr>
              <w:pStyle w:val="12"/>
            </w:pPr>
            <w:r>
              <w:t>历史经验标准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新会员培训合格率</w:t>
            </w:r>
          </w:p>
        </w:tc>
        <w:tc>
          <w:tcPr>
            <w:tcW w:w="5386" w:type="dxa"/>
            <w:vAlign w:val="center"/>
          </w:tcPr>
          <w:p>
            <w:pPr>
              <w:pStyle w:val="12"/>
            </w:pPr>
            <w:r>
              <w:t>新会员培训合格率</w:t>
            </w:r>
          </w:p>
        </w:tc>
        <w:tc>
          <w:tcPr>
            <w:tcW w:w="2268" w:type="dxa"/>
            <w:vAlign w:val="center"/>
          </w:tcPr>
          <w:p>
            <w:pPr>
              <w:pStyle w:val="12"/>
            </w:pPr>
            <w:r>
              <w:t>≥95</w:t>
            </w:r>
          </w:p>
        </w:tc>
        <w:tc>
          <w:tcPr>
            <w:tcW w:w="1276" w:type="dxa"/>
            <w:vAlign w:val="center"/>
          </w:tcPr>
          <w:p>
            <w:pPr>
              <w:pStyle w:val="12"/>
            </w:pPr>
            <w:r>
              <w:t>历史经验标准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服务完成度</w:t>
            </w:r>
          </w:p>
        </w:tc>
        <w:tc>
          <w:tcPr>
            <w:tcW w:w="5386" w:type="dxa"/>
            <w:vAlign w:val="center"/>
          </w:tcPr>
          <w:p>
            <w:pPr>
              <w:pStyle w:val="12"/>
            </w:pPr>
            <w:r>
              <w:t>服务完成度</w:t>
            </w:r>
          </w:p>
        </w:tc>
        <w:tc>
          <w:tcPr>
            <w:tcW w:w="2268" w:type="dxa"/>
            <w:vAlign w:val="center"/>
          </w:tcPr>
          <w:p>
            <w:pPr>
              <w:pStyle w:val="12"/>
            </w:pPr>
            <w:r>
              <w:t>≥95</w:t>
            </w:r>
          </w:p>
        </w:tc>
        <w:tc>
          <w:tcPr>
            <w:tcW w:w="1276" w:type="dxa"/>
            <w:vAlign w:val="center"/>
          </w:tcPr>
          <w:p>
            <w:pPr>
              <w:pStyle w:val="12"/>
            </w:pPr>
            <w:r>
              <w:t>历史经验标准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合理使用经费</w:t>
            </w:r>
          </w:p>
        </w:tc>
        <w:tc>
          <w:tcPr>
            <w:tcW w:w="5386" w:type="dxa"/>
            <w:vAlign w:val="center"/>
          </w:tcPr>
          <w:p>
            <w:pPr>
              <w:pStyle w:val="12"/>
            </w:pPr>
            <w:r>
              <w:t>合理使用经费</w:t>
            </w:r>
          </w:p>
        </w:tc>
        <w:tc>
          <w:tcPr>
            <w:tcW w:w="2268" w:type="dxa"/>
            <w:vAlign w:val="center"/>
          </w:tcPr>
          <w:p>
            <w:pPr>
              <w:pStyle w:val="12"/>
            </w:pPr>
            <w:r>
              <w:t>经费得到合理支出</w:t>
            </w:r>
          </w:p>
        </w:tc>
        <w:tc>
          <w:tcPr>
            <w:tcW w:w="1276" w:type="dxa"/>
            <w:vAlign w:val="center"/>
          </w:tcPr>
          <w:p>
            <w:pPr>
              <w:pStyle w:val="12"/>
            </w:pPr>
            <w:r>
              <w:t>历史经验标准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得到广大民营企业家的充分认可</w:t>
            </w:r>
          </w:p>
        </w:tc>
        <w:tc>
          <w:tcPr>
            <w:tcW w:w="2268" w:type="dxa"/>
            <w:vAlign w:val="center"/>
          </w:tcPr>
          <w:p>
            <w:pPr>
              <w:pStyle w:val="12"/>
            </w:pPr>
            <w:r>
              <w:t>得到广大民营企业家的充分认可</w:t>
            </w:r>
          </w:p>
        </w:tc>
        <w:tc>
          <w:tcPr>
            <w:tcW w:w="1276" w:type="dxa"/>
            <w:vAlign w:val="center"/>
          </w:tcPr>
          <w:p>
            <w:pPr>
              <w:pStyle w:val="12"/>
            </w:pPr>
            <w:r>
              <w:t>历史经验标准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民营经济活力得到提高</w:t>
            </w:r>
          </w:p>
        </w:tc>
        <w:tc>
          <w:tcPr>
            <w:tcW w:w="5386" w:type="dxa"/>
            <w:vAlign w:val="center"/>
          </w:tcPr>
          <w:p>
            <w:pPr>
              <w:pStyle w:val="12"/>
            </w:pPr>
            <w:r>
              <w:t>民营经济活力得到提高</w:t>
            </w:r>
          </w:p>
        </w:tc>
        <w:tc>
          <w:tcPr>
            <w:tcW w:w="2268" w:type="dxa"/>
            <w:vAlign w:val="center"/>
          </w:tcPr>
          <w:p>
            <w:pPr>
              <w:pStyle w:val="12"/>
            </w:pPr>
            <w:r>
              <w:t>民营经济活力得到提高</w:t>
            </w:r>
          </w:p>
        </w:tc>
        <w:tc>
          <w:tcPr>
            <w:tcW w:w="1276" w:type="dxa"/>
            <w:vAlign w:val="center"/>
          </w:tcPr>
          <w:p>
            <w:pPr>
              <w:pStyle w:val="12"/>
            </w:pPr>
            <w:r>
              <w:t>历史经验标准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不产生生态影响</w:t>
            </w:r>
          </w:p>
        </w:tc>
        <w:tc>
          <w:tcPr>
            <w:tcW w:w="5386" w:type="dxa"/>
            <w:vAlign w:val="center"/>
          </w:tcPr>
          <w:p>
            <w:pPr>
              <w:pStyle w:val="12"/>
            </w:pPr>
            <w:r>
              <w:t>不产生生态影响</w:t>
            </w:r>
          </w:p>
        </w:tc>
        <w:tc>
          <w:tcPr>
            <w:tcW w:w="2268" w:type="dxa"/>
            <w:vAlign w:val="center"/>
          </w:tcPr>
          <w:p>
            <w:pPr>
              <w:pStyle w:val="12"/>
            </w:pPr>
            <w:r>
              <w:t>不产生生态影响</w:t>
            </w:r>
          </w:p>
        </w:tc>
        <w:tc>
          <w:tcPr>
            <w:tcW w:w="1276" w:type="dxa"/>
            <w:vAlign w:val="center"/>
          </w:tcPr>
          <w:p>
            <w:pPr>
              <w:pStyle w:val="12"/>
            </w:pPr>
            <w:r>
              <w:t>历史经验标准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民营经济健康发展</w:t>
            </w:r>
          </w:p>
        </w:tc>
        <w:tc>
          <w:tcPr>
            <w:tcW w:w="5386" w:type="dxa"/>
            <w:vAlign w:val="center"/>
          </w:tcPr>
          <w:p>
            <w:pPr>
              <w:pStyle w:val="12"/>
            </w:pPr>
            <w:r>
              <w:t>民营经济健康发展</w:t>
            </w:r>
          </w:p>
        </w:tc>
        <w:tc>
          <w:tcPr>
            <w:tcW w:w="2268" w:type="dxa"/>
            <w:vAlign w:val="center"/>
          </w:tcPr>
          <w:p>
            <w:pPr>
              <w:pStyle w:val="12"/>
            </w:pPr>
            <w:r>
              <w:t>民营经济健康发展</w:t>
            </w:r>
          </w:p>
        </w:tc>
        <w:tc>
          <w:tcPr>
            <w:tcW w:w="1276" w:type="dxa"/>
            <w:vAlign w:val="center"/>
          </w:tcPr>
          <w:p>
            <w:pPr>
              <w:pStyle w:val="12"/>
            </w:pPr>
            <w:r>
              <w:t>历史经验标准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反映满意的评价占总评价的比率</w:t>
            </w:r>
          </w:p>
        </w:tc>
        <w:tc>
          <w:tcPr>
            <w:tcW w:w="2268" w:type="dxa"/>
            <w:vAlign w:val="center"/>
          </w:tcPr>
          <w:p>
            <w:pPr>
              <w:pStyle w:val="12"/>
            </w:pPr>
            <w:r>
              <w:t>≥95</w:t>
            </w:r>
          </w:p>
        </w:tc>
        <w:tc>
          <w:tcPr>
            <w:tcW w:w="1276" w:type="dxa"/>
            <w:vAlign w:val="center"/>
          </w:tcPr>
          <w:p>
            <w:pPr>
              <w:pStyle w:val="12"/>
            </w:pPr>
            <w:r>
              <w:t>历史经验标准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2、工商联机关综合保障经费绩效目标表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13012326P005J7J10157U</w:t>
            </w:r>
          </w:p>
        </w:tc>
        <w:tc>
          <w:tcPr>
            <w:tcW w:w="2835" w:type="dxa"/>
            <w:vAlign w:val="center"/>
          </w:tcPr>
          <w:p>
            <w:pPr>
              <w:pStyle w:val="10"/>
            </w:pPr>
            <w:r>
              <w:t>项目名称</w:t>
            </w:r>
          </w:p>
        </w:tc>
        <w:tc>
          <w:tcPr>
            <w:tcW w:w="6095" w:type="dxa"/>
            <w:gridSpan w:val="3"/>
            <w:vAlign w:val="center"/>
          </w:tcPr>
          <w:p>
            <w:pPr>
              <w:pStyle w:val="12"/>
            </w:pPr>
            <w:r>
              <w:t>工商联机关综合保障经费</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1.33</w:t>
            </w:r>
          </w:p>
        </w:tc>
        <w:tc>
          <w:tcPr>
            <w:tcW w:w="2835" w:type="dxa"/>
            <w:vAlign w:val="center"/>
          </w:tcPr>
          <w:p>
            <w:pPr>
              <w:pStyle w:val="10"/>
            </w:pPr>
            <w:r>
              <w:t>其中：财政    资金</w:t>
            </w:r>
          </w:p>
        </w:tc>
        <w:tc>
          <w:tcPr>
            <w:tcW w:w="2551" w:type="dxa"/>
            <w:vAlign w:val="center"/>
          </w:tcPr>
          <w:p>
            <w:pPr>
              <w:pStyle w:val="12"/>
            </w:pPr>
            <w:r>
              <w:t>1.33</w:t>
            </w:r>
          </w:p>
        </w:tc>
        <w:tc>
          <w:tcPr>
            <w:tcW w:w="2268" w:type="dxa"/>
            <w:vAlign w:val="center"/>
          </w:tcPr>
          <w:p>
            <w:pPr>
              <w:pStyle w:val="10"/>
            </w:pPr>
            <w:r>
              <w:t>其他资金</w:t>
            </w:r>
          </w:p>
        </w:tc>
        <w:tc>
          <w:tcPr>
            <w:tcW w:w="1276" w:type="dxa"/>
            <w:vAlign w:val="center"/>
          </w:tcPr>
          <w:p>
            <w:pPr>
              <w:pStyle w:val="12"/>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保证工商联日常工作正常运转，以及负责档案、信息、机关各类财务、机要、保密、安全保卫、固定资产等管理和后勤保障工作的有序进行</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1.工商联日常工作正常运转，以及负责档案、信息、机关各类财务、机要、保密、安全保卫、固定资产等管理和后勤保障工作的有序进行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购买办公用品数量</w:t>
            </w:r>
          </w:p>
        </w:tc>
        <w:tc>
          <w:tcPr>
            <w:tcW w:w="5386" w:type="dxa"/>
            <w:vAlign w:val="center"/>
          </w:tcPr>
          <w:p>
            <w:pPr>
              <w:pStyle w:val="12"/>
            </w:pPr>
            <w:r>
              <w:t>购买办公用品数量</w:t>
            </w:r>
          </w:p>
        </w:tc>
        <w:tc>
          <w:tcPr>
            <w:tcW w:w="2268" w:type="dxa"/>
            <w:vAlign w:val="center"/>
          </w:tcPr>
          <w:p>
            <w:pPr>
              <w:pStyle w:val="12"/>
            </w:pPr>
            <w:r>
              <w:t>≥1</w:t>
            </w:r>
          </w:p>
        </w:tc>
        <w:tc>
          <w:tcPr>
            <w:tcW w:w="1276" w:type="dxa"/>
            <w:vAlign w:val="center"/>
          </w:tcPr>
          <w:p>
            <w:pPr>
              <w:pStyle w:val="12"/>
            </w:pPr>
            <w:r>
              <w:t>历史经验标准</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综合事务工作完成情况</w:t>
            </w:r>
          </w:p>
        </w:tc>
        <w:tc>
          <w:tcPr>
            <w:tcW w:w="5386" w:type="dxa"/>
            <w:vAlign w:val="center"/>
          </w:tcPr>
          <w:p>
            <w:pPr>
              <w:pStyle w:val="12"/>
            </w:pPr>
            <w:r>
              <w:t>综合事务工作完成情况</w:t>
            </w:r>
          </w:p>
        </w:tc>
        <w:tc>
          <w:tcPr>
            <w:tcW w:w="2268" w:type="dxa"/>
            <w:vAlign w:val="center"/>
          </w:tcPr>
          <w:p>
            <w:pPr>
              <w:pStyle w:val="12"/>
            </w:pPr>
            <w:r>
              <w:t>≥95</w:t>
            </w:r>
          </w:p>
        </w:tc>
        <w:tc>
          <w:tcPr>
            <w:tcW w:w="1276" w:type="dxa"/>
            <w:vAlign w:val="center"/>
          </w:tcPr>
          <w:p>
            <w:pPr>
              <w:pStyle w:val="12"/>
            </w:pPr>
            <w:r>
              <w:t>历史经验标准</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各项工作完成及时率</w:t>
            </w:r>
          </w:p>
        </w:tc>
        <w:tc>
          <w:tcPr>
            <w:tcW w:w="5386" w:type="dxa"/>
            <w:vAlign w:val="center"/>
          </w:tcPr>
          <w:p>
            <w:pPr>
              <w:pStyle w:val="12"/>
            </w:pPr>
            <w:r>
              <w:t>各项工作完成及时率</w:t>
            </w:r>
          </w:p>
        </w:tc>
        <w:tc>
          <w:tcPr>
            <w:tcW w:w="2268" w:type="dxa"/>
            <w:vAlign w:val="center"/>
          </w:tcPr>
          <w:p>
            <w:pPr>
              <w:pStyle w:val="12"/>
            </w:pPr>
            <w:r>
              <w:t>≥95</w:t>
            </w:r>
          </w:p>
        </w:tc>
        <w:tc>
          <w:tcPr>
            <w:tcW w:w="1276" w:type="dxa"/>
            <w:vAlign w:val="center"/>
          </w:tcPr>
          <w:p>
            <w:pPr>
              <w:pStyle w:val="12"/>
            </w:pPr>
            <w:r>
              <w:t>历史经验标准</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合理使用经费</w:t>
            </w:r>
          </w:p>
        </w:tc>
        <w:tc>
          <w:tcPr>
            <w:tcW w:w="5386" w:type="dxa"/>
            <w:vAlign w:val="center"/>
          </w:tcPr>
          <w:p>
            <w:pPr>
              <w:pStyle w:val="12"/>
            </w:pPr>
            <w:r>
              <w:t>合理使用经费</w:t>
            </w:r>
          </w:p>
        </w:tc>
        <w:tc>
          <w:tcPr>
            <w:tcW w:w="2268" w:type="dxa"/>
            <w:vAlign w:val="center"/>
          </w:tcPr>
          <w:p>
            <w:pPr>
              <w:pStyle w:val="12"/>
            </w:pPr>
            <w:r>
              <w:t>经费使用情况</w:t>
            </w:r>
          </w:p>
        </w:tc>
        <w:tc>
          <w:tcPr>
            <w:tcW w:w="1276" w:type="dxa"/>
            <w:vAlign w:val="center"/>
          </w:tcPr>
          <w:p>
            <w:pPr>
              <w:pStyle w:val="12"/>
            </w:pPr>
            <w:r>
              <w:t>历史经验标准</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得到广大干部群众的充分认可</w:t>
            </w:r>
          </w:p>
        </w:tc>
        <w:tc>
          <w:tcPr>
            <w:tcW w:w="2268" w:type="dxa"/>
            <w:vAlign w:val="center"/>
          </w:tcPr>
          <w:p>
            <w:pPr>
              <w:pStyle w:val="12"/>
            </w:pPr>
            <w:r>
              <w:t>得到广大干部群众的充分认可</w:t>
            </w:r>
          </w:p>
        </w:tc>
        <w:tc>
          <w:tcPr>
            <w:tcW w:w="1276" w:type="dxa"/>
            <w:vAlign w:val="center"/>
          </w:tcPr>
          <w:p>
            <w:pPr>
              <w:pStyle w:val="12"/>
            </w:pPr>
            <w:r>
              <w:t>历史经验标准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机关正常运转</w:t>
            </w:r>
          </w:p>
        </w:tc>
        <w:tc>
          <w:tcPr>
            <w:tcW w:w="5386" w:type="dxa"/>
            <w:vAlign w:val="center"/>
          </w:tcPr>
          <w:p>
            <w:pPr>
              <w:pStyle w:val="12"/>
            </w:pPr>
            <w:r>
              <w:t>机关正常运转</w:t>
            </w:r>
          </w:p>
        </w:tc>
        <w:tc>
          <w:tcPr>
            <w:tcW w:w="2268" w:type="dxa"/>
            <w:vAlign w:val="center"/>
          </w:tcPr>
          <w:p>
            <w:pPr>
              <w:pStyle w:val="12"/>
            </w:pPr>
            <w:r>
              <w:t>机关正常运转</w:t>
            </w:r>
          </w:p>
        </w:tc>
        <w:tc>
          <w:tcPr>
            <w:tcW w:w="1276" w:type="dxa"/>
            <w:vAlign w:val="center"/>
          </w:tcPr>
          <w:p>
            <w:pPr>
              <w:pStyle w:val="12"/>
            </w:pPr>
            <w:r>
              <w:t>历史经验标准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不产生生态影响</w:t>
            </w:r>
          </w:p>
        </w:tc>
        <w:tc>
          <w:tcPr>
            <w:tcW w:w="5386" w:type="dxa"/>
            <w:vAlign w:val="center"/>
          </w:tcPr>
          <w:p>
            <w:pPr>
              <w:pStyle w:val="12"/>
            </w:pPr>
            <w:r>
              <w:t>不产生生态影响</w:t>
            </w:r>
          </w:p>
        </w:tc>
        <w:tc>
          <w:tcPr>
            <w:tcW w:w="2268" w:type="dxa"/>
            <w:vAlign w:val="center"/>
          </w:tcPr>
          <w:p>
            <w:pPr>
              <w:pStyle w:val="12"/>
            </w:pPr>
            <w:r>
              <w:t>不产生生态影响</w:t>
            </w:r>
          </w:p>
        </w:tc>
        <w:tc>
          <w:tcPr>
            <w:tcW w:w="1276" w:type="dxa"/>
            <w:vAlign w:val="center"/>
          </w:tcPr>
          <w:p>
            <w:pPr>
              <w:pStyle w:val="12"/>
            </w:pPr>
            <w:r>
              <w:t>历史经验标准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机关运转有序</w:t>
            </w:r>
          </w:p>
        </w:tc>
        <w:tc>
          <w:tcPr>
            <w:tcW w:w="5386" w:type="dxa"/>
            <w:vAlign w:val="center"/>
          </w:tcPr>
          <w:p>
            <w:pPr>
              <w:pStyle w:val="12"/>
            </w:pPr>
            <w:r>
              <w:t>机关运转有序</w:t>
            </w:r>
          </w:p>
        </w:tc>
        <w:tc>
          <w:tcPr>
            <w:tcW w:w="2268" w:type="dxa"/>
            <w:vAlign w:val="center"/>
          </w:tcPr>
          <w:p>
            <w:pPr>
              <w:pStyle w:val="12"/>
            </w:pPr>
            <w:r>
              <w:t>机关运转有序</w:t>
            </w:r>
          </w:p>
        </w:tc>
        <w:tc>
          <w:tcPr>
            <w:tcW w:w="1276" w:type="dxa"/>
            <w:vAlign w:val="center"/>
          </w:tcPr>
          <w:p>
            <w:pPr>
              <w:pStyle w:val="12"/>
            </w:pPr>
            <w:r>
              <w:t>历史经验标准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反映满意的评价占评价总数的比率</w:t>
            </w:r>
          </w:p>
        </w:tc>
        <w:tc>
          <w:tcPr>
            <w:tcW w:w="2268" w:type="dxa"/>
            <w:vAlign w:val="center"/>
          </w:tcPr>
          <w:p>
            <w:pPr>
              <w:pStyle w:val="12"/>
            </w:pPr>
            <w:r>
              <w:t>≥95</w:t>
            </w:r>
          </w:p>
        </w:tc>
        <w:tc>
          <w:tcPr>
            <w:tcW w:w="1276" w:type="dxa"/>
            <w:vAlign w:val="center"/>
          </w:tcPr>
          <w:p>
            <w:pPr>
              <w:pStyle w:val="12"/>
            </w:pPr>
            <w:r>
              <w:t>历史经验标准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3、开展友好商会交流学习和会员考察活动经费绩效目标表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13012326P005J7J10158F</w:t>
            </w:r>
          </w:p>
        </w:tc>
        <w:tc>
          <w:tcPr>
            <w:tcW w:w="2835" w:type="dxa"/>
            <w:vAlign w:val="center"/>
          </w:tcPr>
          <w:p>
            <w:pPr>
              <w:pStyle w:val="10"/>
            </w:pPr>
            <w:r>
              <w:t>项目名称</w:t>
            </w:r>
          </w:p>
        </w:tc>
        <w:tc>
          <w:tcPr>
            <w:tcW w:w="6095" w:type="dxa"/>
            <w:gridSpan w:val="3"/>
            <w:vAlign w:val="center"/>
          </w:tcPr>
          <w:p>
            <w:pPr>
              <w:pStyle w:val="12"/>
            </w:pPr>
            <w:r>
              <w:t>开展友好商会交流学习和会员考察活动经费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w:t>
            </w:r>
          </w:p>
        </w:tc>
        <w:tc>
          <w:tcPr>
            <w:tcW w:w="2835" w:type="dxa"/>
            <w:vAlign w:val="center"/>
          </w:tcPr>
          <w:p>
            <w:pPr>
              <w:pStyle w:val="10"/>
            </w:pPr>
            <w:r>
              <w:t>其中：财政    资金</w:t>
            </w:r>
          </w:p>
        </w:tc>
        <w:tc>
          <w:tcPr>
            <w:tcW w:w="2551" w:type="dxa"/>
            <w:vAlign w:val="center"/>
          </w:tcPr>
          <w:p>
            <w:pPr>
              <w:pStyle w:val="12"/>
            </w:pPr>
            <w:r>
              <w:t>1.50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组织会员举办和参加各种对内对外经济技术交流，促进与世界各国工商社团及工商界人士的联系和友谊，协助引进资金、技术、人才。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1.商会活动丰富、及时有序，与各友好商会沟通交流顺畅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银企对接会的次数</w:t>
            </w:r>
          </w:p>
        </w:tc>
        <w:tc>
          <w:tcPr>
            <w:tcW w:w="5386" w:type="dxa"/>
            <w:vAlign w:val="center"/>
          </w:tcPr>
          <w:p>
            <w:pPr>
              <w:pStyle w:val="12"/>
            </w:pPr>
            <w:r>
              <w:t>开展银企对接会的次数</w:t>
            </w:r>
          </w:p>
        </w:tc>
        <w:tc>
          <w:tcPr>
            <w:tcW w:w="2268" w:type="dxa"/>
            <w:vAlign w:val="center"/>
          </w:tcPr>
          <w:p>
            <w:pPr>
              <w:pStyle w:val="12"/>
            </w:pPr>
            <w:r>
              <w:t>≥3</w:t>
            </w:r>
          </w:p>
        </w:tc>
        <w:tc>
          <w:tcPr>
            <w:tcW w:w="1276" w:type="dxa"/>
            <w:vAlign w:val="center"/>
          </w:tcPr>
          <w:p>
            <w:pPr>
              <w:pStyle w:val="12"/>
            </w:pPr>
            <w:r>
              <w:t>历史经验标准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提交调研报告数量</w:t>
            </w:r>
          </w:p>
        </w:tc>
        <w:tc>
          <w:tcPr>
            <w:tcW w:w="5386" w:type="dxa"/>
            <w:vAlign w:val="center"/>
          </w:tcPr>
          <w:p>
            <w:pPr>
              <w:pStyle w:val="12"/>
            </w:pPr>
            <w:r>
              <w:t>提交调研报告数量</w:t>
            </w:r>
          </w:p>
        </w:tc>
        <w:tc>
          <w:tcPr>
            <w:tcW w:w="2268" w:type="dxa"/>
            <w:vAlign w:val="center"/>
          </w:tcPr>
          <w:p>
            <w:pPr>
              <w:pStyle w:val="12"/>
            </w:pPr>
            <w:r>
              <w:t>≥2</w:t>
            </w:r>
          </w:p>
        </w:tc>
        <w:tc>
          <w:tcPr>
            <w:tcW w:w="1276" w:type="dxa"/>
            <w:vAlign w:val="center"/>
          </w:tcPr>
          <w:p>
            <w:pPr>
              <w:pStyle w:val="12"/>
            </w:pPr>
            <w:r>
              <w:t>历史经验标准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按期完成率</w:t>
            </w:r>
          </w:p>
        </w:tc>
        <w:tc>
          <w:tcPr>
            <w:tcW w:w="5386" w:type="dxa"/>
            <w:vAlign w:val="center"/>
          </w:tcPr>
          <w:p>
            <w:pPr>
              <w:pStyle w:val="12"/>
            </w:pPr>
            <w:r>
              <w:t>定期及时开展活动情况</w:t>
            </w:r>
          </w:p>
        </w:tc>
        <w:tc>
          <w:tcPr>
            <w:tcW w:w="2268" w:type="dxa"/>
            <w:vAlign w:val="center"/>
          </w:tcPr>
          <w:p>
            <w:pPr>
              <w:pStyle w:val="12"/>
            </w:pPr>
            <w:r>
              <w:t>≥95</w:t>
            </w:r>
          </w:p>
        </w:tc>
        <w:tc>
          <w:tcPr>
            <w:tcW w:w="1276" w:type="dxa"/>
            <w:vAlign w:val="center"/>
          </w:tcPr>
          <w:p>
            <w:pPr>
              <w:pStyle w:val="12"/>
            </w:pPr>
            <w:r>
              <w:t>历史经验标准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合理使用经费</w:t>
            </w:r>
          </w:p>
        </w:tc>
        <w:tc>
          <w:tcPr>
            <w:tcW w:w="5386" w:type="dxa"/>
            <w:vAlign w:val="center"/>
          </w:tcPr>
          <w:p>
            <w:pPr>
              <w:pStyle w:val="12"/>
            </w:pPr>
            <w:r>
              <w:t>合理使用经费情况</w:t>
            </w:r>
          </w:p>
        </w:tc>
        <w:tc>
          <w:tcPr>
            <w:tcW w:w="2268" w:type="dxa"/>
            <w:vAlign w:val="center"/>
          </w:tcPr>
          <w:p>
            <w:pPr>
              <w:pStyle w:val="12"/>
            </w:pPr>
            <w:r>
              <w:t>经费及时合理支出</w:t>
            </w:r>
          </w:p>
        </w:tc>
        <w:tc>
          <w:tcPr>
            <w:tcW w:w="1276" w:type="dxa"/>
            <w:vAlign w:val="center"/>
          </w:tcPr>
          <w:p>
            <w:pPr>
              <w:pStyle w:val="12"/>
            </w:pPr>
            <w:r>
              <w:t>历史经验标准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民营经济健康成长</w:t>
            </w:r>
          </w:p>
        </w:tc>
        <w:tc>
          <w:tcPr>
            <w:tcW w:w="5386" w:type="dxa"/>
            <w:vAlign w:val="center"/>
          </w:tcPr>
          <w:p>
            <w:pPr>
              <w:pStyle w:val="12"/>
            </w:pPr>
            <w:r>
              <w:t>民营经济健康成长</w:t>
            </w:r>
          </w:p>
        </w:tc>
        <w:tc>
          <w:tcPr>
            <w:tcW w:w="2268" w:type="dxa"/>
            <w:vAlign w:val="center"/>
          </w:tcPr>
          <w:p>
            <w:pPr>
              <w:pStyle w:val="12"/>
            </w:pPr>
            <w:r>
              <w:t>民营经济健康成长</w:t>
            </w:r>
          </w:p>
        </w:tc>
        <w:tc>
          <w:tcPr>
            <w:tcW w:w="1276" w:type="dxa"/>
            <w:vAlign w:val="center"/>
          </w:tcPr>
          <w:p>
            <w:pPr>
              <w:pStyle w:val="12"/>
            </w:pPr>
            <w:r>
              <w:t>历史经验标准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得到广大会员企业充分认可</w:t>
            </w:r>
          </w:p>
        </w:tc>
        <w:tc>
          <w:tcPr>
            <w:tcW w:w="2268" w:type="dxa"/>
            <w:vAlign w:val="center"/>
          </w:tcPr>
          <w:p>
            <w:pPr>
              <w:pStyle w:val="12"/>
            </w:pPr>
            <w:r>
              <w:t>社会影响力</w:t>
            </w:r>
          </w:p>
        </w:tc>
        <w:tc>
          <w:tcPr>
            <w:tcW w:w="1276" w:type="dxa"/>
            <w:vAlign w:val="center"/>
          </w:tcPr>
          <w:p>
            <w:pPr>
              <w:pStyle w:val="12"/>
            </w:pPr>
            <w:r>
              <w:t>历史经验标准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不产生影响生态</w:t>
            </w:r>
          </w:p>
        </w:tc>
        <w:tc>
          <w:tcPr>
            <w:tcW w:w="5386" w:type="dxa"/>
            <w:vAlign w:val="center"/>
          </w:tcPr>
          <w:p>
            <w:pPr>
              <w:pStyle w:val="12"/>
            </w:pPr>
            <w:r>
              <w:t>不产生影响生态</w:t>
            </w:r>
          </w:p>
        </w:tc>
        <w:tc>
          <w:tcPr>
            <w:tcW w:w="2268" w:type="dxa"/>
            <w:vAlign w:val="center"/>
          </w:tcPr>
          <w:p>
            <w:pPr>
              <w:pStyle w:val="12"/>
            </w:pPr>
            <w:r>
              <w:t>不产生影响生态</w:t>
            </w:r>
          </w:p>
        </w:tc>
        <w:tc>
          <w:tcPr>
            <w:tcW w:w="1276" w:type="dxa"/>
            <w:vAlign w:val="center"/>
          </w:tcPr>
          <w:p>
            <w:pPr>
              <w:pStyle w:val="12"/>
            </w:pPr>
            <w:r>
              <w:t>历史经验标准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民营经济活力提升</w:t>
            </w:r>
          </w:p>
        </w:tc>
        <w:tc>
          <w:tcPr>
            <w:tcW w:w="5386" w:type="dxa"/>
            <w:vAlign w:val="center"/>
          </w:tcPr>
          <w:p>
            <w:pPr>
              <w:pStyle w:val="12"/>
            </w:pPr>
            <w:r>
              <w:t>民营经济活力提升</w:t>
            </w:r>
          </w:p>
        </w:tc>
        <w:tc>
          <w:tcPr>
            <w:tcW w:w="2268" w:type="dxa"/>
            <w:vAlign w:val="center"/>
          </w:tcPr>
          <w:p>
            <w:pPr>
              <w:pStyle w:val="12"/>
            </w:pPr>
            <w:r>
              <w:t>民营经济活力提升</w:t>
            </w:r>
          </w:p>
        </w:tc>
        <w:tc>
          <w:tcPr>
            <w:tcW w:w="1276" w:type="dxa"/>
            <w:vAlign w:val="center"/>
          </w:tcPr>
          <w:p>
            <w:pPr>
              <w:pStyle w:val="12"/>
            </w:pPr>
            <w:r>
              <w:t>历史经验标准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反映满意的评价占总评价的比率</w:t>
            </w:r>
          </w:p>
        </w:tc>
        <w:tc>
          <w:tcPr>
            <w:tcW w:w="2268" w:type="dxa"/>
            <w:vAlign w:val="center"/>
          </w:tcPr>
          <w:p>
            <w:pPr>
              <w:pStyle w:val="12"/>
            </w:pPr>
            <w:r>
              <w:t>满意率</w:t>
            </w:r>
          </w:p>
        </w:tc>
        <w:tc>
          <w:tcPr>
            <w:tcW w:w="1276" w:type="dxa"/>
            <w:vAlign w:val="center"/>
          </w:tcPr>
          <w:p>
            <w:pPr>
              <w:pStyle w:val="12"/>
            </w:pPr>
            <w:r>
              <w:t>历史经验标准</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714001正定县工商业联合会本级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正定县工商业联合会本级上年末固定资产金额为1.04万元（详见下表）。本年度拟购置固定资产总额为0.00万元，已按要求列入政府采购预算，详见政府采购预算表。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714001正定县工商业联合会本级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16</w:t>
            </w:r>
          </w:p>
        </w:tc>
        <w:tc>
          <w:tcPr>
            <w:tcW w:w="2835" w:type="dxa"/>
            <w:vAlign w:val="center"/>
          </w:tcPr>
          <w:p>
            <w:pPr>
              <w:pStyle w:val="11"/>
            </w:pPr>
            <w:r>
              <w:t>1.04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Arial">
    <w:panose1 w:val="020B0604020202020204"/>
    <w:charset w:val="00"/>
    <w:family w:val="auto"/>
    <w:pitch w:val="default"/>
    <w:sig w:usb0="E0002A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6F7E0371"/>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4">
    <w:name w:val="Default Paragraph Font"/>
    <w:semiHidden/>
    <w:unhideWhenUsed/>
    <w:uiPriority w:val="1"/>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6">
    <w:name w:val="Table Grid"/>
    <w:basedOn w:val="5"/>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28</Pages>
  <TotalTime>1</TotalTime>
  <ScaleCrop>false</ScaleCrop>
  <LinksUpToDate>false</LinksUpToDate>
  <Application>WPS Office_10.1.0.7698_F1E327BC-269C-435d-A152-05C5408002CA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2026-02-24T11:03:00Z</dcterms:created>
  <dc:creator>Adminui</dc:creator>
  <cp:lastModifiedBy>Adminui</cp:lastModifiedBy>
  <dcterms:modified xsi:type="dcterms:W3CDTF">2026-02-24T03:11:11Z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2052-10.1.0.7698</vt:lpwstr>
  </property>
</Properties>
</file>