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before="0" w:after="0" w:line="240" w:lineRule="auto"/>
        <w:ind w:firstLine="0"/>
        <w:jc w:val="center"/>
        <w:outlineLvl w:val="9"/>
      </w:pPr>
      <w:bookmarkStart w:id="6" w:name="_GoBack"/>
      <w:bookmarkEnd w:id="6"/>
      <w:r>
        <w:rPr>
          <w:rFonts w:ascii="方正小标宋_GBK" w:hAnsi="方正小标宋_GBK" w:eastAsia="方正小标宋_GBK" w:cs="方正小标宋_GBK"/>
          <w:color w:val="000000"/>
          <w:sz w:val="52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小标宋_GBK" w:hAnsi="方正小标宋_GBK" w:eastAsia="方正小标宋_GBK" w:cs="方正小标宋_GBK"/>
          <w:color w:val="000000"/>
          <w:sz w:val="52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小标宋_GBK" w:hAnsi="方正小标宋_GBK" w:eastAsia="方正小标宋_GBK" w:cs="方正小标宋_GBK"/>
          <w:color w:val="000000"/>
          <w:sz w:val="52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小标宋_GBK" w:hAnsi="方正小标宋_GBK" w:eastAsia="方正小标宋_GBK" w:cs="方正小标宋_GBK"/>
          <w:color w:val="000000"/>
          <w:sz w:val="72"/>
        </w:rPr>
        <w:t>正定县工商业联合会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小标宋_GBK" w:hAnsi="方正小标宋_GBK" w:eastAsia="方正小标宋_GBK" w:cs="方正小标宋_GBK"/>
          <w:color w:val="000000"/>
          <w:sz w:val="72"/>
        </w:rPr>
        <w:t>2026年部门预算绩效文本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小标宋_GBK" w:hAnsi="方正小标宋_GBK" w:eastAsia="方正小标宋_GBK" w:cs="方正小标宋_GBK"/>
          <w:color w:val="000000"/>
          <w:sz w:val="52"/>
        </w:rPr>
        <w:t>（草案）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楷体_GBK" w:hAnsi="方正楷体_GBK" w:eastAsia="方正楷体_GBK" w:cs="方正楷体_GBK"/>
          <w:b/>
          <w:color w:val="000000"/>
          <w:sz w:val="32"/>
        </w:rPr>
        <w:t>正定县工商业联合会编制</w:t>
      </w:r>
    </w:p>
    <w:p>
      <w:pPr>
        <w:spacing w:before="0" w:after="0" w:line="240" w:lineRule="auto"/>
        <w:ind w:firstLine="0"/>
        <w:jc w:val="center"/>
        <w:outlineLvl w:val="9"/>
        <w:sectPr>
          <w:pgSz w:w="11900" w:h="16840"/>
          <w:pgMar w:top="1984" w:right="1304" w:bottom="1134" w:left="1304" w:header="720" w:footer="720" w:gutter="0"/>
          <w:titlePg/>
        </w:sectPr>
      </w:pPr>
      <w:r>
        <w:rPr>
          <w:rFonts w:ascii="方正楷体_GBK" w:hAnsi="方正楷体_GBK" w:eastAsia="方正楷体_GBK" w:cs="方正楷体_GBK"/>
          <w:b/>
          <w:color w:val="000000"/>
          <w:sz w:val="32"/>
        </w:rPr>
        <w:t>正定县财政局审核</w:t>
      </w:r>
    </w:p>
    <w:p>
      <w:pPr>
        <w:spacing w:before="0" w:after="0" w:line="240" w:lineRule="auto"/>
        <w:ind w:firstLine="0"/>
        <w:jc w:val="center"/>
        <w:outlineLvl w:val="9"/>
        <w:sectPr>
          <w:pgSz w:w="11900" w:h="16840"/>
          <w:pgMar w:top="1984" w:right="1304" w:bottom="1134" w:left="1304" w:header="720" w:footer="720" w:gutter="0"/>
          <w:titlePg/>
        </w:sectPr>
      </w:pP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小标宋_GBK" w:hAnsi="方正小标宋_GBK" w:eastAsia="方正小标宋_GBK" w:cs="方正小标宋_GBK"/>
          <w:color w:val="000000"/>
          <w:sz w:val="36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0"/>
      </w:pPr>
      <w:r>
        <w:rPr>
          <w:rFonts w:ascii="方正小标宋_GBK" w:hAnsi="方正小标宋_GBK" w:eastAsia="方正小标宋_GBK" w:cs="方正小标宋_GBK"/>
          <w:color w:val="000000"/>
          <w:sz w:val="36"/>
        </w:rPr>
        <w:t>目    录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小标宋_GBK" w:hAnsi="方正小标宋_GBK" w:eastAsia="方正小标宋_GBK" w:cs="方正小标宋_GBK"/>
          <w:color w:val="000000"/>
          <w:sz w:val="30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小标宋_GBK" w:hAnsi="方正小标宋_GBK" w:eastAsia="方正小标宋_GBK" w:cs="方正小标宋_GBK"/>
          <w:color w:val="000000"/>
          <w:sz w:val="30"/>
        </w:rPr>
        <w:t>第一部分 部门整体绩效目标</w:t>
      </w:r>
    </w:p>
    <w:p>
      <w:pPr>
        <w:pStyle w:val="2"/>
        <w:tabs>
          <w:tab w:val="right" w:leader="dot" w:pos="9282"/>
        </w:tabs>
      </w:pPr>
      <w:r>
        <w:fldChar w:fldCharType="begin"/>
      </w:r>
      <w:r>
        <w:instrText xml:space="preserve">TOC \o "2-2" \h \z \u</w:instrText>
      </w:r>
      <w:r>
        <w:fldChar w:fldCharType="separate"/>
      </w:r>
      <w:r>
        <w:fldChar w:fldCharType="begin"/>
      </w:r>
      <w:r>
        <w:instrText xml:space="preserve">HYPERLINK \l _Toc_2_2_0000000001</w:instrText>
      </w:r>
      <w:r>
        <w:fldChar w:fldCharType="separate"/>
      </w:r>
      <w:r>
        <w:t>一、总体绩效目标</w:t>
      </w:r>
      <w:r>
        <w:tab/>
      </w:r>
      <w:r>
        <w:fldChar w:fldCharType="begin"/>
      </w:r>
      <w:r>
        <w:instrText xml:space="preserve">PAGEREF _Toc_2_2_0000000001 \h</w:instrText>
      </w:r>
      <w:r>
        <w:fldChar w:fldCharType="separate"/>
      </w:r>
      <w:r>
        <w:t>1</w:t>
      </w:r>
      <w:r>
        <w:fldChar w:fldCharType="end"/>
      </w:r>
      <w:r>
        <w:fldChar w:fldCharType="end"/>
      </w:r>
    </w:p>
    <w:p>
      <w:pPr>
        <w:pStyle w:val="2"/>
        <w:tabs>
          <w:tab w:val="right" w:leader="dot" w:pos="9282"/>
        </w:tabs>
      </w:pPr>
      <w:r>
        <w:fldChar w:fldCharType="begin"/>
      </w:r>
      <w:r>
        <w:instrText xml:space="preserve">HYPERLINK \l _Toc_2_2_0000000002</w:instrText>
      </w:r>
      <w:r>
        <w:fldChar w:fldCharType="separate"/>
      </w:r>
      <w:r>
        <w:t>二、分项绩效目标</w:t>
      </w:r>
      <w:r>
        <w:tab/>
      </w:r>
      <w:r>
        <w:fldChar w:fldCharType="begin"/>
      </w:r>
      <w:r>
        <w:instrText xml:space="preserve">PAGEREF _Toc_2_2_0000000002 \h</w:instrText>
      </w:r>
      <w:r>
        <w:fldChar w:fldCharType="separate"/>
      </w:r>
      <w:r>
        <w:t>1</w:t>
      </w:r>
      <w:r>
        <w:fldChar w:fldCharType="end"/>
      </w:r>
      <w:r>
        <w:fldChar w:fldCharType="end"/>
      </w:r>
    </w:p>
    <w:p>
      <w:pPr>
        <w:pStyle w:val="2"/>
        <w:tabs>
          <w:tab w:val="right" w:leader="dot" w:pos="9282"/>
        </w:tabs>
      </w:pPr>
      <w:r>
        <w:fldChar w:fldCharType="begin"/>
      </w:r>
      <w:r>
        <w:instrText xml:space="preserve">HYPERLINK \l _Toc_2_2_0000000003</w:instrText>
      </w:r>
      <w:r>
        <w:fldChar w:fldCharType="separate"/>
      </w:r>
      <w:r>
        <w:t>三、工作保障措施</w:t>
      </w:r>
      <w:r>
        <w:tab/>
      </w:r>
      <w:r>
        <w:fldChar w:fldCharType="begin"/>
      </w:r>
      <w:r>
        <w:instrText xml:space="preserve">PAGEREF _Toc_2_2_0000000003 \h</w:instrText>
      </w:r>
      <w:r>
        <w:fldChar w:fldCharType="separate"/>
      </w:r>
      <w:r>
        <w:t>1</w:t>
      </w:r>
      <w:r>
        <w:fldChar w:fldCharType="end"/>
      </w:r>
      <w:r>
        <w:fldChar w:fldCharType="end"/>
      </w:r>
    </w:p>
    <w:p>
      <w:r>
        <w:fldChar w:fldCharType="end"/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小标宋_GBK" w:hAnsi="方正小标宋_GBK" w:eastAsia="方正小标宋_GBK" w:cs="方正小标宋_GBK"/>
          <w:color w:val="000000"/>
          <w:sz w:val="30"/>
        </w:rPr>
        <w:t>第二部分 预算项目绩效目标</w:t>
      </w:r>
    </w:p>
    <w:p>
      <w:pPr>
        <w:pStyle w:val="2"/>
        <w:tabs>
          <w:tab w:val="right" w:leader="dot" w:pos="9282"/>
        </w:tabs>
      </w:pPr>
      <w:r>
        <w:fldChar w:fldCharType="begin"/>
      </w:r>
      <w:r>
        <w:instrText xml:space="preserve">TOC \o "4-4" \h \z \u</w:instrText>
      </w:r>
      <w:r>
        <w:fldChar w:fldCharType="separate"/>
      </w:r>
      <w:r>
        <w:fldChar w:fldCharType="begin"/>
      </w:r>
      <w:r>
        <w:instrText xml:space="preserve">HYPERLINK \l _Toc_4_4_0000000004</w:instrText>
      </w:r>
      <w:r>
        <w:fldChar w:fldCharType="separate"/>
      </w:r>
      <w:r>
        <w:t>1.非公经济人士理想信念教育、培训座谈会经费绩效目标表</w:t>
      </w:r>
      <w:r>
        <w:tab/>
      </w:r>
      <w:r>
        <w:fldChar w:fldCharType="begin"/>
      </w:r>
      <w:r>
        <w:instrText xml:space="preserve">PAGEREF _Toc_4_4_0000000004 \h</w:instrText>
      </w:r>
      <w:r>
        <w:fldChar w:fldCharType="separate"/>
      </w:r>
      <w:r>
        <w:t>4</w:t>
      </w:r>
      <w:r>
        <w:fldChar w:fldCharType="end"/>
      </w:r>
      <w:r>
        <w:fldChar w:fldCharType="end"/>
      </w:r>
    </w:p>
    <w:p>
      <w:pPr>
        <w:pStyle w:val="2"/>
        <w:tabs>
          <w:tab w:val="right" w:leader="dot" w:pos="9282"/>
        </w:tabs>
      </w:pPr>
      <w:r>
        <w:fldChar w:fldCharType="begin"/>
      </w:r>
      <w:r>
        <w:instrText xml:space="preserve">HYPERLINK \l _Toc_4_4_0000000005</w:instrText>
      </w:r>
      <w:r>
        <w:fldChar w:fldCharType="separate"/>
      </w:r>
      <w:r>
        <w:t>2.工商联机关综合保障经费绩效目标表</w:t>
      </w:r>
      <w:r>
        <w:tab/>
      </w:r>
      <w:r>
        <w:fldChar w:fldCharType="begin"/>
      </w:r>
      <w:r>
        <w:instrText xml:space="preserve">PAGEREF _Toc_4_4_0000000005 \h</w:instrText>
      </w:r>
      <w:r>
        <w:fldChar w:fldCharType="separate"/>
      </w:r>
      <w:r>
        <w:t>5</w:t>
      </w:r>
      <w:r>
        <w:fldChar w:fldCharType="end"/>
      </w:r>
      <w:r>
        <w:fldChar w:fldCharType="end"/>
      </w:r>
    </w:p>
    <w:p>
      <w:pPr>
        <w:pStyle w:val="2"/>
        <w:tabs>
          <w:tab w:val="right" w:leader="dot" w:pos="9282"/>
        </w:tabs>
      </w:pPr>
      <w:r>
        <w:fldChar w:fldCharType="begin"/>
      </w:r>
      <w:r>
        <w:instrText xml:space="preserve">HYPERLINK \l _Toc_4_4_0000000006</w:instrText>
      </w:r>
      <w:r>
        <w:fldChar w:fldCharType="separate"/>
      </w:r>
      <w:r>
        <w:t>3.开展友好商会交流学习和会员考察活动经费绩效目标表</w:t>
      </w:r>
      <w:r>
        <w:tab/>
      </w:r>
      <w:r>
        <w:fldChar w:fldCharType="begin"/>
      </w:r>
      <w:r>
        <w:instrText xml:space="preserve">PAGEREF _Toc_4_4_0000000006 \h</w:instrText>
      </w:r>
      <w:r>
        <w:fldChar w:fldCharType="separate"/>
      </w:r>
      <w:r>
        <w:t>6</w:t>
      </w:r>
      <w:r>
        <w:fldChar w:fldCharType="end"/>
      </w:r>
      <w:r>
        <w:fldChar w:fldCharType="end"/>
      </w:r>
    </w:p>
    <w:p>
      <w:r>
        <w:fldChar w:fldCharType="end"/>
      </w:r>
    </w:p>
    <w:p>
      <w:pPr>
        <w:sectPr>
          <w:footerReference r:id="rId3" w:type="default"/>
          <w:footerReference r:id="rId4" w:type="even"/>
          <w:pgSz w:w="11900" w:h="16840"/>
          <w:pgMar w:top="1984" w:right="1304" w:bottom="1134" w:left="1304" w:header="720" w:footer="720" w:gutter="0"/>
          <w:pgNumType w:start="1"/>
        </w:sectPr>
      </w:pPr>
      <w:r>
        <w:br w:type="page"/>
      </w:r>
      <w:r>
        <w:br w:type="textWrapping"/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小标宋_GBK" w:hAnsi="方正小标宋_GBK" w:eastAsia="方正小标宋_GBK" w:cs="方正小标宋_GBK"/>
          <w:color w:val="000000"/>
          <w:sz w:val="44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小标宋_GBK" w:hAnsi="方正小标宋_GBK" w:eastAsia="方正小标宋_GBK" w:cs="方正小标宋_GBK"/>
          <w:color w:val="000000"/>
          <w:sz w:val="44"/>
        </w:rPr>
        <w:t>第一部分</w:t>
      </w:r>
    </w:p>
    <w:p>
      <w:pPr>
        <w:spacing w:before="0" w:after="0" w:line="240" w:lineRule="auto"/>
        <w:ind w:firstLine="0"/>
        <w:jc w:val="center"/>
        <w:outlineLvl w:val="0"/>
      </w:pPr>
      <w:r>
        <w:rPr>
          <w:rFonts w:ascii="方正小标宋_GBK" w:hAnsi="方正小标宋_GBK" w:eastAsia="方正小标宋_GBK" w:cs="方正小标宋_GBK"/>
          <w:color w:val="000000"/>
          <w:sz w:val="44"/>
        </w:rPr>
        <w:t>部门整体绩效目标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小标宋_GBK" w:hAnsi="方正小标宋_GBK" w:eastAsia="方正小标宋_GBK" w:cs="方正小标宋_GBK"/>
          <w:color w:val="000000"/>
          <w:sz w:val="44"/>
        </w:rPr>
        <w:t xml:space="preserve"> </w:t>
      </w:r>
    </w:p>
    <w:p>
      <w:pPr>
        <w:spacing w:before="10" w:after="10"/>
        <w:ind w:firstLine="560"/>
        <w:jc w:val="left"/>
        <w:outlineLvl w:val="1"/>
      </w:pPr>
      <w:bookmarkStart w:id="0" w:name="_Toc_2_2_0000000001"/>
      <w:r>
        <w:rPr>
          <w:rFonts w:ascii="方正黑体_GBK" w:hAnsi="方正黑体_GBK" w:eastAsia="方正黑体_GBK" w:cs="方正黑体_GBK"/>
          <w:color w:val="000000"/>
          <w:sz w:val="28"/>
        </w:rPr>
        <w:t>一、总体绩效目标</w:t>
      </w:r>
      <w:bookmarkEnd w:id="0"/>
    </w:p>
    <w:p>
      <w:pPr>
        <w:pStyle w:val="8"/>
      </w:pPr>
      <w:r>
        <w:t>高举中国特色社会主义伟大旗帜，以习近平新时代中国特色社会主义思想为指导，认真贯彻党的路线方针政策，进一步加强和改进新形势下工商联的工作，营造企业家健康成长环境，弘扬优秀企业家精神，更好发挥企业家作用，实现正定县经济社会持续健康发展。</w:t>
      </w:r>
    </w:p>
    <w:p>
      <w:pPr>
        <w:spacing w:before="10" w:after="10"/>
        <w:ind w:firstLine="560"/>
        <w:jc w:val="left"/>
        <w:outlineLvl w:val="1"/>
      </w:pPr>
      <w:bookmarkStart w:id="1" w:name="_Toc_2_2_0000000002"/>
      <w:r>
        <w:rPr>
          <w:rFonts w:ascii="方正黑体_GBK" w:hAnsi="方正黑体_GBK" w:eastAsia="方正黑体_GBK" w:cs="方正黑体_GBK"/>
          <w:color w:val="000000"/>
          <w:sz w:val="28"/>
        </w:rPr>
        <w:t>二、分项绩效目标</w:t>
      </w:r>
      <w:bookmarkEnd w:id="1"/>
    </w:p>
    <w:p>
      <w:pPr>
        <w:pStyle w:val="9"/>
      </w:pPr>
      <w:r>
        <w:t>（一）通过会议、活动等多种形式加强对会员的培训和商会组织管理，使会员的自身素质组织健康发展得到进一步提高。</w:t>
      </w:r>
    </w:p>
    <w:p>
      <w:pPr>
        <w:pStyle w:val="9"/>
      </w:pPr>
      <w:r>
        <w:t>（二）搞好参政议政工作，组织开展调研，向县委县政府提出合理化建议，向县政协提交大会发言和集体提案。</w:t>
      </w:r>
    </w:p>
    <w:p>
      <w:pPr>
        <w:pStyle w:val="9"/>
      </w:pPr>
      <w:r>
        <w:t>（三）营造企业家健康成长环境，弘扬优秀企业家精神，打造一支优秀企业家队伍，实现正定县经济社会持续健康发展。</w:t>
      </w:r>
    </w:p>
    <w:p>
      <w:pPr>
        <w:pStyle w:val="9"/>
      </w:pPr>
      <w:r>
        <w:t>（四）加强与国内外社团沟通交流，充分发挥工商联在政府管理和服务非公有制经济中的助手作用，积极参加经贸活动，助力正定县经济发展。</w:t>
      </w:r>
    </w:p>
    <w:p>
      <w:pPr>
        <w:pStyle w:val="9"/>
      </w:pPr>
      <w:r>
        <w:t>（五）对会员进行理想信念教育，引导会员积极承担社会职责，热心公益事业，投身光彩事业。</w:t>
      </w:r>
    </w:p>
    <w:p>
      <w:pPr>
        <w:spacing w:before="10" w:after="10"/>
        <w:ind w:firstLine="560"/>
        <w:jc w:val="left"/>
        <w:outlineLvl w:val="1"/>
      </w:pPr>
      <w:bookmarkStart w:id="2" w:name="_Toc_2_2_0000000003"/>
      <w:r>
        <w:rPr>
          <w:rFonts w:ascii="方正黑体_GBK" w:hAnsi="方正黑体_GBK" w:eastAsia="方正黑体_GBK" w:cs="方正黑体_GBK"/>
          <w:color w:val="000000"/>
          <w:sz w:val="28"/>
        </w:rPr>
        <w:t>三、工作保障措施</w:t>
      </w:r>
      <w:bookmarkEnd w:id="2"/>
    </w:p>
    <w:p>
      <w:pPr>
        <w:pStyle w:val="10"/>
      </w:pPr>
      <w:r>
        <w:t>（一）邀请专家教授，组织会员企业开展每季度一次的专题培训，进行有针对性的指导，帮助企业提高经营管理水平。</w:t>
      </w:r>
    </w:p>
    <w:p>
      <w:pPr>
        <w:pStyle w:val="10"/>
      </w:pPr>
      <w:r>
        <w:t>（二）积极参加经贸活动，组织会员企业外出考察，学习外地先进企业的经营管理经验。</w:t>
      </w:r>
    </w:p>
    <w:p>
      <w:pPr>
        <w:pStyle w:val="10"/>
      </w:pPr>
      <w:r>
        <w:t>（三）营造企业家健康成长环境，弘扬优秀企业家精神，更好发挥企业家作用，打造一支优秀企业家队伍，实现正定县经济社会持续健康发展。</w:t>
      </w:r>
    </w:p>
    <w:p>
      <w:pPr>
        <w:pStyle w:val="10"/>
      </w:pPr>
      <w:r>
        <w:t>（四）以基层组织建设为主题，带领基层商会、协会负责人走出去，学习借鉴发达地区商会、协会运作的经验，探讨基层商会、协会在规范管理、作用发挥等方面的新办法、新途径。为加强正定与各地商会组织的联系和交流，拟与省内多地工商联和商会组织缔结友好商会关系。</w:t>
      </w:r>
    </w:p>
    <w:p>
      <w:pPr>
        <w:pStyle w:val="10"/>
      </w:pPr>
      <w:r>
        <w:t>（五）加强与工商联界别政协委员、人大代表的联系，加强对工商联界别政协委员进行撰写提案能力的培训，引导其精心组织撰写提案、议案，不断提高“两案”质量，为党委政府决策提供重要参考。</w:t>
      </w:r>
    </w:p>
    <w:p>
      <w:pPr>
        <w:pStyle w:val="10"/>
      </w:pPr>
      <w:r>
        <w:t>（六）认真做好广大会员的思想政治教育、光彩事业活动和构建和谐劳动关系等工作，为会员企业扎扎实实搞好服务，力促我县民营经济实现又好又快发展，把工商联各项工作提高到一个新的台阶。</w:t>
      </w:r>
    </w:p>
    <w:p>
      <w:pPr>
        <w:spacing w:before="0" w:after="0" w:line="240" w:lineRule="auto"/>
        <w:ind w:firstLine="0"/>
        <w:jc w:val="center"/>
        <w:outlineLvl w:val="9"/>
        <w:sectPr>
          <w:pgSz w:w="11900" w:h="16840"/>
          <w:pgMar w:top="1984" w:right="1304" w:bottom="1134" w:left="1304" w:header="720" w:footer="720" w:gutter="0"/>
          <w:pgNumType w:start="1"/>
        </w:sectPr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小标宋_GBK" w:hAnsi="方正小标宋_GBK" w:eastAsia="方正小标宋_GBK" w:cs="方正小标宋_GBK"/>
          <w:color w:val="000000"/>
          <w:sz w:val="52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小标宋_GBK" w:hAnsi="方正小标宋_GBK" w:eastAsia="方正小标宋_GBK" w:cs="方正小标宋_GBK"/>
          <w:color w:val="000000"/>
          <w:sz w:val="52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小标宋_GBK" w:hAnsi="方正小标宋_GBK" w:eastAsia="方正小标宋_GBK" w:cs="方正小标宋_GBK"/>
          <w:color w:val="000000"/>
          <w:sz w:val="52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小标宋_GBK" w:hAnsi="方正小标宋_GBK" w:eastAsia="方正小标宋_GBK" w:cs="方正小标宋_GBK"/>
          <w:color w:val="000000"/>
          <w:sz w:val="44"/>
        </w:rPr>
        <w:t>第二部分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小标宋_GBK" w:hAnsi="方正小标宋_GBK" w:eastAsia="方正小标宋_GBK" w:cs="方正小标宋_GBK"/>
          <w:color w:val="000000"/>
          <w:sz w:val="44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0"/>
      </w:pPr>
      <w:r>
        <w:rPr>
          <w:rFonts w:ascii="方正小标宋_GBK" w:hAnsi="方正小标宋_GBK" w:eastAsia="方正小标宋_GBK" w:cs="方正小标宋_GBK"/>
          <w:color w:val="000000"/>
          <w:sz w:val="44"/>
        </w:rPr>
        <w:t>预算项目绩效目标</w:t>
      </w:r>
    </w:p>
    <w:p>
      <w:pPr>
        <w:spacing w:before="0" w:after="0" w:line="240" w:lineRule="auto"/>
        <w:ind w:firstLine="0"/>
        <w:jc w:val="center"/>
        <w:outlineLvl w:val="9"/>
        <w:sectPr>
          <w:pgSz w:w="11900" w:h="16840"/>
          <w:pgMar w:top="1984" w:right="1304" w:bottom="1134" w:left="1304" w:header="720" w:footer="720" w:gutter="0"/>
        </w:sectPr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仿宋_GBK" w:hAnsi="方正仿宋_GBK" w:eastAsia="方正仿宋_GBK" w:cs="方正仿宋_GBK"/>
          <w:color w:val="000000"/>
          <w:sz w:val="28"/>
        </w:rPr>
        <w:t xml:space="preserve"> </w:t>
      </w:r>
    </w:p>
    <w:p>
      <w:pPr>
        <w:spacing w:before="0" w:after="0"/>
        <w:ind w:firstLine="560"/>
        <w:jc w:val="left"/>
        <w:outlineLvl w:val="3"/>
      </w:pPr>
      <w:bookmarkStart w:id="3" w:name="_Toc_4_4_0000000004"/>
      <w:r>
        <w:rPr>
          <w:rFonts w:ascii="方正仿宋_GBK" w:hAnsi="方正仿宋_GBK" w:eastAsia="方正仿宋_GBK" w:cs="方正仿宋_GBK"/>
          <w:color w:val="000000"/>
          <w:sz w:val="28"/>
        </w:rPr>
        <w:t>1.非公经济人士理想信念教育、培训座谈会经费绩效目标表</w:t>
      </w:r>
      <w:bookmarkEnd w:id="3"/>
    </w:p>
    <w:tbl>
      <w:tblPr>
        <w:tblStyle w:val="6"/>
        <w:tblW w:w="9894" w:type="dxa"/>
        <w:jc w:val="center"/>
        <w:tblInd w:w="0" w:type="dxa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1587"/>
        <w:gridCol w:w="1304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8051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12"/>
            </w:pPr>
            <w:r>
              <w:t>714001正定县工商业联合会本级</w:t>
            </w:r>
          </w:p>
        </w:tc>
        <w:tc>
          <w:tcPr>
            <w:tcW w:w="1843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11"/>
            </w:pPr>
            <w: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14"/>
            </w:pPr>
            <w:r>
              <w:t>项目编码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13"/>
            </w:pPr>
            <w:r>
              <w:t>13012326P005J7J101568</w:t>
            </w:r>
          </w:p>
        </w:tc>
        <w:tc>
          <w:tcPr>
            <w:tcW w:w="1587" w:type="dxa"/>
            <w:vAlign w:val="center"/>
          </w:tcPr>
          <w:p>
            <w:pPr>
              <w:pStyle w:val="14"/>
            </w:pPr>
            <w:r>
              <w:t>项目名称</w:t>
            </w:r>
          </w:p>
        </w:tc>
        <w:tc>
          <w:tcPr>
            <w:tcW w:w="4423" w:type="dxa"/>
            <w:gridSpan w:val="3"/>
            <w:vAlign w:val="center"/>
          </w:tcPr>
          <w:p>
            <w:pPr>
              <w:pStyle w:val="13"/>
            </w:pPr>
            <w:r>
              <w:t>非公经济人士理想信念教育、培训座谈会经费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4"/>
            </w:pPr>
            <w:r>
              <w:t>预算规模及资金用途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t>预算数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0.67</w:t>
            </w:r>
          </w:p>
        </w:tc>
        <w:tc>
          <w:tcPr>
            <w:tcW w:w="1587" w:type="dxa"/>
            <w:vAlign w:val="center"/>
          </w:tcPr>
          <w:p>
            <w:pPr>
              <w:pStyle w:val="14"/>
            </w:pPr>
            <w:r>
              <w:t>其中：财政    资金</w:t>
            </w:r>
          </w:p>
        </w:tc>
        <w:tc>
          <w:tcPr>
            <w:tcW w:w="1304" w:type="dxa"/>
            <w:vAlign w:val="center"/>
          </w:tcPr>
          <w:p>
            <w:pPr>
              <w:pStyle w:val="13"/>
            </w:pPr>
            <w:r>
              <w:t>0.67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t>其他资金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 xml:space="preserve"> 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8618" w:type="dxa"/>
            <w:gridSpan w:val="6"/>
            <w:vAlign w:val="center"/>
          </w:tcPr>
          <w:p>
            <w:pPr>
              <w:pStyle w:val="13"/>
            </w:pPr>
            <w:r>
              <w:t>按照《深入开展理想信念教育实践活动》的要求，以“守法诚信、坚定信念”为重点，继续深入开展非公有制经济人士理想信念教育实践活动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4"/>
            </w:pPr>
            <w:r>
              <w:t>资金支出计划（%）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14"/>
            </w:pPr>
            <w:r>
              <w:t>3月底</w:t>
            </w:r>
          </w:p>
        </w:tc>
        <w:tc>
          <w:tcPr>
            <w:tcW w:w="1587" w:type="dxa"/>
            <w:vAlign w:val="center"/>
          </w:tcPr>
          <w:p>
            <w:pPr>
              <w:pStyle w:val="14"/>
            </w:pPr>
            <w:r>
              <w:t>6月底</w:t>
            </w:r>
          </w:p>
        </w:tc>
        <w:tc>
          <w:tcPr>
            <w:tcW w:w="1304" w:type="dxa"/>
            <w:vAlign w:val="center"/>
          </w:tcPr>
          <w:p>
            <w:pPr>
              <w:pStyle w:val="14"/>
            </w:pPr>
            <w:r>
              <w:t>10月底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14"/>
            </w:pPr>
            <w:r>
              <w:t>12月底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2608" w:type="dxa"/>
            <w:gridSpan w:val="2"/>
            <w:vAlign w:val="center"/>
          </w:tcPr>
          <w:p>
            <w:pPr>
              <w:pStyle w:val="15"/>
            </w:pPr>
            <w:r>
              <w:t>25%</w:t>
            </w:r>
          </w:p>
        </w:tc>
        <w:tc>
          <w:tcPr>
            <w:tcW w:w="1587" w:type="dxa"/>
            <w:vAlign w:val="center"/>
          </w:tcPr>
          <w:p>
            <w:pPr>
              <w:pStyle w:val="15"/>
            </w:pPr>
            <w:r>
              <w:t>50%</w:t>
            </w:r>
          </w:p>
        </w:tc>
        <w:tc>
          <w:tcPr>
            <w:tcW w:w="1304" w:type="dxa"/>
            <w:vAlign w:val="center"/>
          </w:tcPr>
          <w:p>
            <w:pPr>
              <w:pStyle w:val="15"/>
            </w:pPr>
            <w:r>
              <w:t>75%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15"/>
            </w:pPr>
            <w:r>
              <w:t>100%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14"/>
            </w:pPr>
            <w:r>
              <w:t>绩效目标</w:t>
            </w:r>
          </w:p>
        </w:tc>
        <w:tc>
          <w:tcPr>
            <w:tcW w:w="8618" w:type="dxa"/>
            <w:gridSpan w:val="6"/>
            <w:vAlign w:val="center"/>
          </w:tcPr>
          <w:p>
            <w:pPr>
              <w:pStyle w:val="13"/>
            </w:pPr>
            <w:r>
              <w:t>1.非公经济人士理想信念更加坚定</w:t>
            </w:r>
          </w:p>
        </w:tc>
      </w:tr>
    </w:tbl>
    <w:p>
      <w:pPr>
        <w:spacing w:before="0" w:after="0" w:line="2" w:lineRule="exact"/>
        <w:ind w:firstLine="0"/>
        <w:jc w:val="center"/>
        <w:outlineLvl w:val="9"/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tbl>
      <w:tblPr>
        <w:tblStyle w:val="6"/>
        <w:tblW w:w="9894" w:type="dxa"/>
        <w:jc w:val="center"/>
        <w:tblInd w:w="0" w:type="dxa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2891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276" w:type="dxa"/>
            <w:vAlign w:val="center"/>
          </w:tcPr>
          <w:p>
            <w:pPr>
              <w:pStyle w:val="14"/>
            </w:pPr>
            <w:r>
              <w:t>一级指标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t>二级指标</w:t>
            </w:r>
          </w:p>
        </w:tc>
        <w:tc>
          <w:tcPr>
            <w:tcW w:w="1332" w:type="dxa"/>
            <w:vAlign w:val="center"/>
          </w:tcPr>
          <w:p>
            <w:pPr>
              <w:pStyle w:val="14"/>
            </w:pPr>
            <w:r>
              <w:t>三级指标</w:t>
            </w:r>
          </w:p>
        </w:tc>
        <w:tc>
          <w:tcPr>
            <w:tcW w:w="2891" w:type="dxa"/>
            <w:vAlign w:val="center"/>
          </w:tcPr>
          <w:p>
            <w:pPr>
              <w:pStyle w:val="14"/>
            </w:pPr>
            <w:r>
              <w:t>绩效指标描述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t>指标值</w:t>
            </w:r>
          </w:p>
        </w:tc>
        <w:tc>
          <w:tcPr>
            <w:tcW w:w="1843" w:type="dxa"/>
            <w:vAlign w:val="center"/>
          </w:tcPr>
          <w:p>
            <w:pPr>
              <w:pStyle w:val="14"/>
            </w:pPr>
            <w:r>
              <w:t>指标值确定依据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5"/>
            </w:pPr>
            <w:r>
              <w:t>产出指标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数量指标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举办座谈会次数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举办非公经济人士座谈会次数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≥1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历史经验标准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质量指标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新会员培训合格率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新会员培训合格率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≥95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历史经验标准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时效指标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服务完成度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服务完成度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≥95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历史经验标准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成本指标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合理使用经费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合理使用经费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经费得到合理支出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历史经验标准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5"/>
            </w:pPr>
            <w:r>
              <w:t>效益指标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社会效益指标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社会影响力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得到广大民营企业家的充分认可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得到广大民营企业家的充分认可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历史经验标准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经济效益指标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民营经济活力得到提高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民营经济活力得到提高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民营经济活力得到提高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历史经验标准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生态效益指标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不产生生态影响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不产生生态影响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不产生生态影响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历史经验标准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可持续影响指标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民营经济健康发展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民营经济健康发展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民营经济健康发展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历史经验标准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15"/>
            </w:pPr>
            <w:r>
              <w:t>满意度指标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服务对象满意度指标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满意度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反映满意的评价占总评价的比率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≥95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历史经验标准</w:t>
            </w:r>
          </w:p>
        </w:tc>
      </w:tr>
    </w:tbl>
    <w:p>
      <w:pPr>
        <w:sectPr>
          <w:pgSz w:w="11900" w:h="16840"/>
          <w:pgMar w:top="1984" w:right="1304" w:bottom="1134" w:left="1304" w:header="720" w:footer="720" w:gutter="0"/>
        </w:sectPr>
      </w:pP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仿宋_GBK" w:hAnsi="方正仿宋_GBK" w:eastAsia="方正仿宋_GBK" w:cs="方正仿宋_GBK"/>
          <w:color w:val="000000"/>
          <w:sz w:val="28"/>
        </w:rPr>
        <w:t xml:space="preserve"> </w:t>
      </w:r>
    </w:p>
    <w:p>
      <w:pPr>
        <w:spacing w:before="0" w:after="0"/>
        <w:ind w:firstLine="560"/>
        <w:jc w:val="left"/>
        <w:outlineLvl w:val="3"/>
      </w:pPr>
      <w:bookmarkStart w:id="4" w:name="_Toc_4_4_0000000005"/>
      <w:r>
        <w:rPr>
          <w:rFonts w:ascii="方正仿宋_GBK" w:hAnsi="方正仿宋_GBK" w:eastAsia="方正仿宋_GBK" w:cs="方正仿宋_GBK"/>
          <w:color w:val="000000"/>
          <w:sz w:val="28"/>
        </w:rPr>
        <w:t>2.工商联机关综合保障经费绩效目标表</w:t>
      </w:r>
      <w:bookmarkEnd w:id="4"/>
    </w:p>
    <w:tbl>
      <w:tblPr>
        <w:tblStyle w:val="6"/>
        <w:tblW w:w="9894" w:type="dxa"/>
        <w:jc w:val="center"/>
        <w:tblInd w:w="0" w:type="dxa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1587"/>
        <w:gridCol w:w="1304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8051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12"/>
            </w:pPr>
            <w:r>
              <w:t>714001正定县工商业联合会本级</w:t>
            </w:r>
          </w:p>
        </w:tc>
        <w:tc>
          <w:tcPr>
            <w:tcW w:w="1843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11"/>
            </w:pPr>
            <w: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14"/>
            </w:pPr>
            <w:r>
              <w:t>项目编码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13"/>
            </w:pPr>
            <w:r>
              <w:t>13012326P005J7J10157U</w:t>
            </w:r>
          </w:p>
        </w:tc>
        <w:tc>
          <w:tcPr>
            <w:tcW w:w="1587" w:type="dxa"/>
            <w:vAlign w:val="center"/>
          </w:tcPr>
          <w:p>
            <w:pPr>
              <w:pStyle w:val="14"/>
            </w:pPr>
            <w:r>
              <w:t>项目名称</w:t>
            </w:r>
          </w:p>
        </w:tc>
        <w:tc>
          <w:tcPr>
            <w:tcW w:w="4423" w:type="dxa"/>
            <w:gridSpan w:val="3"/>
            <w:vAlign w:val="center"/>
          </w:tcPr>
          <w:p>
            <w:pPr>
              <w:pStyle w:val="13"/>
            </w:pPr>
            <w:r>
              <w:t>工商联机关综合保障经费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4"/>
            </w:pPr>
            <w:r>
              <w:t>预算规模及资金用途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t>预算数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1.33</w:t>
            </w:r>
          </w:p>
        </w:tc>
        <w:tc>
          <w:tcPr>
            <w:tcW w:w="1587" w:type="dxa"/>
            <w:vAlign w:val="center"/>
          </w:tcPr>
          <w:p>
            <w:pPr>
              <w:pStyle w:val="14"/>
            </w:pPr>
            <w:r>
              <w:t>其中：财政    资金</w:t>
            </w:r>
          </w:p>
        </w:tc>
        <w:tc>
          <w:tcPr>
            <w:tcW w:w="1304" w:type="dxa"/>
            <w:vAlign w:val="center"/>
          </w:tcPr>
          <w:p>
            <w:pPr>
              <w:pStyle w:val="13"/>
            </w:pPr>
            <w:r>
              <w:t>1.33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t>其他资金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 xml:space="preserve"> 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8618" w:type="dxa"/>
            <w:gridSpan w:val="6"/>
            <w:vAlign w:val="center"/>
          </w:tcPr>
          <w:p>
            <w:pPr>
              <w:pStyle w:val="13"/>
            </w:pPr>
            <w:r>
              <w:t>保证工商联日常工作正常运转，以及负责档案、信息、机关各类财务、机要、保密、安全保卫、固定资产等管理和后勤保障工作的有序进行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4"/>
            </w:pPr>
            <w:r>
              <w:t>资金支出计划（%）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14"/>
            </w:pPr>
            <w:r>
              <w:t>3月底</w:t>
            </w:r>
          </w:p>
        </w:tc>
        <w:tc>
          <w:tcPr>
            <w:tcW w:w="1587" w:type="dxa"/>
            <w:vAlign w:val="center"/>
          </w:tcPr>
          <w:p>
            <w:pPr>
              <w:pStyle w:val="14"/>
            </w:pPr>
            <w:r>
              <w:t>6月底</w:t>
            </w:r>
          </w:p>
        </w:tc>
        <w:tc>
          <w:tcPr>
            <w:tcW w:w="1304" w:type="dxa"/>
            <w:vAlign w:val="center"/>
          </w:tcPr>
          <w:p>
            <w:pPr>
              <w:pStyle w:val="14"/>
            </w:pPr>
            <w:r>
              <w:t>10月底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14"/>
            </w:pPr>
            <w:r>
              <w:t>12月底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2608" w:type="dxa"/>
            <w:gridSpan w:val="2"/>
            <w:vAlign w:val="center"/>
          </w:tcPr>
          <w:p>
            <w:pPr>
              <w:pStyle w:val="15"/>
            </w:pPr>
            <w:r>
              <w:t>25%</w:t>
            </w:r>
          </w:p>
        </w:tc>
        <w:tc>
          <w:tcPr>
            <w:tcW w:w="1587" w:type="dxa"/>
            <w:vAlign w:val="center"/>
          </w:tcPr>
          <w:p>
            <w:pPr>
              <w:pStyle w:val="15"/>
            </w:pPr>
            <w:r>
              <w:t>50%</w:t>
            </w:r>
          </w:p>
        </w:tc>
        <w:tc>
          <w:tcPr>
            <w:tcW w:w="1304" w:type="dxa"/>
            <w:vAlign w:val="center"/>
          </w:tcPr>
          <w:p>
            <w:pPr>
              <w:pStyle w:val="15"/>
            </w:pPr>
            <w:r>
              <w:t>75%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15"/>
            </w:pPr>
            <w:r>
              <w:t>100%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14"/>
            </w:pPr>
            <w:r>
              <w:t>绩效目标</w:t>
            </w:r>
          </w:p>
        </w:tc>
        <w:tc>
          <w:tcPr>
            <w:tcW w:w="8618" w:type="dxa"/>
            <w:gridSpan w:val="6"/>
            <w:vAlign w:val="center"/>
          </w:tcPr>
          <w:p>
            <w:pPr>
              <w:pStyle w:val="13"/>
            </w:pPr>
            <w:r>
              <w:t>1.工商联日常工作正常运转，以及负责档案、信息、机关各类财务、机要、保密、安全保卫、固定资产等管理和后勤保障工作的有序进行</w:t>
            </w:r>
          </w:p>
        </w:tc>
      </w:tr>
    </w:tbl>
    <w:p>
      <w:pPr>
        <w:spacing w:before="0" w:after="0" w:line="2" w:lineRule="exact"/>
        <w:ind w:firstLine="0"/>
        <w:jc w:val="center"/>
        <w:outlineLvl w:val="9"/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tbl>
      <w:tblPr>
        <w:tblStyle w:val="6"/>
        <w:tblW w:w="9894" w:type="dxa"/>
        <w:jc w:val="center"/>
        <w:tblInd w:w="0" w:type="dxa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2891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276" w:type="dxa"/>
            <w:vAlign w:val="center"/>
          </w:tcPr>
          <w:p>
            <w:pPr>
              <w:pStyle w:val="14"/>
            </w:pPr>
            <w:r>
              <w:t>一级指标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t>二级指标</w:t>
            </w:r>
          </w:p>
        </w:tc>
        <w:tc>
          <w:tcPr>
            <w:tcW w:w="1332" w:type="dxa"/>
            <w:vAlign w:val="center"/>
          </w:tcPr>
          <w:p>
            <w:pPr>
              <w:pStyle w:val="14"/>
            </w:pPr>
            <w:r>
              <w:t>三级指标</w:t>
            </w:r>
          </w:p>
        </w:tc>
        <w:tc>
          <w:tcPr>
            <w:tcW w:w="2891" w:type="dxa"/>
            <w:vAlign w:val="center"/>
          </w:tcPr>
          <w:p>
            <w:pPr>
              <w:pStyle w:val="14"/>
            </w:pPr>
            <w:r>
              <w:t>绩效指标描述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t>指标值</w:t>
            </w:r>
          </w:p>
        </w:tc>
        <w:tc>
          <w:tcPr>
            <w:tcW w:w="1843" w:type="dxa"/>
            <w:vAlign w:val="center"/>
          </w:tcPr>
          <w:p>
            <w:pPr>
              <w:pStyle w:val="14"/>
            </w:pPr>
            <w:r>
              <w:t>指标值确定依据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5"/>
            </w:pPr>
            <w:r>
              <w:t>产出指标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数量指标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购买办公用品数量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购买办公用品数量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≥1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历史经验标准</w:t>
            </w:r>
          </w:p>
          <w:p>
            <w:pPr>
              <w:pStyle w:val="13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质量指标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综合事务工作完成情况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综合事务工作完成情况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≥95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历史经验标准</w:t>
            </w:r>
          </w:p>
          <w:p>
            <w:pPr>
              <w:pStyle w:val="13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时效指标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各项工作完成及时率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各项工作完成及时率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≥95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历史经验标准</w:t>
            </w:r>
          </w:p>
          <w:p>
            <w:pPr>
              <w:pStyle w:val="13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成本指标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合理使用经费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合理使用经费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经费使用情况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历史经验标准</w:t>
            </w:r>
          </w:p>
          <w:p>
            <w:pPr>
              <w:pStyle w:val="13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5"/>
            </w:pPr>
            <w:r>
              <w:t>效益指标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社会效益指标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社会影响力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得到广大干部群众的充分认可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得到广大干部群众的充分认可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历史经验标准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经济效益指标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机关正常运转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机关正常运转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机关正常运转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历史经验标准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生态效益指标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不产生生态影响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不产生生态影响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不产生生态影响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历史经验标准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可持续影响指标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机关运转有序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机关运转有序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机关运转有序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历史经验标准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15"/>
            </w:pPr>
            <w:r>
              <w:t>满意度指标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服务对象满意度指标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满意度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反映满意的评价占评价总数的比率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≥95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历史经验标准</w:t>
            </w:r>
          </w:p>
        </w:tc>
      </w:tr>
    </w:tbl>
    <w:p>
      <w:pPr>
        <w:sectPr>
          <w:pgSz w:w="11900" w:h="16840"/>
          <w:pgMar w:top="1984" w:right="1304" w:bottom="1134" w:left="1304" w:header="720" w:footer="720" w:gutter="0"/>
        </w:sectPr>
      </w:pP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仿宋_GBK" w:hAnsi="方正仿宋_GBK" w:eastAsia="方正仿宋_GBK" w:cs="方正仿宋_GBK"/>
          <w:color w:val="000000"/>
          <w:sz w:val="28"/>
        </w:rPr>
        <w:t xml:space="preserve"> </w:t>
      </w:r>
    </w:p>
    <w:p>
      <w:pPr>
        <w:spacing w:before="0" w:after="0"/>
        <w:ind w:firstLine="560"/>
        <w:jc w:val="left"/>
        <w:outlineLvl w:val="3"/>
      </w:pPr>
      <w:bookmarkStart w:id="5" w:name="_Toc_4_4_0000000006"/>
      <w:r>
        <w:rPr>
          <w:rFonts w:ascii="方正仿宋_GBK" w:hAnsi="方正仿宋_GBK" w:eastAsia="方正仿宋_GBK" w:cs="方正仿宋_GBK"/>
          <w:color w:val="000000"/>
          <w:sz w:val="28"/>
        </w:rPr>
        <w:t>3.开展友好商会交流学习和会员考察活动经费绩效目标表</w:t>
      </w:r>
      <w:bookmarkEnd w:id="5"/>
    </w:p>
    <w:tbl>
      <w:tblPr>
        <w:tblStyle w:val="6"/>
        <w:tblW w:w="9894" w:type="dxa"/>
        <w:jc w:val="center"/>
        <w:tblInd w:w="0" w:type="dxa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1587"/>
        <w:gridCol w:w="1304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8051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12"/>
            </w:pPr>
            <w:r>
              <w:t>714001正定县工商业联合会本级</w:t>
            </w:r>
          </w:p>
        </w:tc>
        <w:tc>
          <w:tcPr>
            <w:tcW w:w="1843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11"/>
            </w:pPr>
            <w: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14"/>
            </w:pPr>
            <w:r>
              <w:t>项目编码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13"/>
            </w:pPr>
            <w:r>
              <w:t>13012326P005J7J10158F</w:t>
            </w:r>
          </w:p>
        </w:tc>
        <w:tc>
          <w:tcPr>
            <w:tcW w:w="1587" w:type="dxa"/>
            <w:vAlign w:val="center"/>
          </w:tcPr>
          <w:p>
            <w:pPr>
              <w:pStyle w:val="14"/>
            </w:pPr>
            <w:r>
              <w:t>项目名称</w:t>
            </w:r>
          </w:p>
        </w:tc>
        <w:tc>
          <w:tcPr>
            <w:tcW w:w="4423" w:type="dxa"/>
            <w:gridSpan w:val="3"/>
            <w:vAlign w:val="center"/>
          </w:tcPr>
          <w:p>
            <w:pPr>
              <w:pStyle w:val="13"/>
            </w:pPr>
            <w:r>
              <w:t>开展友好商会交流学习和会员考察活动经费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4"/>
            </w:pPr>
            <w:r>
              <w:t>预算规模及资金用途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t>预算数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1.50</w:t>
            </w:r>
          </w:p>
        </w:tc>
        <w:tc>
          <w:tcPr>
            <w:tcW w:w="1587" w:type="dxa"/>
            <w:vAlign w:val="center"/>
          </w:tcPr>
          <w:p>
            <w:pPr>
              <w:pStyle w:val="14"/>
            </w:pPr>
            <w:r>
              <w:t>其中：财政    资金</w:t>
            </w:r>
          </w:p>
        </w:tc>
        <w:tc>
          <w:tcPr>
            <w:tcW w:w="1304" w:type="dxa"/>
            <w:vAlign w:val="center"/>
          </w:tcPr>
          <w:p>
            <w:pPr>
              <w:pStyle w:val="13"/>
            </w:pPr>
            <w:r>
              <w:t>1.50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t>其他资金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 xml:space="preserve"> 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8618" w:type="dxa"/>
            <w:gridSpan w:val="6"/>
            <w:vAlign w:val="center"/>
          </w:tcPr>
          <w:p>
            <w:pPr>
              <w:pStyle w:val="13"/>
            </w:pPr>
            <w:r>
              <w:t>组织会员举办和参加各种对内对外经济技术交流，促进与世界各国工商社团及工商界人士的联系和友谊，协助引进资金、技术、人才。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4"/>
            </w:pPr>
            <w:r>
              <w:t>资金支出计划（%）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14"/>
            </w:pPr>
            <w:r>
              <w:t>3月底</w:t>
            </w:r>
          </w:p>
        </w:tc>
        <w:tc>
          <w:tcPr>
            <w:tcW w:w="1587" w:type="dxa"/>
            <w:vAlign w:val="center"/>
          </w:tcPr>
          <w:p>
            <w:pPr>
              <w:pStyle w:val="14"/>
            </w:pPr>
            <w:r>
              <w:t>6月底</w:t>
            </w:r>
          </w:p>
        </w:tc>
        <w:tc>
          <w:tcPr>
            <w:tcW w:w="1304" w:type="dxa"/>
            <w:vAlign w:val="center"/>
          </w:tcPr>
          <w:p>
            <w:pPr>
              <w:pStyle w:val="14"/>
            </w:pPr>
            <w:r>
              <w:t>10月底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14"/>
            </w:pPr>
            <w:r>
              <w:t>12月底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2608" w:type="dxa"/>
            <w:gridSpan w:val="2"/>
            <w:vAlign w:val="center"/>
          </w:tcPr>
          <w:p>
            <w:pPr>
              <w:pStyle w:val="15"/>
            </w:pPr>
            <w:r>
              <w:t>25%</w:t>
            </w:r>
          </w:p>
        </w:tc>
        <w:tc>
          <w:tcPr>
            <w:tcW w:w="1587" w:type="dxa"/>
            <w:vAlign w:val="center"/>
          </w:tcPr>
          <w:p>
            <w:pPr>
              <w:pStyle w:val="15"/>
            </w:pPr>
            <w:r>
              <w:t>50%</w:t>
            </w:r>
          </w:p>
        </w:tc>
        <w:tc>
          <w:tcPr>
            <w:tcW w:w="1304" w:type="dxa"/>
            <w:vAlign w:val="center"/>
          </w:tcPr>
          <w:p>
            <w:pPr>
              <w:pStyle w:val="15"/>
            </w:pPr>
            <w:r>
              <w:t>75%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15"/>
            </w:pPr>
            <w:r>
              <w:t>100%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14"/>
            </w:pPr>
            <w:r>
              <w:t>绩效目标</w:t>
            </w:r>
          </w:p>
        </w:tc>
        <w:tc>
          <w:tcPr>
            <w:tcW w:w="8618" w:type="dxa"/>
            <w:gridSpan w:val="6"/>
            <w:vAlign w:val="center"/>
          </w:tcPr>
          <w:p>
            <w:pPr>
              <w:pStyle w:val="13"/>
            </w:pPr>
            <w:r>
              <w:t>1.商会活动丰富、及时有序，与各友好商会沟通交流顺畅</w:t>
            </w:r>
          </w:p>
        </w:tc>
      </w:tr>
    </w:tbl>
    <w:p>
      <w:pPr>
        <w:spacing w:before="0" w:after="0" w:line="2" w:lineRule="exact"/>
        <w:ind w:firstLine="0"/>
        <w:jc w:val="center"/>
        <w:outlineLvl w:val="9"/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tbl>
      <w:tblPr>
        <w:tblStyle w:val="6"/>
        <w:tblW w:w="9894" w:type="dxa"/>
        <w:jc w:val="center"/>
        <w:tblInd w:w="0" w:type="dxa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2891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276" w:type="dxa"/>
            <w:vAlign w:val="center"/>
          </w:tcPr>
          <w:p>
            <w:pPr>
              <w:pStyle w:val="14"/>
            </w:pPr>
            <w:r>
              <w:t>一级指标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t>二级指标</w:t>
            </w:r>
          </w:p>
        </w:tc>
        <w:tc>
          <w:tcPr>
            <w:tcW w:w="1332" w:type="dxa"/>
            <w:vAlign w:val="center"/>
          </w:tcPr>
          <w:p>
            <w:pPr>
              <w:pStyle w:val="14"/>
            </w:pPr>
            <w:r>
              <w:t>三级指标</w:t>
            </w:r>
          </w:p>
        </w:tc>
        <w:tc>
          <w:tcPr>
            <w:tcW w:w="2891" w:type="dxa"/>
            <w:vAlign w:val="center"/>
          </w:tcPr>
          <w:p>
            <w:pPr>
              <w:pStyle w:val="14"/>
            </w:pPr>
            <w:r>
              <w:t>绩效指标描述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t>指标值</w:t>
            </w:r>
          </w:p>
        </w:tc>
        <w:tc>
          <w:tcPr>
            <w:tcW w:w="1843" w:type="dxa"/>
            <w:vAlign w:val="center"/>
          </w:tcPr>
          <w:p>
            <w:pPr>
              <w:pStyle w:val="14"/>
            </w:pPr>
            <w:r>
              <w:t>指标值确定依据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5"/>
            </w:pPr>
            <w:r>
              <w:t>产出指标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数量指标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银企对接会的次数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开展银企对接会的次数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≥3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历史经验标准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质量指标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提交调研报告数量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提交调研报告数量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≥2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历史经验标准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时效指标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按期完成率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定期及时开展活动情况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≥95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历史经验标准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成本指标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合理使用经费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合理使用经费情况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经费及时合理支出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历史经验标准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5"/>
            </w:pPr>
            <w:r>
              <w:t>效益指标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经济效益指标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民营经济健康成长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民营经济健康成长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民营经济健康成长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历史经验标准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社会效益指标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社会影响力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得到广大会员企业充分认可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社会影响力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历史经验标准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生态效益指标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不产生影响生态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不产生影响生态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不产生影响生态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历史经验标准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可持续影响指标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民营经济活力提升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民营经济活力提升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民营经济活力提升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历史经验标准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15"/>
            </w:pPr>
            <w:r>
              <w:t>满意度指标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服务对象满意度指标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满意率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反映满意的评价占总评价的比率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满意率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历史经验标准</w:t>
            </w:r>
          </w:p>
        </w:tc>
      </w:tr>
    </w:tbl>
    <w:p/>
    <w:sectPr>
      <w:pgSz w:w="11900" w:h="16840"/>
      <w:pgMar w:top="1984" w:right="1304" w:bottom="1134" w:left="1304" w:header="720" w:footer="720" w:gutter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仿宋_GBK">
    <w:altName w:val="微软雅黑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方正书宋_GBK">
    <w:altName w:val="微软雅黑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方正小标宋_GBK">
    <w:altName w:val="微软雅黑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方正楷体_GBK">
    <w:altName w:val="微软雅黑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方正黑体_GBK">
    <w:altName w:val="微软雅黑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jc w:val="right"/>
    </w:pPr>
    <w:r>
      <w:fldChar w:fldCharType="begin"/>
    </w:r>
    <w:r>
      <w:instrText xml:space="preserve">PAGE "page number"</w:instrText>
    </w:r>
    <w:r>
      <w:fldChar w:fldCharType="separate"/>
    </w:r>
    <w:r>
      <w:t>5</w:t>
    </w:r>
    <w:r>
      <w:fldChar w:fldCharType="end"/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jc w:val="left"/>
    </w:pPr>
    <w:r>
      <w:fldChar w:fldCharType="begin"/>
    </w:r>
    <w:r>
      <w:instrText xml:space="preserve">PAGE "page number"</w:instrText>
    </w:r>
    <w:r>
      <w:fldChar w:fldCharType="separate"/>
    </w:r>
    <w:r>
      <w:t>6</w:t>
    </w:r>
    <w:r>
      <w:fldChar w:fldCharType="end"/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0"/>
  <w:bordersDoNotSurroundFooter w:val="0"/>
  <w:doNotTrackMoves/>
  <w:documentProtection w:enforcement="0"/>
  <w:defaultTabStop w:val="720"/>
  <w:evenAndOddHeaders w:val="1"/>
  <w:characterSpacingControl w:val="doNotCompress"/>
  <w:compat>
    <w:doNotLeaveBackslashAlon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31D3724F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qFormat="1" w:unhideWhenUsed="0" w:uiPriority="0" w:semiHidden="0" w:name="toc 1"/>
    <w:lsdException w:qFormat="1" w:unhideWhenUsed="0" w:uiPriority="0" w:semiHidden="0" w:name="toc 2"/>
    <w:lsdException w:uiPriority="39" w:name="toc 3"/>
    <w:lsdException w:qFormat="1" w:unhideWhenUsed="0" w:uiPriority="0" w:semiHidden="0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0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rPr>
      <w:rFonts w:ascii="Times New Roman" w:hAnsi="Times New Roman"/>
      <w:sz w:val="24"/>
      <w:szCs w:val="24"/>
      <w:lang w:val="en-US" w:eastAsia="uk-UA" w:bidi="ar-SA"/>
    </w:rPr>
  </w:style>
  <w:style w:type="character" w:default="1" w:styleId="5">
    <w:name w:val="Default Paragraph Font"/>
    <w:semiHidden/>
    <w:unhideWhenUsed/>
    <w:uiPriority w:val="1"/>
  </w:style>
  <w:style w:type="table" w:default="1" w:styleId="6">
    <w:name w:val="Normal Table"/>
    <w:semiHidden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toc 1"/>
    <w:basedOn w:val="1"/>
    <w:next w:val="1"/>
    <w:qFormat/>
    <w:uiPriority w:val="0"/>
    <w:pPr>
      <w:spacing w:before="120" w:line="240" w:lineRule="auto"/>
      <w:ind w:firstLine="0"/>
    </w:pPr>
    <w:rPr>
      <w:rFonts w:ascii="Times New Roman" w:hAnsi="Times New Roman" w:eastAsia="方正仿宋_GBK" w:cs="Times New Roman"/>
      <w:color w:val="000000"/>
      <w:sz w:val="28"/>
      <w:lang w:val="en-US"/>
    </w:rPr>
  </w:style>
  <w:style w:type="paragraph" w:styleId="3">
    <w:name w:val="toc 4"/>
    <w:basedOn w:val="1"/>
    <w:next w:val="1"/>
    <w:qFormat/>
    <w:uiPriority w:val="0"/>
    <w:pPr>
      <w:ind w:left="720"/>
    </w:pPr>
  </w:style>
  <w:style w:type="paragraph" w:styleId="4">
    <w:name w:val="toc 2"/>
    <w:basedOn w:val="1"/>
    <w:next w:val="1"/>
    <w:qFormat/>
    <w:uiPriority w:val="0"/>
    <w:pPr>
      <w:ind w:left="240"/>
    </w:pPr>
  </w:style>
  <w:style w:type="table" w:styleId="7">
    <w:name w:val="Table Grid"/>
    <w:basedOn w:val="6"/>
    <w:uiPriority w:val="0"/>
    <w:tblPr>
      <w:tblBorders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  <w:insideH w:val="single" w:color="000000" w:sz="4" w:space="0"/>
        <w:insideV w:val="single" w:color="000000" w:sz="4" w:space="0"/>
      </w:tblBorders>
      <w:tblLayout w:type="fixed"/>
    </w:tblPr>
  </w:style>
  <w:style w:type="paragraph" w:customStyle="1" w:styleId="8">
    <w:name w:val="插入文本样式-插入总体目标文件"/>
    <w:basedOn w:val="1"/>
    <w:qFormat/>
    <w:uiPriority w:val="0"/>
    <w:pPr>
      <w:spacing w:before="0" w:after="0" w:line="500" w:lineRule="exact"/>
      <w:ind w:firstLine="560"/>
      <w:jc w:val="left"/>
      <w:outlineLvl w:val="9"/>
    </w:pPr>
    <w:rPr>
      <w:rFonts w:ascii="Times New Roman" w:hAnsi="Times New Roman" w:eastAsia="方正仿宋_GBK" w:cs="Times New Roman"/>
      <w:sz w:val="28"/>
    </w:rPr>
  </w:style>
  <w:style w:type="paragraph" w:customStyle="1" w:styleId="9">
    <w:name w:val="插入文本样式-插入职责分类绩效目标文件"/>
    <w:basedOn w:val="1"/>
    <w:qFormat/>
    <w:uiPriority w:val="0"/>
    <w:pPr>
      <w:spacing w:before="0" w:after="0" w:line="500" w:lineRule="exact"/>
      <w:ind w:firstLine="560"/>
      <w:jc w:val="left"/>
      <w:outlineLvl w:val="9"/>
    </w:pPr>
    <w:rPr>
      <w:rFonts w:ascii="Times New Roman" w:hAnsi="Times New Roman" w:eastAsia="方正仿宋_GBK" w:cs="Times New Roman"/>
      <w:sz w:val="28"/>
    </w:rPr>
  </w:style>
  <w:style w:type="paragraph" w:customStyle="1" w:styleId="10">
    <w:name w:val="插入文本样式-插入实现年度发展规划目标的保障措施文件"/>
    <w:basedOn w:val="1"/>
    <w:qFormat/>
    <w:uiPriority w:val="0"/>
    <w:pPr>
      <w:spacing w:before="0" w:after="0" w:line="500" w:lineRule="exact"/>
      <w:ind w:firstLine="560"/>
      <w:jc w:val="left"/>
      <w:outlineLvl w:val="9"/>
    </w:pPr>
    <w:rPr>
      <w:rFonts w:ascii="Times New Roman" w:hAnsi="Times New Roman" w:eastAsia="方正仿宋_GBK" w:cs="Times New Roman"/>
      <w:sz w:val="28"/>
    </w:rPr>
  </w:style>
  <w:style w:type="paragraph" w:customStyle="1" w:styleId="11">
    <w:name w:val="单元格样式4"/>
    <w:qFormat/>
    <w:uiPriority w:val="0"/>
    <w:pPr>
      <w:spacing w:before="0" w:after="0"/>
      <w:ind w:firstLine="0"/>
      <w:jc w:val="right"/>
      <w:outlineLvl w:val="9"/>
    </w:pPr>
    <w:rPr>
      <w:rFonts w:ascii="方正书宋_GBK" w:hAnsi="方正书宋_GBK" w:eastAsia="方正书宋_GBK" w:cs="方正书宋_GBK"/>
      <w:sz w:val="21"/>
      <w:szCs w:val="22"/>
    </w:rPr>
  </w:style>
  <w:style w:type="paragraph" w:customStyle="1" w:styleId="12">
    <w:name w:val="单元格样式5"/>
    <w:qFormat/>
    <w:uiPriority w:val="0"/>
    <w:pPr>
      <w:spacing w:before="0" w:after="0"/>
      <w:ind w:firstLine="0"/>
      <w:jc w:val="left"/>
      <w:outlineLvl w:val="9"/>
    </w:pPr>
    <w:rPr>
      <w:rFonts w:ascii="方正书宋_GBK" w:hAnsi="方正书宋_GBK" w:eastAsia="方正书宋_GBK" w:cs="方正书宋_GBK"/>
      <w:b/>
      <w:sz w:val="21"/>
      <w:szCs w:val="22"/>
    </w:rPr>
  </w:style>
  <w:style w:type="paragraph" w:customStyle="1" w:styleId="13">
    <w:name w:val="单元格样式2"/>
    <w:qFormat/>
    <w:uiPriority w:val="0"/>
    <w:pPr>
      <w:spacing w:before="0" w:after="0"/>
      <w:ind w:firstLine="0"/>
      <w:jc w:val="left"/>
      <w:outlineLvl w:val="9"/>
    </w:pPr>
    <w:rPr>
      <w:rFonts w:ascii="方正书宋_GBK" w:hAnsi="方正书宋_GBK" w:eastAsia="方正书宋_GBK" w:cs="方正书宋_GBK"/>
      <w:sz w:val="21"/>
      <w:szCs w:val="22"/>
    </w:rPr>
  </w:style>
  <w:style w:type="paragraph" w:customStyle="1" w:styleId="14">
    <w:name w:val="单元格样式1"/>
    <w:qFormat/>
    <w:uiPriority w:val="0"/>
    <w:pPr>
      <w:spacing w:before="0" w:after="0"/>
      <w:ind w:firstLine="0"/>
      <w:jc w:val="center"/>
      <w:outlineLvl w:val="9"/>
    </w:pPr>
    <w:rPr>
      <w:rFonts w:ascii="方正书宋_GBK" w:hAnsi="方正书宋_GBK" w:eastAsia="方正书宋_GBK" w:cs="方正书宋_GBK"/>
      <w:b/>
      <w:sz w:val="21"/>
      <w:szCs w:val="22"/>
    </w:rPr>
  </w:style>
  <w:style w:type="paragraph" w:customStyle="1" w:styleId="15">
    <w:name w:val="单元格样式3"/>
    <w:qFormat/>
    <w:uiPriority w:val="0"/>
    <w:pPr>
      <w:spacing w:before="0" w:after="0"/>
      <w:ind w:firstLine="0"/>
      <w:jc w:val="center"/>
      <w:outlineLvl w:val="9"/>
    </w:pPr>
    <w:rPr>
      <w:rFonts w:ascii="方正书宋_GBK" w:hAnsi="方正书宋_GBK" w:eastAsia="方正书宋_GBK" w:cs="方正书宋_GBK"/>
      <w:sz w:val="21"/>
      <w:szCs w:val="22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  <customSectPr/>
    <customSectPr/>
    <customSectPr/>
    <customSectPr/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Pages>10</Pages>
  <TotalTime>0</TotalTime>
  <ScaleCrop>false</ScaleCrop>
  <LinksUpToDate>false</LinksUpToDate>
  <Application>WPS Office_10.1.0.7698_F1E327BC-269C-435d-A152-05C5408002CA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2026-02-24T10:47:00Z</dcterms:created>
  <dc:creator>Adminui</dc:creator>
  <cp:lastModifiedBy>Adminui</cp:lastModifiedBy>
  <dcterms:modified xsi:type="dcterms:W3CDTF">2026-02-24T02:54:25Z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2052-10.1.0.7698</vt:lpwstr>
  </property>
</Properties>
</file>