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714正定县工商业联合会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123.05</w:t>
            </w:r>
          </w:p>
        </w:tc>
        <w:tc>
          <w:tcPr>
            <w:tcW w:w="4535" w:type="dxa"/>
            <w:vAlign w:val="center"/>
          </w:tcPr>
          <w:p>
            <w:pPr>
              <w:pStyle w:val="13"/>
            </w:pPr>
            <w:r>
              <w:t>一、一般公共服务支出</w:t>
            </w:r>
          </w:p>
        </w:tc>
        <w:tc>
          <w:tcPr>
            <w:tcW w:w="2126" w:type="dxa"/>
            <w:vAlign w:val="center"/>
          </w:tcPr>
          <w:p>
            <w:pPr>
              <w:pStyle w:val="12"/>
            </w:pPr>
            <w:r>
              <w:t>73.73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123.05</w:t>
            </w:r>
          </w:p>
        </w:tc>
        <w:tc>
          <w:tcPr>
            <w:tcW w:w="4535" w:type="dxa"/>
            <w:vAlign w:val="center"/>
          </w:tcPr>
          <w:p>
            <w:pPr>
              <w:pStyle w:val="15"/>
            </w:pPr>
            <w:r>
              <w:t>本年支出合计</w:t>
            </w:r>
          </w:p>
        </w:tc>
        <w:tc>
          <w:tcPr>
            <w:tcW w:w="2126" w:type="dxa"/>
            <w:vAlign w:val="center"/>
          </w:tcPr>
          <w:p>
            <w:pPr>
              <w:pStyle w:val="16"/>
            </w:pPr>
            <w:r>
              <w:t>123.05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123.05</w:t>
            </w:r>
          </w:p>
        </w:tc>
        <w:tc>
          <w:tcPr>
            <w:tcW w:w="4535" w:type="dxa"/>
            <w:vAlign w:val="center"/>
          </w:tcPr>
          <w:p>
            <w:pPr>
              <w:pStyle w:val="15"/>
            </w:pPr>
            <w:r>
              <w:t>支出总计</w:t>
            </w:r>
          </w:p>
        </w:tc>
        <w:tc>
          <w:tcPr>
            <w:tcW w:w="2126" w:type="dxa"/>
            <w:vAlign w:val="center"/>
          </w:tcPr>
          <w:p>
            <w:pPr>
              <w:pStyle w:val="16"/>
            </w:pPr>
            <w:r>
              <w:t>123.05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714正定县工商业联合会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123.05</w:t>
            </w:r>
          </w:p>
        </w:tc>
        <w:tc>
          <w:tcPr>
            <w:tcW w:w="1134" w:type="dxa"/>
            <w:vAlign w:val="center"/>
          </w:tcPr>
          <w:p>
            <w:pPr>
              <w:pStyle w:val="16"/>
            </w:pPr>
            <w:r>
              <w:t>123.05</w:t>
            </w:r>
          </w:p>
        </w:tc>
        <w:tc>
          <w:tcPr>
            <w:tcW w:w="1134" w:type="dxa"/>
            <w:vAlign w:val="center"/>
          </w:tcPr>
          <w:p>
            <w:pPr>
              <w:pStyle w:val="16"/>
            </w:pPr>
            <w:r>
              <w:t>123.05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73.73</w:t>
            </w:r>
          </w:p>
        </w:tc>
        <w:tc>
          <w:tcPr>
            <w:tcW w:w="1134" w:type="dxa"/>
            <w:vAlign w:val="center"/>
          </w:tcPr>
          <w:p>
            <w:pPr>
              <w:pStyle w:val="12"/>
            </w:pPr>
            <w:r>
              <w:t>73.73</w:t>
            </w:r>
          </w:p>
        </w:tc>
        <w:tc>
          <w:tcPr>
            <w:tcW w:w="1134" w:type="dxa"/>
            <w:vAlign w:val="center"/>
          </w:tcPr>
          <w:p>
            <w:pPr>
              <w:pStyle w:val="12"/>
            </w:pPr>
            <w:r>
              <w:t>73.73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73.73</w:t>
            </w:r>
          </w:p>
        </w:tc>
        <w:tc>
          <w:tcPr>
            <w:tcW w:w="1134" w:type="dxa"/>
            <w:vAlign w:val="center"/>
          </w:tcPr>
          <w:p>
            <w:pPr>
              <w:pStyle w:val="12"/>
            </w:pPr>
            <w:r>
              <w:t>73.73</w:t>
            </w:r>
          </w:p>
        </w:tc>
        <w:tc>
          <w:tcPr>
            <w:tcW w:w="1134" w:type="dxa"/>
            <w:vAlign w:val="center"/>
          </w:tcPr>
          <w:p>
            <w:pPr>
              <w:pStyle w:val="12"/>
            </w:pPr>
            <w:r>
              <w:t>73.73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2012801</w:t>
            </w:r>
          </w:p>
        </w:tc>
        <w:tc>
          <w:tcPr>
            <w:tcW w:w="1559" w:type="dxa"/>
            <w:vAlign w:val="center"/>
          </w:tcPr>
          <w:p>
            <w:pPr>
              <w:pStyle w:val="13"/>
            </w:pPr>
            <w:r>
              <w:t>行政运行</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r>
              <w:t>70.23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2012802</w:t>
            </w:r>
          </w:p>
        </w:tc>
        <w:tc>
          <w:tcPr>
            <w:tcW w:w="1559" w:type="dxa"/>
            <w:vAlign w:val="center"/>
          </w:tcPr>
          <w:p>
            <w:pPr>
              <w:pStyle w:val="13"/>
            </w:pPr>
            <w:r>
              <w:t>一般行政管理事务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36.94</w:t>
            </w:r>
          </w:p>
        </w:tc>
        <w:tc>
          <w:tcPr>
            <w:tcW w:w="1134" w:type="dxa"/>
            <w:vAlign w:val="center"/>
          </w:tcPr>
          <w:p>
            <w:pPr>
              <w:pStyle w:val="12"/>
            </w:pPr>
            <w:r>
              <w:t>36.94</w:t>
            </w:r>
          </w:p>
        </w:tc>
        <w:tc>
          <w:tcPr>
            <w:tcW w:w="1134" w:type="dxa"/>
            <w:vAlign w:val="center"/>
          </w:tcPr>
          <w:p>
            <w:pPr>
              <w:pStyle w:val="12"/>
            </w:pPr>
            <w:r>
              <w:t>36.94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36.94</w:t>
            </w:r>
          </w:p>
        </w:tc>
        <w:tc>
          <w:tcPr>
            <w:tcW w:w="1134" w:type="dxa"/>
            <w:vAlign w:val="center"/>
          </w:tcPr>
          <w:p>
            <w:pPr>
              <w:pStyle w:val="12"/>
            </w:pPr>
            <w:r>
              <w:t>36.94</w:t>
            </w:r>
          </w:p>
        </w:tc>
        <w:tc>
          <w:tcPr>
            <w:tcW w:w="1134" w:type="dxa"/>
            <w:vAlign w:val="center"/>
          </w:tcPr>
          <w:p>
            <w:pPr>
              <w:pStyle w:val="12"/>
            </w:pPr>
            <w:r>
              <w:t>36.94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28.85</w:t>
            </w:r>
          </w:p>
        </w:tc>
        <w:tc>
          <w:tcPr>
            <w:tcW w:w="1134" w:type="dxa"/>
            <w:vAlign w:val="center"/>
          </w:tcPr>
          <w:p>
            <w:pPr>
              <w:pStyle w:val="12"/>
            </w:pPr>
            <w:r>
              <w:t>28.85</w:t>
            </w:r>
          </w:p>
        </w:tc>
        <w:tc>
          <w:tcPr>
            <w:tcW w:w="1134" w:type="dxa"/>
            <w:vAlign w:val="center"/>
          </w:tcPr>
          <w:p>
            <w:pPr>
              <w:pStyle w:val="12"/>
            </w:pPr>
            <w:r>
              <w:t>28.85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8.09</w:t>
            </w:r>
          </w:p>
        </w:tc>
        <w:tc>
          <w:tcPr>
            <w:tcW w:w="1134" w:type="dxa"/>
            <w:vAlign w:val="center"/>
          </w:tcPr>
          <w:p>
            <w:pPr>
              <w:pStyle w:val="12"/>
            </w:pPr>
            <w:r>
              <w:t>8.09</w:t>
            </w:r>
          </w:p>
        </w:tc>
        <w:tc>
          <w:tcPr>
            <w:tcW w:w="1134" w:type="dxa"/>
            <w:vAlign w:val="center"/>
          </w:tcPr>
          <w:p>
            <w:pPr>
              <w:pStyle w:val="12"/>
            </w:pPr>
            <w:r>
              <w:t>8.09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5.62</w:t>
            </w:r>
          </w:p>
        </w:tc>
        <w:tc>
          <w:tcPr>
            <w:tcW w:w="1134" w:type="dxa"/>
            <w:vAlign w:val="center"/>
          </w:tcPr>
          <w:p>
            <w:pPr>
              <w:pStyle w:val="12"/>
            </w:pPr>
            <w:r>
              <w:t>5.62</w:t>
            </w:r>
          </w:p>
        </w:tc>
        <w:tc>
          <w:tcPr>
            <w:tcW w:w="1134" w:type="dxa"/>
            <w:vAlign w:val="center"/>
          </w:tcPr>
          <w:p>
            <w:pPr>
              <w:pStyle w:val="12"/>
            </w:pPr>
            <w:r>
              <w:t>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5.62</w:t>
            </w:r>
          </w:p>
        </w:tc>
        <w:tc>
          <w:tcPr>
            <w:tcW w:w="1134" w:type="dxa"/>
            <w:vAlign w:val="center"/>
          </w:tcPr>
          <w:p>
            <w:pPr>
              <w:pStyle w:val="12"/>
            </w:pPr>
            <w:r>
              <w:t>5.62</w:t>
            </w:r>
          </w:p>
        </w:tc>
        <w:tc>
          <w:tcPr>
            <w:tcW w:w="1134" w:type="dxa"/>
            <w:vAlign w:val="center"/>
          </w:tcPr>
          <w:p>
            <w:pPr>
              <w:pStyle w:val="12"/>
            </w:pPr>
            <w:r>
              <w:t>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r>
              <w:t>3.04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2.58</w:t>
            </w:r>
          </w:p>
        </w:tc>
        <w:tc>
          <w:tcPr>
            <w:tcW w:w="1134" w:type="dxa"/>
            <w:vAlign w:val="center"/>
          </w:tcPr>
          <w:p>
            <w:pPr>
              <w:pStyle w:val="12"/>
            </w:pPr>
            <w:r>
              <w:t>2.58</w:t>
            </w:r>
          </w:p>
        </w:tc>
        <w:tc>
          <w:tcPr>
            <w:tcW w:w="1134" w:type="dxa"/>
            <w:vAlign w:val="center"/>
          </w:tcPr>
          <w:p>
            <w:pPr>
              <w:pStyle w:val="12"/>
            </w:pPr>
            <w:r>
              <w:t>2.58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r>
              <w:t>6.76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123.05</w:t>
            </w:r>
          </w:p>
        </w:tc>
        <w:tc>
          <w:tcPr>
            <w:tcW w:w="1361" w:type="dxa"/>
            <w:vAlign w:val="center"/>
          </w:tcPr>
          <w:p>
            <w:pPr>
              <w:pStyle w:val="16"/>
            </w:pPr>
            <w:r>
              <w:t>119.55</w:t>
            </w:r>
          </w:p>
        </w:tc>
        <w:tc>
          <w:tcPr>
            <w:tcW w:w="1361" w:type="dxa"/>
            <w:vAlign w:val="center"/>
          </w:tcPr>
          <w:p>
            <w:pPr>
              <w:pStyle w:val="16"/>
            </w:pPr>
            <w:r>
              <w:t>3.50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73.73</w:t>
            </w:r>
          </w:p>
        </w:tc>
        <w:tc>
          <w:tcPr>
            <w:tcW w:w="1361" w:type="dxa"/>
            <w:vAlign w:val="center"/>
          </w:tcPr>
          <w:p>
            <w:pPr>
              <w:pStyle w:val="12"/>
            </w:pPr>
            <w:r>
              <w:t>70.23</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73.73</w:t>
            </w:r>
          </w:p>
        </w:tc>
        <w:tc>
          <w:tcPr>
            <w:tcW w:w="1361" w:type="dxa"/>
            <w:vAlign w:val="center"/>
          </w:tcPr>
          <w:p>
            <w:pPr>
              <w:pStyle w:val="12"/>
            </w:pPr>
            <w:r>
              <w:t>70.23</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2012801</w:t>
            </w:r>
          </w:p>
        </w:tc>
        <w:tc>
          <w:tcPr>
            <w:tcW w:w="4535" w:type="dxa"/>
            <w:vAlign w:val="center"/>
          </w:tcPr>
          <w:p>
            <w:pPr>
              <w:pStyle w:val="13"/>
            </w:pPr>
            <w:r>
              <w:t>行政运行</w:t>
            </w:r>
          </w:p>
        </w:tc>
        <w:tc>
          <w:tcPr>
            <w:tcW w:w="1361" w:type="dxa"/>
            <w:vAlign w:val="center"/>
          </w:tcPr>
          <w:p>
            <w:pPr>
              <w:pStyle w:val="12"/>
            </w:pPr>
            <w:r>
              <w:t>70.23</w:t>
            </w:r>
          </w:p>
        </w:tc>
        <w:tc>
          <w:tcPr>
            <w:tcW w:w="1361" w:type="dxa"/>
            <w:vAlign w:val="center"/>
          </w:tcPr>
          <w:p>
            <w:pPr>
              <w:pStyle w:val="12"/>
            </w:pPr>
            <w:r>
              <w:t>70.23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2012802</w:t>
            </w:r>
          </w:p>
        </w:tc>
        <w:tc>
          <w:tcPr>
            <w:tcW w:w="4535" w:type="dxa"/>
            <w:vAlign w:val="center"/>
          </w:tcPr>
          <w:p>
            <w:pPr>
              <w:pStyle w:val="13"/>
            </w:pPr>
            <w:r>
              <w:t>一般行政管理事务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36.94</w:t>
            </w:r>
          </w:p>
        </w:tc>
        <w:tc>
          <w:tcPr>
            <w:tcW w:w="1361" w:type="dxa"/>
            <w:vAlign w:val="center"/>
          </w:tcPr>
          <w:p>
            <w:pPr>
              <w:pStyle w:val="12"/>
            </w:pPr>
            <w:r>
              <w:t>36.94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36.94</w:t>
            </w:r>
          </w:p>
        </w:tc>
        <w:tc>
          <w:tcPr>
            <w:tcW w:w="1361" w:type="dxa"/>
            <w:vAlign w:val="center"/>
          </w:tcPr>
          <w:p>
            <w:pPr>
              <w:pStyle w:val="12"/>
            </w:pPr>
            <w:r>
              <w:t>36.94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28.85</w:t>
            </w:r>
          </w:p>
        </w:tc>
        <w:tc>
          <w:tcPr>
            <w:tcW w:w="1361" w:type="dxa"/>
            <w:vAlign w:val="center"/>
          </w:tcPr>
          <w:p>
            <w:pPr>
              <w:pStyle w:val="12"/>
            </w:pPr>
            <w:r>
              <w:t>28.85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8.09</w:t>
            </w:r>
          </w:p>
        </w:tc>
        <w:tc>
          <w:tcPr>
            <w:tcW w:w="1361" w:type="dxa"/>
            <w:vAlign w:val="center"/>
          </w:tcPr>
          <w:p>
            <w:pPr>
              <w:pStyle w:val="12"/>
            </w:pPr>
            <w:r>
              <w:t>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5.62</w:t>
            </w:r>
          </w:p>
        </w:tc>
        <w:tc>
          <w:tcPr>
            <w:tcW w:w="1361" w:type="dxa"/>
            <w:vAlign w:val="center"/>
          </w:tcPr>
          <w:p>
            <w:pPr>
              <w:pStyle w:val="12"/>
            </w:pPr>
            <w:r>
              <w:t>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5.62</w:t>
            </w:r>
          </w:p>
        </w:tc>
        <w:tc>
          <w:tcPr>
            <w:tcW w:w="1361" w:type="dxa"/>
            <w:vAlign w:val="center"/>
          </w:tcPr>
          <w:p>
            <w:pPr>
              <w:pStyle w:val="12"/>
            </w:pPr>
            <w:r>
              <w:t>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3.04</w:t>
            </w:r>
          </w:p>
        </w:tc>
        <w:tc>
          <w:tcPr>
            <w:tcW w:w="1361" w:type="dxa"/>
            <w:vAlign w:val="center"/>
          </w:tcPr>
          <w:p>
            <w:pPr>
              <w:pStyle w:val="12"/>
            </w:pPr>
            <w:r>
              <w:t>3.04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2.58</w:t>
            </w:r>
          </w:p>
        </w:tc>
        <w:tc>
          <w:tcPr>
            <w:tcW w:w="1361" w:type="dxa"/>
            <w:vAlign w:val="center"/>
          </w:tcPr>
          <w:p>
            <w:pPr>
              <w:pStyle w:val="12"/>
            </w:pPr>
            <w:r>
              <w:t>2.58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6.76</w:t>
            </w:r>
          </w:p>
        </w:tc>
        <w:tc>
          <w:tcPr>
            <w:tcW w:w="1361" w:type="dxa"/>
            <w:vAlign w:val="center"/>
          </w:tcPr>
          <w:p>
            <w:pPr>
              <w:pStyle w:val="12"/>
            </w:pPr>
            <w:r>
              <w:t>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6.76</w:t>
            </w:r>
          </w:p>
        </w:tc>
        <w:tc>
          <w:tcPr>
            <w:tcW w:w="1361" w:type="dxa"/>
            <w:vAlign w:val="center"/>
          </w:tcPr>
          <w:p>
            <w:pPr>
              <w:pStyle w:val="12"/>
            </w:pPr>
            <w:r>
              <w:t>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6.76</w:t>
            </w:r>
          </w:p>
        </w:tc>
        <w:tc>
          <w:tcPr>
            <w:tcW w:w="1361" w:type="dxa"/>
            <w:vAlign w:val="center"/>
          </w:tcPr>
          <w:p>
            <w:pPr>
              <w:pStyle w:val="12"/>
            </w:pPr>
            <w:r>
              <w:t>6.76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123.05</w:t>
            </w:r>
          </w:p>
        </w:tc>
        <w:tc>
          <w:tcPr>
            <w:tcW w:w="3402" w:type="dxa"/>
            <w:vAlign w:val="center"/>
          </w:tcPr>
          <w:p>
            <w:pPr>
              <w:pStyle w:val="13"/>
            </w:pPr>
            <w:r>
              <w:t>一、一般公共服务支出</w:t>
            </w:r>
          </w:p>
        </w:tc>
        <w:tc>
          <w:tcPr>
            <w:tcW w:w="1474" w:type="dxa"/>
            <w:vAlign w:val="center"/>
          </w:tcPr>
          <w:p>
            <w:pPr>
              <w:pStyle w:val="12"/>
            </w:pPr>
            <w:r>
              <w:t>73.73</w:t>
            </w:r>
          </w:p>
        </w:tc>
        <w:tc>
          <w:tcPr>
            <w:tcW w:w="1474" w:type="dxa"/>
            <w:vAlign w:val="center"/>
          </w:tcPr>
          <w:p>
            <w:pPr>
              <w:pStyle w:val="12"/>
            </w:pPr>
            <w:r>
              <w:t>73.73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36.94</w:t>
            </w:r>
          </w:p>
        </w:tc>
        <w:tc>
          <w:tcPr>
            <w:tcW w:w="1474" w:type="dxa"/>
            <w:vAlign w:val="center"/>
          </w:tcPr>
          <w:p>
            <w:pPr>
              <w:pStyle w:val="12"/>
            </w:pPr>
            <w:r>
              <w:t>36.94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5.62</w:t>
            </w:r>
          </w:p>
        </w:tc>
        <w:tc>
          <w:tcPr>
            <w:tcW w:w="1474" w:type="dxa"/>
            <w:vAlign w:val="center"/>
          </w:tcPr>
          <w:p>
            <w:pPr>
              <w:pStyle w:val="12"/>
            </w:pPr>
            <w:r>
              <w:t>5.62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6.76</w:t>
            </w:r>
          </w:p>
        </w:tc>
        <w:tc>
          <w:tcPr>
            <w:tcW w:w="1474" w:type="dxa"/>
            <w:vAlign w:val="center"/>
          </w:tcPr>
          <w:p>
            <w:pPr>
              <w:pStyle w:val="12"/>
            </w:pPr>
            <w:r>
              <w:t>6.76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123.05</w:t>
            </w:r>
          </w:p>
        </w:tc>
        <w:tc>
          <w:tcPr>
            <w:tcW w:w="3402" w:type="dxa"/>
            <w:vAlign w:val="center"/>
          </w:tcPr>
          <w:p>
            <w:pPr>
              <w:pStyle w:val="15"/>
            </w:pPr>
            <w:r>
              <w:t>本年支出合计</w:t>
            </w:r>
          </w:p>
        </w:tc>
        <w:tc>
          <w:tcPr>
            <w:tcW w:w="1474" w:type="dxa"/>
            <w:vAlign w:val="center"/>
          </w:tcPr>
          <w:p>
            <w:pPr>
              <w:pStyle w:val="16"/>
            </w:pPr>
            <w:r>
              <w:t>123.05</w:t>
            </w:r>
          </w:p>
        </w:tc>
        <w:tc>
          <w:tcPr>
            <w:tcW w:w="1474" w:type="dxa"/>
            <w:vAlign w:val="center"/>
          </w:tcPr>
          <w:p>
            <w:pPr>
              <w:pStyle w:val="16"/>
            </w:pPr>
            <w:r>
              <w:t>123.05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123.05</w:t>
            </w:r>
          </w:p>
        </w:tc>
        <w:tc>
          <w:tcPr>
            <w:tcW w:w="3402" w:type="dxa"/>
            <w:vAlign w:val="center"/>
          </w:tcPr>
          <w:p>
            <w:pPr>
              <w:pStyle w:val="15"/>
            </w:pPr>
            <w:r>
              <w:t>支出总计</w:t>
            </w:r>
          </w:p>
        </w:tc>
        <w:tc>
          <w:tcPr>
            <w:tcW w:w="1474" w:type="dxa"/>
            <w:vAlign w:val="center"/>
          </w:tcPr>
          <w:p>
            <w:pPr>
              <w:pStyle w:val="16"/>
            </w:pPr>
            <w:r>
              <w:t>123.05</w:t>
            </w:r>
          </w:p>
        </w:tc>
        <w:tc>
          <w:tcPr>
            <w:tcW w:w="1474" w:type="dxa"/>
            <w:vAlign w:val="center"/>
          </w:tcPr>
          <w:p>
            <w:pPr>
              <w:pStyle w:val="16"/>
            </w:pPr>
            <w:r>
              <w:t>123.05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123.05</w:t>
            </w:r>
          </w:p>
        </w:tc>
        <w:tc>
          <w:tcPr>
            <w:tcW w:w="2551" w:type="dxa"/>
            <w:vAlign w:val="center"/>
          </w:tcPr>
          <w:p>
            <w:pPr>
              <w:pStyle w:val="16"/>
            </w:pPr>
            <w:r>
              <w:t>119.55</w:t>
            </w:r>
          </w:p>
        </w:tc>
        <w:tc>
          <w:tcPr>
            <w:tcW w:w="2551" w:type="dxa"/>
            <w:vAlign w:val="center"/>
          </w:tcPr>
          <w:p>
            <w:pPr>
              <w:pStyle w:val="16"/>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73.73</w:t>
            </w:r>
          </w:p>
        </w:tc>
        <w:tc>
          <w:tcPr>
            <w:tcW w:w="2551" w:type="dxa"/>
            <w:vAlign w:val="center"/>
          </w:tcPr>
          <w:p>
            <w:pPr>
              <w:pStyle w:val="12"/>
            </w:pPr>
            <w:r>
              <w:t>70.23</w:t>
            </w: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73.73</w:t>
            </w:r>
          </w:p>
        </w:tc>
        <w:tc>
          <w:tcPr>
            <w:tcW w:w="2551" w:type="dxa"/>
            <w:vAlign w:val="center"/>
          </w:tcPr>
          <w:p>
            <w:pPr>
              <w:pStyle w:val="12"/>
            </w:pPr>
            <w:r>
              <w:t>70.23</w:t>
            </w: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2012801</w:t>
            </w:r>
          </w:p>
        </w:tc>
        <w:tc>
          <w:tcPr>
            <w:tcW w:w="4535" w:type="dxa"/>
            <w:vAlign w:val="center"/>
          </w:tcPr>
          <w:p>
            <w:pPr>
              <w:pStyle w:val="13"/>
            </w:pPr>
            <w:r>
              <w:t>行政运行</w:t>
            </w:r>
          </w:p>
        </w:tc>
        <w:tc>
          <w:tcPr>
            <w:tcW w:w="2551" w:type="dxa"/>
            <w:vAlign w:val="center"/>
          </w:tcPr>
          <w:p>
            <w:pPr>
              <w:pStyle w:val="12"/>
            </w:pPr>
            <w:r>
              <w:t>70.23</w:t>
            </w:r>
          </w:p>
        </w:tc>
        <w:tc>
          <w:tcPr>
            <w:tcW w:w="2551" w:type="dxa"/>
            <w:vAlign w:val="center"/>
          </w:tcPr>
          <w:p>
            <w:pPr>
              <w:pStyle w:val="12"/>
            </w:pPr>
            <w:r>
              <w:t>70.23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2012802</w:t>
            </w:r>
          </w:p>
        </w:tc>
        <w:tc>
          <w:tcPr>
            <w:tcW w:w="4535" w:type="dxa"/>
            <w:vAlign w:val="center"/>
          </w:tcPr>
          <w:p>
            <w:pPr>
              <w:pStyle w:val="13"/>
            </w:pPr>
            <w:r>
              <w:t>一般行政管理事务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36.94</w:t>
            </w:r>
          </w:p>
        </w:tc>
        <w:tc>
          <w:tcPr>
            <w:tcW w:w="2551" w:type="dxa"/>
            <w:vAlign w:val="center"/>
          </w:tcPr>
          <w:p>
            <w:pPr>
              <w:pStyle w:val="12"/>
            </w:pPr>
            <w:r>
              <w:t>36.94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36.94</w:t>
            </w:r>
          </w:p>
        </w:tc>
        <w:tc>
          <w:tcPr>
            <w:tcW w:w="2551" w:type="dxa"/>
            <w:vAlign w:val="center"/>
          </w:tcPr>
          <w:p>
            <w:pPr>
              <w:pStyle w:val="12"/>
            </w:pPr>
            <w:r>
              <w:t>36.94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28.85</w:t>
            </w:r>
          </w:p>
        </w:tc>
        <w:tc>
          <w:tcPr>
            <w:tcW w:w="2551" w:type="dxa"/>
            <w:vAlign w:val="center"/>
          </w:tcPr>
          <w:p>
            <w:pPr>
              <w:pStyle w:val="12"/>
            </w:pPr>
            <w:r>
              <w:t>28.85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8.09</w:t>
            </w:r>
          </w:p>
        </w:tc>
        <w:tc>
          <w:tcPr>
            <w:tcW w:w="2551" w:type="dxa"/>
            <w:vAlign w:val="center"/>
          </w:tcPr>
          <w:p>
            <w:pPr>
              <w:pStyle w:val="12"/>
            </w:pPr>
            <w:r>
              <w:t>8.09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5.62</w:t>
            </w:r>
          </w:p>
        </w:tc>
        <w:tc>
          <w:tcPr>
            <w:tcW w:w="2551" w:type="dxa"/>
            <w:vAlign w:val="center"/>
          </w:tcPr>
          <w:p>
            <w:pPr>
              <w:pStyle w:val="12"/>
            </w:pPr>
            <w:r>
              <w:t>5.62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5.62</w:t>
            </w:r>
          </w:p>
        </w:tc>
        <w:tc>
          <w:tcPr>
            <w:tcW w:w="2551" w:type="dxa"/>
            <w:vAlign w:val="center"/>
          </w:tcPr>
          <w:p>
            <w:pPr>
              <w:pStyle w:val="12"/>
            </w:pPr>
            <w:r>
              <w:t>5.62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3.04</w:t>
            </w:r>
          </w:p>
        </w:tc>
        <w:tc>
          <w:tcPr>
            <w:tcW w:w="2551" w:type="dxa"/>
            <w:vAlign w:val="center"/>
          </w:tcPr>
          <w:p>
            <w:pPr>
              <w:pStyle w:val="12"/>
            </w:pPr>
            <w:r>
              <w:t>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2.58</w:t>
            </w:r>
          </w:p>
        </w:tc>
        <w:tc>
          <w:tcPr>
            <w:tcW w:w="2551" w:type="dxa"/>
            <w:vAlign w:val="center"/>
          </w:tcPr>
          <w:p>
            <w:pPr>
              <w:pStyle w:val="12"/>
            </w:pPr>
            <w:r>
              <w:t>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6.76</w:t>
            </w:r>
          </w:p>
        </w:tc>
        <w:tc>
          <w:tcPr>
            <w:tcW w:w="2551" w:type="dxa"/>
            <w:vAlign w:val="center"/>
          </w:tcPr>
          <w:p>
            <w:pPr>
              <w:pStyle w:val="12"/>
            </w:pPr>
            <w:r>
              <w:t>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6.76</w:t>
            </w:r>
          </w:p>
        </w:tc>
        <w:tc>
          <w:tcPr>
            <w:tcW w:w="2551" w:type="dxa"/>
            <w:vAlign w:val="center"/>
          </w:tcPr>
          <w:p>
            <w:pPr>
              <w:pStyle w:val="12"/>
            </w:pPr>
            <w:r>
              <w:t>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6.76</w:t>
            </w:r>
          </w:p>
        </w:tc>
        <w:tc>
          <w:tcPr>
            <w:tcW w:w="2551" w:type="dxa"/>
            <w:vAlign w:val="center"/>
          </w:tcPr>
          <w:p>
            <w:pPr>
              <w:pStyle w:val="12"/>
            </w:pPr>
            <w:r>
              <w:t>6.76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119.55</w:t>
            </w:r>
          </w:p>
        </w:tc>
        <w:tc>
          <w:tcPr>
            <w:tcW w:w="2551" w:type="dxa"/>
            <w:vAlign w:val="center"/>
          </w:tcPr>
          <w:p>
            <w:pPr>
              <w:pStyle w:val="16"/>
            </w:pPr>
            <w:r>
              <w:t>110.12</w:t>
            </w:r>
          </w:p>
        </w:tc>
        <w:tc>
          <w:tcPr>
            <w:tcW w:w="2551" w:type="dxa"/>
            <w:vAlign w:val="center"/>
          </w:tcPr>
          <w:p>
            <w:pPr>
              <w:pStyle w:val="16"/>
            </w:pPr>
            <w:r>
              <w:t>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81.27</w:t>
            </w:r>
          </w:p>
        </w:tc>
        <w:tc>
          <w:tcPr>
            <w:tcW w:w="2551" w:type="dxa"/>
            <w:vAlign w:val="center"/>
          </w:tcPr>
          <w:p>
            <w:pPr>
              <w:pStyle w:val="12"/>
            </w:pPr>
            <w:r>
              <w:t>81.27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24.93</w:t>
            </w:r>
          </w:p>
        </w:tc>
        <w:tc>
          <w:tcPr>
            <w:tcW w:w="2551" w:type="dxa"/>
            <w:vAlign w:val="center"/>
          </w:tcPr>
          <w:p>
            <w:pPr>
              <w:pStyle w:val="12"/>
            </w:pPr>
            <w:r>
              <w:t>24.93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16.95</w:t>
            </w:r>
          </w:p>
        </w:tc>
        <w:tc>
          <w:tcPr>
            <w:tcW w:w="2551" w:type="dxa"/>
            <w:vAlign w:val="center"/>
          </w:tcPr>
          <w:p>
            <w:pPr>
              <w:pStyle w:val="12"/>
            </w:pPr>
            <w:r>
              <w:t>16.95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18.72</w:t>
            </w:r>
          </w:p>
        </w:tc>
        <w:tc>
          <w:tcPr>
            <w:tcW w:w="2551" w:type="dxa"/>
            <w:vAlign w:val="center"/>
          </w:tcPr>
          <w:p>
            <w:pPr>
              <w:pStyle w:val="12"/>
            </w:pPr>
            <w:r>
              <w:t>18.72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8.09</w:t>
            </w:r>
          </w:p>
        </w:tc>
        <w:tc>
          <w:tcPr>
            <w:tcW w:w="2551" w:type="dxa"/>
            <w:vAlign w:val="center"/>
          </w:tcPr>
          <w:p>
            <w:pPr>
              <w:pStyle w:val="12"/>
            </w:pPr>
            <w:r>
              <w:t>8.09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3.04</w:t>
            </w:r>
          </w:p>
        </w:tc>
        <w:tc>
          <w:tcPr>
            <w:tcW w:w="2551" w:type="dxa"/>
            <w:vAlign w:val="center"/>
          </w:tcPr>
          <w:p>
            <w:pPr>
              <w:pStyle w:val="12"/>
            </w:pPr>
            <w:r>
              <w:t>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2.58</w:t>
            </w:r>
          </w:p>
        </w:tc>
        <w:tc>
          <w:tcPr>
            <w:tcW w:w="2551" w:type="dxa"/>
            <w:vAlign w:val="center"/>
          </w:tcPr>
          <w:p>
            <w:pPr>
              <w:pStyle w:val="12"/>
            </w:pPr>
            <w:r>
              <w:t>2.58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6.76</w:t>
            </w:r>
          </w:p>
        </w:tc>
        <w:tc>
          <w:tcPr>
            <w:tcW w:w="2551" w:type="dxa"/>
            <w:vAlign w:val="center"/>
          </w:tcPr>
          <w:p>
            <w:pPr>
              <w:pStyle w:val="12"/>
            </w:pPr>
            <w:r>
              <w:t>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9.43</w:t>
            </w:r>
          </w:p>
        </w:tc>
        <w:tc>
          <w:tcPr>
            <w:tcW w:w="2551" w:type="dxa"/>
            <w:vAlign w:val="center"/>
          </w:tcPr>
          <w:p>
            <w:pPr>
              <w:pStyle w:val="12"/>
            </w:pPr>
          </w:p>
        </w:tc>
        <w:tc>
          <w:tcPr>
            <w:tcW w:w="2551" w:type="dxa"/>
            <w:vAlign w:val="center"/>
          </w:tcPr>
          <w:p>
            <w:pPr>
              <w:pStyle w:val="12"/>
            </w:pPr>
            <w:r>
              <w:t>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0.44</w:t>
            </w:r>
          </w:p>
        </w:tc>
        <w:tc>
          <w:tcPr>
            <w:tcW w:w="2551" w:type="dxa"/>
            <w:vAlign w:val="center"/>
          </w:tcPr>
          <w:p>
            <w:pPr>
              <w:pStyle w:val="12"/>
            </w:pPr>
          </w:p>
        </w:tc>
        <w:tc>
          <w:tcPr>
            <w:tcW w:w="2551" w:type="dxa"/>
            <w:vAlign w:val="center"/>
          </w:tcPr>
          <w:p>
            <w:pPr>
              <w:pStyle w:val="12"/>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1.19</w:t>
            </w:r>
          </w:p>
        </w:tc>
        <w:tc>
          <w:tcPr>
            <w:tcW w:w="2551" w:type="dxa"/>
            <w:vAlign w:val="center"/>
          </w:tcPr>
          <w:p>
            <w:pPr>
              <w:pStyle w:val="12"/>
            </w:pPr>
          </w:p>
        </w:tc>
        <w:tc>
          <w:tcPr>
            <w:tcW w:w="2551" w:type="dxa"/>
            <w:vAlign w:val="center"/>
          </w:tcPr>
          <w:p>
            <w:pPr>
              <w:pStyle w:val="12"/>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28.85</w:t>
            </w:r>
          </w:p>
        </w:tc>
        <w:tc>
          <w:tcPr>
            <w:tcW w:w="2551" w:type="dxa"/>
            <w:vAlign w:val="center"/>
          </w:tcPr>
          <w:p>
            <w:pPr>
              <w:pStyle w:val="12"/>
            </w:pPr>
            <w:r>
              <w:t>28.85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28.85</w:t>
            </w:r>
          </w:p>
        </w:tc>
        <w:tc>
          <w:tcPr>
            <w:tcW w:w="2551" w:type="dxa"/>
            <w:vAlign w:val="center"/>
          </w:tcPr>
          <w:p>
            <w:pPr>
              <w:pStyle w:val="12"/>
            </w:pPr>
            <w:r>
              <w:t>28.85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714正定县工商业联合会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正定县工商业联合会2026年部门预算信息公开情况说明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正定县工商业联合会2026年部门预算信息公开情况说明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按照《中华人民共和国预算法》、《地方预决算公开操作规程》和《关于进一步推进预算公开工作的实施意见》规定，现将正定县工商业联合会2026年部门预算公开如下：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（一）负责宣传、贯彻党和国家的方针政策，加强和改进思想政治工作，提倡爱国、敬业、守法，做好工商界代表人士的推荐工作。</w:t>
      </w:r>
    </w:p>
    <w:p>
      <w:pPr>
        <w:pStyle w:val="18"/>
      </w:pPr>
      <w:r>
        <w:t>（二）负责参与全县大政方针及政治、经济、社会生活中的重要问题的政治协商，发挥民主监督的作用。代表并维护会员的合法权益，反映会员的意见、要求和建议。</w:t>
      </w:r>
    </w:p>
    <w:p>
      <w:pPr>
        <w:pStyle w:val="18"/>
      </w:pPr>
      <w:r>
        <w:t>（三）负责开展工商专业培训，帮助会员改进经营管理，完善财会管理，提高生产技术和产品质量。负责为会员提供信息和科技、管理、法律、会计、审计、融资、咨询等服务，引导会员积极参加经济建设。</w:t>
      </w:r>
    </w:p>
    <w:p>
      <w:pPr>
        <w:pStyle w:val="18"/>
      </w:pPr>
      <w:r>
        <w:t>（四）负责组织会员举办和参加各种对内对外经济技术交流，促进与世界各国工商社团及工商界人士的联系和友谊，协助引进资金、技术、人才。</w:t>
      </w:r>
    </w:p>
    <w:p>
      <w:pPr>
        <w:pStyle w:val="18"/>
      </w:pPr>
      <w:r>
        <w:t>（五）负责引导会员弘扬中华民族传统美德，热心社会公益事业。</w:t>
      </w:r>
    </w:p>
    <w:p>
      <w:pPr>
        <w:pStyle w:val="18"/>
      </w:pPr>
      <w:r>
        <w:t>（六）负责为会员提供有关证明，协调关系，调解经济纠纷。</w:t>
      </w:r>
    </w:p>
    <w:p>
      <w:pPr>
        <w:pStyle w:val="18"/>
      </w:pPr>
      <w:r>
        <w:t>（七）负责办好会办企业、事业。</w:t>
      </w:r>
    </w:p>
    <w:p>
      <w:pPr>
        <w:pStyle w:val="18"/>
      </w:pPr>
      <w:r>
        <w:t>（八）承办有关部门委托事项。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按照预算管理有关规定，目前部门预算的编制实行综合预算管理，即全部收入和支出都反映在预算中。正定县工商业联合会机关及所属事业单位的收支包含在部门预算中。</w:t>
      </w:r>
    </w:p>
    <w:p>
      <w:pPr>
        <w:pStyle w:val="19"/>
      </w:pPr>
      <w:r>
        <w:t>1、收入说明</w:t>
      </w:r>
    </w:p>
    <w:p>
      <w:pPr>
        <w:pStyle w:val="19"/>
      </w:pPr>
      <w:r>
        <w:t>反映本部门当年全部收入。2026年预算收入123.05万元，其中：一般公共预算收入123.05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工商业联合会年度部门预算中支出预算的总体情况。2026年支出预算123.05万元，其中基本支出119.55万元，包括人员经费110.12万元和日常公用经费9.43万元；项目支出3.50万元，主要为主要为组织开展非公经济人士理想信念教育活动、开展座谈培训，共计0.67万元；保障日常工作正常运转、学习资料及印刷，维护设备等共计1.33万元；开展友好商会交流和会员考察活动共计1.5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123.05万元，较2025年预算增加6.49万元，其中：基本支出增加6.49万元，主要为机关人员工资调标，增加工资费用。项目支出增加0.00万元，主要为项目支出无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年，我部门机关运行经费共计安排9.</w:t>
      </w:r>
      <w:r>
        <w:rPr>
          <w:rFonts w:hint="eastAsia"/>
          <w:lang w:val="en-US" w:eastAsia="zh-CN"/>
        </w:rPr>
        <w:t>43</w:t>
      </w:r>
      <w:r>
        <w:t>万元，主要用于日常维修、办公用房水电费、办公用房取暖费、办公用房物业管理费等日常运行支出。</w:t>
      </w:r>
      <w:bookmarkStart w:id="20" w:name="_GoBack"/>
      <w:bookmarkEnd w:id="20"/>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年相比增加0.00万元，增减变化的主要原因是我部门202</w:t>
      </w:r>
      <w:r>
        <w:rPr>
          <w:rFonts w:hint="eastAsia"/>
          <w:lang w:val="en-US" w:eastAsia="zh-CN"/>
        </w:rPr>
        <w:t>6</w:t>
      </w:r>
      <w:r>
        <w:t>年“三公”经费预算与202</w:t>
      </w:r>
      <w:r>
        <w:rPr>
          <w:rFonts w:hint="eastAsia"/>
          <w:lang w:val="en-US" w:eastAsia="zh-CN"/>
        </w:rPr>
        <w:t>5</w:t>
      </w:r>
      <w:r>
        <w:t>年相持平。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高举中国特色社会主义伟大旗帜，以习近平新时代中国特色社会主义思想为指导，认真贯彻党的路线方针政策，进一步加强和改进新形势下工商联的工作，营造企业家健康成长环境，弘扬优秀企业家精神，更好发挥企业家作用，实现正定县经济社会持续健康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（一）通过会议、活动等多种形式加强对会员的培训和商会组织管理，使会员的自身素质组织健康发展得到进一步提高。</w:t>
      </w:r>
    </w:p>
    <w:p>
      <w:pPr>
        <w:pStyle w:val="23"/>
      </w:pPr>
      <w:r>
        <w:t>（二）搞好参政议政工作，组织开展调研，向县委县政府提出合理化建议，向县政协提交大会发言和集体提案。</w:t>
      </w:r>
    </w:p>
    <w:p>
      <w:pPr>
        <w:pStyle w:val="23"/>
      </w:pPr>
      <w:r>
        <w:t>（三）营造企业家健康成长环境，弘扬优秀企业家精神，打造一支优秀企业家队伍，实现正定县经济社会持续健康发展。</w:t>
      </w:r>
    </w:p>
    <w:p>
      <w:pPr>
        <w:pStyle w:val="23"/>
      </w:pPr>
      <w:r>
        <w:t>（四）加强与国内外社团沟通交流，充分发挥工商联在政府管理和服务非公有制经济中的助手作用，积极参加经贸活动，助力正定县经济发展。</w:t>
      </w:r>
    </w:p>
    <w:p>
      <w:pPr>
        <w:pStyle w:val="23"/>
      </w:pPr>
      <w:r>
        <w:t>（五）对会员进行理想信念教育，引导会员积极承担社会职责，热心公益事业，投身光彩事业。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（一）邀请专家教授，组织会员企业开展每季度一次的专题培训，进行有针对性的指导，帮助企业提高经营管理水平。</w:t>
      </w:r>
    </w:p>
    <w:p>
      <w:pPr>
        <w:pStyle w:val="24"/>
      </w:pPr>
      <w:r>
        <w:t>（二）积极参加经贸活动，组织会员企业外出考察，学习外地先进企业的经营管理经验。</w:t>
      </w:r>
    </w:p>
    <w:p>
      <w:pPr>
        <w:pStyle w:val="24"/>
      </w:pPr>
      <w:r>
        <w:t>（三）营造企业家健康成长环境，弘扬优秀企业家精神，更好发挥企业家作用，打造一支优秀企业家队伍，实现正定县经济社会持续健康发展。</w:t>
      </w:r>
    </w:p>
    <w:p>
      <w:pPr>
        <w:pStyle w:val="24"/>
      </w:pPr>
      <w:r>
        <w:t>（四）以基层组织建设为主题，带领基层商会、协会负责人走出去，学习借鉴发达地区商会、协会运作的经验，探讨基层商会、协会在规范管理、作用发挥等方面的新办法、新途径。为加强正定与各地商会组织的联系和交流，拟与省内多地工商联和商会组织缔结友好商会关系。</w:t>
      </w:r>
    </w:p>
    <w:p>
      <w:pPr>
        <w:pStyle w:val="24"/>
      </w:pPr>
      <w:r>
        <w:t>（五）加强与工商联界别政协委员、人大代表的联系，加强对工商联界别政协委员进行撰写提案能力的培训，引导其精心组织撰写提案、议案，不断提高“两案”质量，为党委政府决策提供重要参考。</w:t>
      </w:r>
    </w:p>
    <w:p>
      <w:pPr>
        <w:pStyle w:val="24"/>
        <w:sectPr>
          <w:pgSz w:w="16840" w:h="11900" w:orient="landscape"/>
          <w:pgMar w:top="1361" w:right="1020" w:bottom="1361" w:left="1020" w:header="720" w:footer="720" w:gutter="0"/>
        </w:sectPr>
      </w:pPr>
      <w:r>
        <w:t>（六）认真做好广大会员的思想政治教育、光彩事业活动和构建和谐劳动关系等工作，为会员企业扎扎实实搞好服务，力促我县民营经济实现又好又快发展，把工商联各项工作提高到一个新的台阶。</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1、非公经济人士理想信念教育、培训座谈会经费绩效目标表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13012326P005J7J101568</w:t>
            </w:r>
          </w:p>
        </w:tc>
        <w:tc>
          <w:tcPr>
            <w:tcW w:w="2835" w:type="dxa"/>
            <w:vAlign w:val="center"/>
          </w:tcPr>
          <w:p>
            <w:pPr>
              <w:pStyle w:val="11"/>
            </w:pPr>
            <w:r>
              <w:t>项目名称</w:t>
            </w:r>
          </w:p>
        </w:tc>
        <w:tc>
          <w:tcPr>
            <w:tcW w:w="6095" w:type="dxa"/>
            <w:gridSpan w:val="3"/>
            <w:vAlign w:val="center"/>
          </w:tcPr>
          <w:p>
            <w:pPr>
              <w:pStyle w:val="13"/>
            </w:pPr>
            <w:r>
              <w:t>非公经济人士理想信念教育、培训座谈会经费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按照《深入开展理想信念教育实践活动》的要求，以“守法诚信、坚定信念”为重点，继续深入开展非公有制经济人士理想信念教育实践活动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1.非公经济人士理想信念更加坚定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举办座谈会次数</w:t>
            </w:r>
          </w:p>
        </w:tc>
        <w:tc>
          <w:tcPr>
            <w:tcW w:w="5386" w:type="dxa"/>
            <w:vAlign w:val="center"/>
          </w:tcPr>
          <w:p>
            <w:pPr>
              <w:pStyle w:val="13"/>
            </w:pPr>
            <w:r>
              <w:t>举办非公经济人士座谈会次数</w:t>
            </w:r>
          </w:p>
        </w:tc>
        <w:tc>
          <w:tcPr>
            <w:tcW w:w="2268" w:type="dxa"/>
            <w:vAlign w:val="center"/>
          </w:tcPr>
          <w:p>
            <w:pPr>
              <w:pStyle w:val="13"/>
            </w:pPr>
            <w:r>
              <w:t>≥1</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新会员培训合格率</w:t>
            </w:r>
          </w:p>
        </w:tc>
        <w:tc>
          <w:tcPr>
            <w:tcW w:w="5386" w:type="dxa"/>
            <w:vAlign w:val="center"/>
          </w:tcPr>
          <w:p>
            <w:pPr>
              <w:pStyle w:val="13"/>
            </w:pPr>
            <w:r>
              <w:t>新会员培训合格率</w:t>
            </w:r>
          </w:p>
        </w:tc>
        <w:tc>
          <w:tcPr>
            <w:tcW w:w="2268" w:type="dxa"/>
            <w:vAlign w:val="center"/>
          </w:tcPr>
          <w:p>
            <w:pPr>
              <w:pStyle w:val="13"/>
            </w:pPr>
            <w:r>
              <w:t>≥95</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服务完成度</w:t>
            </w:r>
          </w:p>
        </w:tc>
        <w:tc>
          <w:tcPr>
            <w:tcW w:w="5386" w:type="dxa"/>
            <w:vAlign w:val="center"/>
          </w:tcPr>
          <w:p>
            <w:pPr>
              <w:pStyle w:val="13"/>
            </w:pPr>
            <w:r>
              <w:t>服务完成度</w:t>
            </w:r>
          </w:p>
        </w:tc>
        <w:tc>
          <w:tcPr>
            <w:tcW w:w="2268" w:type="dxa"/>
            <w:vAlign w:val="center"/>
          </w:tcPr>
          <w:p>
            <w:pPr>
              <w:pStyle w:val="13"/>
            </w:pPr>
            <w:r>
              <w:t>≥95</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合理使用经费</w:t>
            </w:r>
          </w:p>
        </w:tc>
        <w:tc>
          <w:tcPr>
            <w:tcW w:w="5386" w:type="dxa"/>
            <w:vAlign w:val="center"/>
          </w:tcPr>
          <w:p>
            <w:pPr>
              <w:pStyle w:val="13"/>
            </w:pPr>
            <w:r>
              <w:t>合理使用经费</w:t>
            </w:r>
          </w:p>
        </w:tc>
        <w:tc>
          <w:tcPr>
            <w:tcW w:w="2268" w:type="dxa"/>
            <w:vAlign w:val="center"/>
          </w:tcPr>
          <w:p>
            <w:pPr>
              <w:pStyle w:val="13"/>
            </w:pPr>
            <w:r>
              <w:t>经费得到合理支出</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得到广大民营企业家的充分认可</w:t>
            </w:r>
          </w:p>
        </w:tc>
        <w:tc>
          <w:tcPr>
            <w:tcW w:w="2268" w:type="dxa"/>
            <w:vAlign w:val="center"/>
          </w:tcPr>
          <w:p>
            <w:pPr>
              <w:pStyle w:val="13"/>
            </w:pPr>
            <w:r>
              <w:t>得到广大民营企业家的充分认可</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民营经济活力得到提高</w:t>
            </w:r>
          </w:p>
        </w:tc>
        <w:tc>
          <w:tcPr>
            <w:tcW w:w="5386" w:type="dxa"/>
            <w:vAlign w:val="center"/>
          </w:tcPr>
          <w:p>
            <w:pPr>
              <w:pStyle w:val="13"/>
            </w:pPr>
            <w:r>
              <w:t>民营经济活力得到提高</w:t>
            </w:r>
          </w:p>
        </w:tc>
        <w:tc>
          <w:tcPr>
            <w:tcW w:w="2268" w:type="dxa"/>
            <w:vAlign w:val="center"/>
          </w:tcPr>
          <w:p>
            <w:pPr>
              <w:pStyle w:val="13"/>
            </w:pPr>
            <w:r>
              <w:t>民营经济活力得到提高</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不产生生态影响</w:t>
            </w:r>
          </w:p>
        </w:tc>
        <w:tc>
          <w:tcPr>
            <w:tcW w:w="5386" w:type="dxa"/>
            <w:vAlign w:val="center"/>
          </w:tcPr>
          <w:p>
            <w:pPr>
              <w:pStyle w:val="13"/>
            </w:pPr>
            <w:r>
              <w:t>不产生生态影响</w:t>
            </w:r>
          </w:p>
        </w:tc>
        <w:tc>
          <w:tcPr>
            <w:tcW w:w="2268" w:type="dxa"/>
            <w:vAlign w:val="center"/>
          </w:tcPr>
          <w:p>
            <w:pPr>
              <w:pStyle w:val="13"/>
            </w:pPr>
            <w:r>
              <w:t>不产生生态影响</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民营经济健康发展</w:t>
            </w:r>
          </w:p>
        </w:tc>
        <w:tc>
          <w:tcPr>
            <w:tcW w:w="5386" w:type="dxa"/>
            <w:vAlign w:val="center"/>
          </w:tcPr>
          <w:p>
            <w:pPr>
              <w:pStyle w:val="13"/>
            </w:pPr>
            <w:r>
              <w:t>民营经济健康发展</w:t>
            </w:r>
          </w:p>
        </w:tc>
        <w:tc>
          <w:tcPr>
            <w:tcW w:w="2268" w:type="dxa"/>
            <w:vAlign w:val="center"/>
          </w:tcPr>
          <w:p>
            <w:pPr>
              <w:pStyle w:val="13"/>
            </w:pPr>
            <w:r>
              <w:t>民营经济健康发展</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反映满意的评价占总评价的比率</w:t>
            </w:r>
          </w:p>
        </w:tc>
        <w:tc>
          <w:tcPr>
            <w:tcW w:w="2268" w:type="dxa"/>
            <w:vAlign w:val="center"/>
          </w:tcPr>
          <w:p>
            <w:pPr>
              <w:pStyle w:val="13"/>
            </w:pPr>
            <w:r>
              <w:t>≥95</w:t>
            </w:r>
          </w:p>
        </w:tc>
        <w:tc>
          <w:tcPr>
            <w:tcW w:w="1276" w:type="dxa"/>
            <w:vAlign w:val="center"/>
          </w:tcPr>
          <w:p>
            <w:pPr>
              <w:pStyle w:val="13"/>
            </w:pPr>
            <w:r>
              <w:t>历史经验标准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2、工商联机关综合保障经费绩效目标表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13012326P005J7J10157U</w:t>
            </w:r>
          </w:p>
        </w:tc>
        <w:tc>
          <w:tcPr>
            <w:tcW w:w="2835" w:type="dxa"/>
            <w:vAlign w:val="center"/>
          </w:tcPr>
          <w:p>
            <w:pPr>
              <w:pStyle w:val="11"/>
            </w:pPr>
            <w:r>
              <w:t>项目名称</w:t>
            </w:r>
          </w:p>
        </w:tc>
        <w:tc>
          <w:tcPr>
            <w:tcW w:w="6095" w:type="dxa"/>
            <w:gridSpan w:val="3"/>
            <w:vAlign w:val="center"/>
          </w:tcPr>
          <w:p>
            <w:pPr>
              <w:pStyle w:val="13"/>
            </w:pPr>
            <w:r>
              <w:t>工商联机关综合保障经费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w:t>
            </w:r>
          </w:p>
        </w:tc>
        <w:tc>
          <w:tcPr>
            <w:tcW w:w="2835" w:type="dxa"/>
            <w:vAlign w:val="center"/>
          </w:tcPr>
          <w:p>
            <w:pPr>
              <w:pStyle w:val="11"/>
            </w:pPr>
            <w:r>
              <w:t>其中：财政    资金</w:t>
            </w:r>
          </w:p>
        </w:tc>
        <w:tc>
          <w:tcPr>
            <w:tcW w:w="2551" w:type="dxa"/>
            <w:vAlign w:val="center"/>
          </w:tcPr>
          <w:p>
            <w:pPr>
              <w:pStyle w:val="13"/>
            </w:pPr>
            <w:r>
              <w:t>1.33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保证工商联日常工作正常运转，以及负责档案、信息、机关各类财务、机要、保密、安全保卫、固定资产等管理和后勤保障工作的有序进行</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1.工商联日常工作正常运转，以及负责档案、信息、机关各类财务、机要、保密、安全保卫、固定资产等管理和后勤保障工作的有序进行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购买办公用品数量</w:t>
            </w:r>
          </w:p>
        </w:tc>
        <w:tc>
          <w:tcPr>
            <w:tcW w:w="5386" w:type="dxa"/>
            <w:vAlign w:val="center"/>
          </w:tcPr>
          <w:p>
            <w:pPr>
              <w:pStyle w:val="13"/>
            </w:pPr>
            <w:r>
              <w:t>购买办公用品数量</w:t>
            </w:r>
          </w:p>
        </w:tc>
        <w:tc>
          <w:tcPr>
            <w:tcW w:w="2268" w:type="dxa"/>
            <w:vAlign w:val="center"/>
          </w:tcPr>
          <w:p>
            <w:pPr>
              <w:pStyle w:val="13"/>
            </w:pPr>
            <w:r>
              <w:t>≥1</w:t>
            </w:r>
          </w:p>
        </w:tc>
        <w:tc>
          <w:tcPr>
            <w:tcW w:w="1276" w:type="dxa"/>
            <w:vAlign w:val="center"/>
          </w:tcPr>
          <w:p>
            <w:pPr>
              <w:pStyle w:val="13"/>
            </w:pPr>
            <w:r>
              <w:t>历史经验标准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综合事务工作完成情况</w:t>
            </w:r>
          </w:p>
        </w:tc>
        <w:tc>
          <w:tcPr>
            <w:tcW w:w="5386" w:type="dxa"/>
            <w:vAlign w:val="center"/>
          </w:tcPr>
          <w:p>
            <w:pPr>
              <w:pStyle w:val="13"/>
            </w:pPr>
            <w:r>
              <w:t>综合事务工作完成情况</w:t>
            </w:r>
          </w:p>
        </w:tc>
        <w:tc>
          <w:tcPr>
            <w:tcW w:w="2268" w:type="dxa"/>
            <w:vAlign w:val="center"/>
          </w:tcPr>
          <w:p>
            <w:pPr>
              <w:pStyle w:val="13"/>
            </w:pPr>
            <w:r>
              <w:t>≥95</w:t>
            </w:r>
          </w:p>
        </w:tc>
        <w:tc>
          <w:tcPr>
            <w:tcW w:w="1276" w:type="dxa"/>
            <w:vAlign w:val="center"/>
          </w:tcPr>
          <w:p>
            <w:pPr>
              <w:pStyle w:val="13"/>
            </w:pPr>
            <w:r>
              <w:t>历史经验标准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历史经验标准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合理使用经费</w:t>
            </w:r>
          </w:p>
        </w:tc>
        <w:tc>
          <w:tcPr>
            <w:tcW w:w="5386" w:type="dxa"/>
            <w:vAlign w:val="center"/>
          </w:tcPr>
          <w:p>
            <w:pPr>
              <w:pStyle w:val="13"/>
            </w:pPr>
            <w:r>
              <w:t>合理使用经费</w:t>
            </w:r>
          </w:p>
        </w:tc>
        <w:tc>
          <w:tcPr>
            <w:tcW w:w="2268" w:type="dxa"/>
            <w:vAlign w:val="center"/>
          </w:tcPr>
          <w:p>
            <w:pPr>
              <w:pStyle w:val="13"/>
            </w:pPr>
            <w:r>
              <w:t>经费使用情况</w:t>
            </w:r>
          </w:p>
        </w:tc>
        <w:tc>
          <w:tcPr>
            <w:tcW w:w="1276" w:type="dxa"/>
            <w:vAlign w:val="center"/>
          </w:tcPr>
          <w:p>
            <w:pPr>
              <w:pStyle w:val="13"/>
            </w:pPr>
            <w:r>
              <w:t>历史经验标准</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得到广大干部群众的充分认可</w:t>
            </w:r>
          </w:p>
        </w:tc>
        <w:tc>
          <w:tcPr>
            <w:tcW w:w="2268" w:type="dxa"/>
            <w:vAlign w:val="center"/>
          </w:tcPr>
          <w:p>
            <w:pPr>
              <w:pStyle w:val="13"/>
            </w:pPr>
            <w:r>
              <w:t>得到广大干部群众的充分认可</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机关正常运转</w:t>
            </w:r>
          </w:p>
        </w:tc>
        <w:tc>
          <w:tcPr>
            <w:tcW w:w="5386" w:type="dxa"/>
            <w:vAlign w:val="center"/>
          </w:tcPr>
          <w:p>
            <w:pPr>
              <w:pStyle w:val="13"/>
            </w:pPr>
            <w:r>
              <w:t>机关正常运转</w:t>
            </w:r>
          </w:p>
        </w:tc>
        <w:tc>
          <w:tcPr>
            <w:tcW w:w="2268" w:type="dxa"/>
            <w:vAlign w:val="center"/>
          </w:tcPr>
          <w:p>
            <w:pPr>
              <w:pStyle w:val="13"/>
            </w:pPr>
            <w:r>
              <w:t>机关正常运转</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不产生生态影响</w:t>
            </w:r>
          </w:p>
        </w:tc>
        <w:tc>
          <w:tcPr>
            <w:tcW w:w="5386" w:type="dxa"/>
            <w:vAlign w:val="center"/>
          </w:tcPr>
          <w:p>
            <w:pPr>
              <w:pStyle w:val="13"/>
            </w:pPr>
            <w:r>
              <w:t>不产生生态影响</w:t>
            </w:r>
          </w:p>
        </w:tc>
        <w:tc>
          <w:tcPr>
            <w:tcW w:w="2268" w:type="dxa"/>
            <w:vAlign w:val="center"/>
          </w:tcPr>
          <w:p>
            <w:pPr>
              <w:pStyle w:val="13"/>
            </w:pPr>
            <w:r>
              <w:t>不产生生态影响</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机关运转有序</w:t>
            </w:r>
          </w:p>
        </w:tc>
        <w:tc>
          <w:tcPr>
            <w:tcW w:w="5386" w:type="dxa"/>
            <w:vAlign w:val="center"/>
          </w:tcPr>
          <w:p>
            <w:pPr>
              <w:pStyle w:val="13"/>
            </w:pPr>
            <w:r>
              <w:t>机关运转有序</w:t>
            </w:r>
          </w:p>
        </w:tc>
        <w:tc>
          <w:tcPr>
            <w:tcW w:w="2268" w:type="dxa"/>
            <w:vAlign w:val="center"/>
          </w:tcPr>
          <w:p>
            <w:pPr>
              <w:pStyle w:val="13"/>
            </w:pPr>
            <w:r>
              <w:t>机关运转有序</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反映满意的评价占评价总数的比率</w:t>
            </w:r>
          </w:p>
        </w:tc>
        <w:tc>
          <w:tcPr>
            <w:tcW w:w="2268" w:type="dxa"/>
            <w:vAlign w:val="center"/>
          </w:tcPr>
          <w:p>
            <w:pPr>
              <w:pStyle w:val="13"/>
            </w:pPr>
            <w:r>
              <w:t>≥95</w:t>
            </w:r>
          </w:p>
        </w:tc>
        <w:tc>
          <w:tcPr>
            <w:tcW w:w="1276" w:type="dxa"/>
            <w:vAlign w:val="center"/>
          </w:tcPr>
          <w:p>
            <w:pPr>
              <w:pStyle w:val="13"/>
            </w:pPr>
            <w:r>
              <w:t>历史经验标准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3、开展友好商会交流学习和会员考察活动经费绩效目标表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13012326P005J7J10158F</w:t>
            </w:r>
          </w:p>
        </w:tc>
        <w:tc>
          <w:tcPr>
            <w:tcW w:w="2835" w:type="dxa"/>
            <w:vAlign w:val="center"/>
          </w:tcPr>
          <w:p>
            <w:pPr>
              <w:pStyle w:val="11"/>
            </w:pPr>
            <w:r>
              <w:t>项目名称</w:t>
            </w:r>
          </w:p>
        </w:tc>
        <w:tc>
          <w:tcPr>
            <w:tcW w:w="6095" w:type="dxa"/>
            <w:gridSpan w:val="3"/>
            <w:vAlign w:val="center"/>
          </w:tcPr>
          <w:p>
            <w:pPr>
              <w:pStyle w:val="13"/>
            </w:pPr>
            <w:r>
              <w:t>开展友好商会交流学习和会员考察活动经费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组织会员举办和参加各种对内对外经济技术交流，促进与世界各国工商社团及工商界人士的联系和友谊，协助引进资金、技术、人才。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1.商会活动丰富、及时有序，与各友好商会沟通交流顺畅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银企对接会的次数</w:t>
            </w:r>
          </w:p>
        </w:tc>
        <w:tc>
          <w:tcPr>
            <w:tcW w:w="5386" w:type="dxa"/>
            <w:vAlign w:val="center"/>
          </w:tcPr>
          <w:p>
            <w:pPr>
              <w:pStyle w:val="13"/>
            </w:pPr>
            <w:r>
              <w:t>开展银企对接会的次数</w:t>
            </w:r>
          </w:p>
        </w:tc>
        <w:tc>
          <w:tcPr>
            <w:tcW w:w="2268" w:type="dxa"/>
            <w:vAlign w:val="center"/>
          </w:tcPr>
          <w:p>
            <w:pPr>
              <w:pStyle w:val="13"/>
            </w:pPr>
            <w:r>
              <w:t>≥3</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提交调研报告数量</w:t>
            </w:r>
          </w:p>
        </w:tc>
        <w:tc>
          <w:tcPr>
            <w:tcW w:w="5386" w:type="dxa"/>
            <w:vAlign w:val="center"/>
          </w:tcPr>
          <w:p>
            <w:pPr>
              <w:pStyle w:val="13"/>
            </w:pPr>
            <w:r>
              <w:t>提交调研报告数量</w:t>
            </w:r>
          </w:p>
        </w:tc>
        <w:tc>
          <w:tcPr>
            <w:tcW w:w="2268" w:type="dxa"/>
            <w:vAlign w:val="center"/>
          </w:tcPr>
          <w:p>
            <w:pPr>
              <w:pStyle w:val="13"/>
            </w:pPr>
            <w:r>
              <w:t>≥2</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定期及时开展活动情况</w:t>
            </w:r>
          </w:p>
        </w:tc>
        <w:tc>
          <w:tcPr>
            <w:tcW w:w="2268" w:type="dxa"/>
            <w:vAlign w:val="center"/>
          </w:tcPr>
          <w:p>
            <w:pPr>
              <w:pStyle w:val="13"/>
            </w:pPr>
            <w:r>
              <w:t>≥95</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合理使用经费</w:t>
            </w:r>
          </w:p>
        </w:tc>
        <w:tc>
          <w:tcPr>
            <w:tcW w:w="5386" w:type="dxa"/>
            <w:vAlign w:val="center"/>
          </w:tcPr>
          <w:p>
            <w:pPr>
              <w:pStyle w:val="13"/>
            </w:pPr>
            <w:r>
              <w:t>合理使用经费情况</w:t>
            </w:r>
          </w:p>
        </w:tc>
        <w:tc>
          <w:tcPr>
            <w:tcW w:w="2268" w:type="dxa"/>
            <w:vAlign w:val="center"/>
          </w:tcPr>
          <w:p>
            <w:pPr>
              <w:pStyle w:val="13"/>
            </w:pPr>
            <w:r>
              <w:t>经费及时合理支出</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民营经济健康成长</w:t>
            </w:r>
          </w:p>
        </w:tc>
        <w:tc>
          <w:tcPr>
            <w:tcW w:w="5386" w:type="dxa"/>
            <w:vAlign w:val="center"/>
          </w:tcPr>
          <w:p>
            <w:pPr>
              <w:pStyle w:val="13"/>
            </w:pPr>
            <w:r>
              <w:t>民营经济健康成长</w:t>
            </w:r>
          </w:p>
        </w:tc>
        <w:tc>
          <w:tcPr>
            <w:tcW w:w="2268" w:type="dxa"/>
            <w:vAlign w:val="center"/>
          </w:tcPr>
          <w:p>
            <w:pPr>
              <w:pStyle w:val="13"/>
            </w:pPr>
            <w:r>
              <w:t>民营经济健康成长</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得到广大会员企业充分认可</w:t>
            </w:r>
          </w:p>
        </w:tc>
        <w:tc>
          <w:tcPr>
            <w:tcW w:w="2268" w:type="dxa"/>
            <w:vAlign w:val="center"/>
          </w:tcPr>
          <w:p>
            <w:pPr>
              <w:pStyle w:val="13"/>
            </w:pPr>
            <w:r>
              <w:t>社会影响力</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不产生影响生态</w:t>
            </w:r>
          </w:p>
        </w:tc>
        <w:tc>
          <w:tcPr>
            <w:tcW w:w="5386" w:type="dxa"/>
            <w:vAlign w:val="center"/>
          </w:tcPr>
          <w:p>
            <w:pPr>
              <w:pStyle w:val="13"/>
            </w:pPr>
            <w:r>
              <w:t>不产生影响生态</w:t>
            </w:r>
          </w:p>
        </w:tc>
        <w:tc>
          <w:tcPr>
            <w:tcW w:w="2268" w:type="dxa"/>
            <w:vAlign w:val="center"/>
          </w:tcPr>
          <w:p>
            <w:pPr>
              <w:pStyle w:val="13"/>
            </w:pPr>
            <w:r>
              <w:t>不产生影响生态</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民营经济活力提升</w:t>
            </w:r>
          </w:p>
        </w:tc>
        <w:tc>
          <w:tcPr>
            <w:tcW w:w="5386" w:type="dxa"/>
            <w:vAlign w:val="center"/>
          </w:tcPr>
          <w:p>
            <w:pPr>
              <w:pStyle w:val="13"/>
            </w:pPr>
            <w:r>
              <w:t>民营经济活力提升</w:t>
            </w:r>
          </w:p>
        </w:tc>
        <w:tc>
          <w:tcPr>
            <w:tcW w:w="2268" w:type="dxa"/>
            <w:vAlign w:val="center"/>
          </w:tcPr>
          <w:p>
            <w:pPr>
              <w:pStyle w:val="13"/>
            </w:pPr>
            <w:r>
              <w:t>民营经济活力提升</w:t>
            </w:r>
          </w:p>
        </w:tc>
        <w:tc>
          <w:tcPr>
            <w:tcW w:w="1276" w:type="dxa"/>
            <w:vAlign w:val="center"/>
          </w:tcPr>
          <w:p>
            <w:pPr>
              <w:pStyle w:val="13"/>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反映满意的评价占总评价的比率</w:t>
            </w:r>
          </w:p>
        </w:tc>
        <w:tc>
          <w:tcPr>
            <w:tcW w:w="2268" w:type="dxa"/>
            <w:vAlign w:val="center"/>
          </w:tcPr>
          <w:p>
            <w:pPr>
              <w:pStyle w:val="13"/>
            </w:pPr>
            <w:r>
              <w:t>满意率</w:t>
            </w:r>
          </w:p>
        </w:tc>
        <w:tc>
          <w:tcPr>
            <w:tcW w:w="1276" w:type="dxa"/>
            <w:vAlign w:val="center"/>
          </w:tcPr>
          <w:p>
            <w:pPr>
              <w:pStyle w:val="13"/>
            </w:pPr>
            <w:r>
              <w:t>历史经验标准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714正定县工商业联合会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正定县工商业联合会（含所属单位）上年末固定资产金额为1.04万元（详见下表）。本年度拟购置固定资产总额为0.00万元，已按要求列入政府采购预算，详见政府采购预算表。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714正定县工商业联合会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w:t>
            </w:r>
          </w:p>
        </w:tc>
        <w:tc>
          <w:tcPr>
            <w:tcW w:w="2835" w:type="dxa"/>
            <w:vAlign w:val="center"/>
          </w:tcPr>
          <w:p>
            <w:pPr>
              <w:pStyle w:val="12"/>
            </w:pPr>
            <w:r>
              <w:t>1.04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5D01BC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3</TotalTime>
  <ScaleCrop>false</ScaleCrop>
  <LinksUpToDate>false</LinksUpToDate>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2026-02-24T10:56:00Z</dcterms:created>
  <dc:creator>Adminui</dc:creator>
  <cp:lastModifiedBy>Adminui</cp:lastModifiedBy>
  <dcterms:modified xsi:type="dcterms:W3CDTF">2026-02-24T03:08:03Z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