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364正定县医疗保障局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6534.38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6401.85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34.84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6534.38</w:t>
            </w:r>
          </w:p>
        </w:tc>
        <w:tc>
          <w:tcPr>
            <w:tcW w:w="4535" w:type="dxa"/>
            <w:vAlign w:val="center"/>
          </w:tcPr>
          <w:p>
            <w:pPr>
              <w:pStyle w:val="15"/>
            </w:pPr>
            <w:r>
              <w:t>本年支出合计</w:t>
            </w:r>
          </w:p>
        </w:tc>
        <w:tc>
          <w:tcPr>
            <w:tcW w:w="2126" w:type="dxa"/>
            <w:vAlign w:val="center"/>
          </w:tcPr>
          <w:p>
            <w:pPr>
              <w:pStyle w:val="16"/>
            </w:pPr>
            <w:r>
              <w:t>6534.38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6534.38</w:t>
            </w:r>
          </w:p>
        </w:tc>
        <w:tc>
          <w:tcPr>
            <w:tcW w:w="4535" w:type="dxa"/>
            <w:vAlign w:val="center"/>
          </w:tcPr>
          <w:p>
            <w:pPr>
              <w:pStyle w:val="15"/>
            </w:pPr>
            <w:r>
              <w:t>支出总计</w:t>
            </w:r>
          </w:p>
        </w:tc>
        <w:tc>
          <w:tcPr>
            <w:tcW w:w="2126" w:type="dxa"/>
            <w:vAlign w:val="center"/>
          </w:tcPr>
          <w:p>
            <w:pPr>
              <w:pStyle w:val="16"/>
            </w:pPr>
            <w:r>
              <w:t>6534.38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364正定县医疗保障局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6534.38</w:t>
            </w:r>
          </w:p>
        </w:tc>
        <w:tc>
          <w:tcPr>
            <w:tcW w:w="1134" w:type="dxa"/>
            <w:vAlign w:val="center"/>
          </w:tcPr>
          <w:p>
            <w:pPr>
              <w:pStyle w:val="16"/>
            </w:pPr>
            <w:r>
              <w:t>6534.38</w:t>
            </w:r>
          </w:p>
        </w:tc>
        <w:tc>
          <w:tcPr>
            <w:tcW w:w="1134" w:type="dxa"/>
            <w:vAlign w:val="center"/>
          </w:tcPr>
          <w:p>
            <w:pPr>
              <w:pStyle w:val="16"/>
            </w:pPr>
            <w:r>
              <w:t>6534.38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97.69</w:t>
            </w:r>
          </w:p>
        </w:tc>
        <w:tc>
          <w:tcPr>
            <w:tcW w:w="1134" w:type="dxa"/>
            <w:vAlign w:val="center"/>
          </w:tcPr>
          <w:p>
            <w:pPr>
              <w:pStyle w:val="12"/>
            </w:pPr>
            <w:r>
              <w:t>97.69</w:t>
            </w:r>
          </w:p>
        </w:tc>
        <w:tc>
          <w:tcPr>
            <w:tcW w:w="1134" w:type="dxa"/>
            <w:vAlign w:val="center"/>
          </w:tcPr>
          <w:p>
            <w:pPr>
              <w:pStyle w:val="12"/>
            </w:pPr>
            <w:r>
              <w:t>97.69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97.69</w:t>
            </w:r>
          </w:p>
        </w:tc>
        <w:tc>
          <w:tcPr>
            <w:tcW w:w="1134" w:type="dxa"/>
            <w:vAlign w:val="center"/>
          </w:tcPr>
          <w:p>
            <w:pPr>
              <w:pStyle w:val="12"/>
            </w:pPr>
            <w:r>
              <w:t>97.69</w:t>
            </w:r>
          </w:p>
        </w:tc>
        <w:tc>
          <w:tcPr>
            <w:tcW w:w="1134" w:type="dxa"/>
            <w:vAlign w:val="center"/>
          </w:tcPr>
          <w:p>
            <w:pPr>
              <w:pStyle w:val="12"/>
            </w:pPr>
            <w:r>
              <w:t>97.69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56.96</w:t>
            </w:r>
          </w:p>
        </w:tc>
        <w:tc>
          <w:tcPr>
            <w:tcW w:w="1134" w:type="dxa"/>
            <w:vAlign w:val="center"/>
          </w:tcPr>
          <w:p>
            <w:pPr>
              <w:pStyle w:val="12"/>
            </w:pPr>
            <w:r>
              <w:t>56.96</w:t>
            </w:r>
          </w:p>
        </w:tc>
        <w:tc>
          <w:tcPr>
            <w:tcW w:w="1134" w:type="dxa"/>
            <w:vAlign w:val="center"/>
          </w:tcPr>
          <w:p>
            <w:pPr>
              <w:pStyle w:val="12"/>
            </w:pPr>
            <w:r>
              <w:t>56.96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40.73</w:t>
            </w:r>
          </w:p>
        </w:tc>
        <w:tc>
          <w:tcPr>
            <w:tcW w:w="1134" w:type="dxa"/>
            <w:vAlign w:val="center"/>
          </w:tcPr>
          <w:p>
            <w:pPr>
              <w:pStyle w:val="12"/>
            </w:pPr>
            <w:r>
              <w:t>40.73</w:t>
            </w:r>
          </w:p>
        </w:tc>
        <w:tc>
          <w:tcPr>
            <w:tcW w:w="1134" w:type="dxa"/>
            <w:vAlign w:val="center"/>
          </w:tcPr>
          <w:p>
            <w:pPr>
              <w:pStyle w:val="12"/>
            </w:pPr>
            <w:r>
              <w:t>40.73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6401.85</w:t>
            </w:r>
          </w:p>
        </w:tc>
        <w:tc>
          <w:tcPr>
            <w:tcW w:w="1134" w:type="dxa"/>
            <w:vAlign w:val="center"/>
          </w:tcPr>
          <w:p>
            <w:pPr>
              <w:pStyle w:val="12"/>
            </w:pPr>
            <w:r>
              <w:t>6401.85</w:t>
            </w:r>
          </w:p>
        </w:tc>
        <w:tc>
          <w:tcPr>
            <w:tcW w:w="1134" w:type="dxa"/>
            <w:vAlign w:val="center"/>
          </w:tcPr>
          <w:p>
            <w:pPr>
              <w:pStyle w:val="12"/>
            </w:pPr>
            <w:r>
              <w:t>6401.85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15.12</w:t>
            </w:r>
          </w:p>
        </w:tc>
        <w:tc>
          <w:tcPr>
            <w:tcW w:w="1134" w:type="dxa"/>
            <w:vAlign w:val="center"/>
          </w:tcPr>
          <w:p>
            <w:pPr>
              <w:pStyle w:val="12"/>
            </w:pPr>
            <w:r>
              <w:t>15.12</w:t>
            </w:r>
          </w:p>
        </w:tc>
        <w:tc>
          <w:tcPr>
            <w:tcW w:w="1134" w:type="dxa"/>
            <w:vAlign w:val="center"/>
          </w:tcPr>
          <w:p>
            <w:pPr>
              <w:pStyle w:val="12"/>
            </w:pPr>
            <w:r>
              <w:t>15.12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12.85</w:t>
            </w:r>
          </w:p>
        </w:tc>
        <w:tc>
          <w:tcPr>
            <w:tcW w:w="1134" w:type="dxa"/>
            <w:vAlign w:val="center"/>
          </w:tcPr>
          <w:p>
            <w:pPr>
              <w:pStyle w:val="12"/>
            </w:pPr>
            <w:r>
              <w:t>12.85</w:t>
            </w:r>
          </w:p>
        </w:tc>
        <w:tc>
          <w:tcPr>
            <w:tcW w:w="1134" w:type="dxa"/>
            <w:vAlign w:val="center"/>
          </w:tcPr>
          <w:p>
            <w:pPr>
              <w:pStyle w:val="12"/>
            </w:pPr>
            <w:r>
              <w:t>12.85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5797.99</w:t>
            </w:r>
          </w:p>
        </w:tc>
        <w:tc>
          <w:tcPr>
            <w:tcW w:w="1134" w:type="dxa"/>
            <w:vAlign w:val="center"/>
          </w:tcPr>
          <w:p>
            <w:pPr>
              <w:pStyle w:val="12"/>
            </w:pPr>
            <w:r>
              <w:t>5797.99</w:t>
            </w:r>
          </w:p>
        </w:tc>
        <w:tc>
          <w:tcPr>
            <w:tcW w:w="1134" w:type="dxa"/>
            <w:vAlign w:val="center"/>
          </w:tcPr>
          <w:p>
            <w:pPr>
              <w:pStyle w:val="12"/>
            </w:pPr>
            <w:r>
              <w:t>5797.99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2101201</w:t>
            </w:r>
          </w:p>
        </w:tc>
        <w:tc>
          <w:tcPr>
            <w:tcW w:w="1559" w:type="dxa"/>
            <w:vAlign w:val="center"/>
          </w:tcPr>
          <w:p>
            <w:pPr>
              <w:pStyle w:val="13"/>
            </w:pPr>
            <w:r>
              <w:t>财政对职工基本医疗保险基金的补助</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r>
              <w:t>14.08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5783.91</w:t>
            </w:r>
          </w:p>
        </w:tc>
        <w:tc>
          <w:tcPr>
            <w:tcW w:w="1134" w:type="dxa"/>
            <w:vAlign w:val="center"/>
          </w:tcPr>
          <w:p>
            <w:pPr>
              <w:pStyle w:val="12"/>
            </w:pPr>
            <w:r>
              <w:t>5783.91</w:t>
            </w:r>
          </w:p>
        </w:tc>
        <w:tc>
          <w:tcPr>
            <w:tcW w:w="1134" w:type="dxa"/>
            <w:vAlign w:val="center"/>
          </w:tcPr>
          <w:p>
            <w:pPr>
              <w:pStyle w:val="12"/>
            </w:pPr>
            <w:r>
              <w:t>5783.91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378.89</w:t>
            </w:r>
          </w:p>
        </w:tc>
        <w:tc>
          <w:tcPr>
            <w:tcW w:w="1134" w:type="dxa"/>
            <w:vAlign w:val="center"/>
          </w:tcPr>
          <w:p>
            <w:pPr>
              <w:pStyle w:val="12"/>
            </w:pPr>
            <w:r>
              <w:t>378.89</w:t>
            </w:r>
          </w:p>
        </w:tc>
        <w:tc>
          <w:tcPr>
            <w:tcW w:w="1134" w:type="dxa"/>
            <w:vAlign w:val="center"/>
          </w:tcPr>
          <w:p>
            <w:pPr>
              <w:pStyle w:val="12"/>
            </w:pPr>
            <w:r>
              <w:t>378.89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75.25</w:t>
            </w:r>
          </w:p>
        </w:tc>
        <w:tc>
          <w:tcPr>
            <w:tcW w:w="1134" w:type="dxa"/>
            <w:vAlign w:val="center"/>
          </w:tcPr>
          <w:p>
            <w:pPr>
              <w:pStyle w:val="12"/>
            </w:pPr>
            <w:r>
              <w:t>75.25</w:t>
            </w:r>
          </w:p>
        </w:tc>
        <w:tc>
          <w:tcPr>
            <w:tcW w:w="1134" w:type="dxa"/>
            <w:vAlign w:val="center"/>
          </w:tcPr>
          <w:p>
            <w:pPr>
              <w:pStyle w:val="12"/>
            </w:pPr>
            <w:r>
              <w:t>75.25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2101506</w:t>
            </w:r>
          </w:p>
        </w:tc>
        <w:tc>
          <w:tcPr>
            <w:tcW w:w="1559" w:type="dxa"/>
            <w:vAlign w:val="center"/>
          </w:tcPr>
          <w:p>
            <w:pPr>
              <w:pStyle w:val="13"/>
            </w:pPr>
            <w:r>
              <w:t>医疗保障经办事务</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2101550</w:t>
            </w:r>
          </w:p>
        </w:tc>
        <w:tc>
          <w:tcPr>
            <w:tcW w:w="1559" w:type="dxa"/>
            <w:vAlign w:val="center"/>
          </w:tcPr>
          <w:p>
            <w:pPr>
              <w:pStyle w:val="13"/>
            </w:pPr>
            <w:r>
              <w:t>事业运行</w:t>
            </w:r>
          </w:p>
        </w:tc>
        <w:tc>
          <w:tcPr>
            <w:tcW w:w="1134" w:type="dxa"/>
            <w:vAlign w:val="center"/>
          </w:tcPr>
          <w:p>
            <w:pPr>
              <w:pStyle w:val="12"/>
            </w:pPr>
            <w:r>
              <w:t>264.64</w:t>
            </w:r>
          </w:p>
        </w:tc>
        <w:tc>
          <w:tcPr>
            <w:tcW w:w="1134" w:type="dxa"/>
            <w:vAlign w:val="center"/>
          </w:tcPr>
          <w:p>
            <w:pPr>
              <w:pStyle w:val="12"/>
            </w:pPr>
            <w:r>
              <w:t>264.64</w:t>
            </w:r>
          </w:p>
        </w:tc>
        <w:tc>
          <w:tcPr>
            <w:tcW w:w="1134" w:type="dxa"/>
            <w:vAlign w:val="center"/>
          </w:tcPr>
          <w:p>
            <w:pPr>
              <w:pStyle w:val="12"/>
            </w:pPr>
            <w:r>
              <w:t>264.64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r>
              <w:t>34.84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6534.38</w:t>
            </w:r>
          </w:p>
        </w:tc>
        <w:tc>
          <w:tcPr>
            <w:tcW w:w="1361" w:type="dxa"/>
            <w:vAlign w:val="center"/>
          </w:tcPr>
          <w:p>
            <w:pPr>
              <w:pStyle w:val="16"/>
            </w:pPr>
            <w:r>
              <w:t>500.39</w:t>
            </w:r>
          </w:p>
        </w:tc>
        <w:tc>
          <w:tcPr>
            <w:tcW w:w="1361" w:type="dxa"/>
            <w:vAlign w:val="center"/>
          </w:tcPr>
          <w:p>
            <w:pPr>
              <w:pStyle w:val="16"/>
            </w:pPr>
            <w:r>
              <w:t>6033.99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97.69</w:t>
            </w:r>
          </w:p>
        </w:tc>
        <w:tc>
          <w:tcPr>
            <w:tcW w:w="1361" w:type="dxa"/>
            <w:vAlign w:val="center"/>
          </w:tcPr>
          <w:p>
            <w:pPr>
              <w:pStyle w:val="12"/>
            </w:pPr>
            <w:r>
              <w:t>97.69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97.69</w:t>
            </w:r>
          </w:p>
        </w:tc>
        <w:tc>
          <w:tcPr>
            <w:tcW w:w="1361" w:type="dxa"/>
            <w:vAlign w:val="center"/>
          </w:tcPr>
          <w:p>
            <w:pPr>
              <w:pStyle w:val="12"/>
            </w:pPr>
            <w:r>
              <w:t>97.69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56.96</w:t>
            </w:r>
          </w:p>
        </w:tc>
        <w:tc>
          <w:tcPr>
            <w:tcW w:w="1361" w:type="dxa"/>
            <w:vAlign w:val="center"/>
          </w:tcPr>
          <w:p>
            <w:pPr>
              <w:pStyle w:val="12"/>
            </w:pPr>
            <w:r>
              <w:t>56.96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40.73</w:t>
            </w:r>
          </w:p>
        </w:tc>
        <w:tc>
          <w:tcPr>
            <w:tcW w:w="1361" w:type="dxa"/>
            <w:vAlign w:val="center"/>
          </w:tcPr>
          <w:p>
            <w:pPr>
              <w:pStyle w:val="12"/>
            </w:pPr>
            <w:r>
              <w:t>40.73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6401.85</w:t>
            </w:r>
          </w:p>
        </w:tc>
        <w:tc>
          <w:tcPr>
            <w:tcW w:w="1361" w:type="dxa"/>
            <w:vAlign w:val="center"/>
          </w:tcPr>
          <w:p>
            <w:pPr>
              <w:pStyle w:val="12"/>
            </w:pPr>
            <w:r>
              <w:t>367.86</w:t>
            </w:r>
          </w:p>
        </w:tc>
        <w:tc>
          <w:tcPr>
            <w:tcW w:w="1361" w:type="dxa"/>
            <w:vAlign w:val="center"/>
          </w:tcPr>
          <w:p>
            <w:pPr>
              <w:pStyle w:val="12"/>
            </w:pPr>
            <w:r>
              <w:t>6033.99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97.97</w:t>
            </w:r>
          </w:p>
        </w:tc>
        <w:tc>
          <w:tcPr>
            <w:tcW w:w="1361" w:type="dxa"/>
            <w:vAlign w:val="center"/>
          </w:tcPr>
          <w:p>
            <w:pPr>
              <w:pStyle w:val="12"/>
            </w:pPr>
            <w:r>
              <w:t>27.97</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15.12</w:t>
            </w:r>
          </w:p>
        </w:tc>
        <w:tc>
          <w:tcPr>
            <w:tcW w:w="1361" w:type="dxa"/>
            <w:vAlign w:val="center"/>
          </w:tcPr>
          <w:p>
            <w:pPr>
              <w:pStyle w:val="12"/>
            </w:pPr>
            <w:r>
              <w:t>15.12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12.85</w:t>
            </w:r>
          </w:p>
        </w:tc>
        <w:tc>
          <w:tcPr>
            <w:tcW w:w="1361" w:type="dxa"/>
            <w:vAlign w:val="center"/>
          </w:tcPr>
          <w:p>
            <w:pPr>
              <w:pStyle w:val="12"/>
            </w:pPr>
            <w:r>
              <w:t>12.85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5797.99</w:t>
            </w:r>
          </w:p>
        </w:tc>
        <w:tc>
          <w:tcPr>
            <w:tcW w:w="1361" w:type="dxa"/>
            <w:vAlign w:val="center"/>
          </w:tcPr>
          <w:p>
            <w:pPr>
              <w:pStyle w:val="12"/>
            </w:pPr>
          </w:p>
        </w:tc>
        <w:tc>
          <w:tcPr>
            <w:tcW w:w="1361" w:type="dxa"/>
            <w:vAlign w:val="center"/>
          </w:tcPr>
          <w:p>
            <w:pPr>
              <w:pStyle w:val="12"/>
            </w:pPr>
            <w:r>
              <w:t>5797.99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2101201</w:t>
            </w:r>
          </w:p>
        </w:tc>
        <w:tc>
          <w:tcPr>
            <w:tcW w:w="4535" w:type="dxa"/>
            <w:vAlign w:val="center"/>
          </w:tcPr>
          <w:p>
            <w:pPr>
              <w:pStyle w:val="13"/>
            </w:pPr>
            <w:r>
              <w:t>财政对职工基本医疗保险基金的补助</w:t>
            </w:r>
          </w:p>
        </w:tc>
        <w:tc>
          <w:tcPr>
            <w:tcW w:w="1361" w:type="dxa"/>
            <w:vAlign w:val="center"/>
          </w:tcPr>
          <w:p>
            <w:pPr>
              <w:pStyle w:val="12"/>
            </w:pPr>
            <w:r>
              <w:t>14.08</w:t>
            </w:r>
          </w:p>
        </w:tc>
        <w:tc>
          <w:tcPr>
            <w:tcW w:w="1361" w:type="dxa"/>
            <w:vAlign w:val="center"/>
          </w:tcPr>
          <w:p>
            <w:pPr>
              <w:pStyle w:val="12"/>
            </w:pPr>
          </w:p>
        </w:tc>
        <w:tc>
          <w:tcPr>
            <w:tcW w:w="1361" w:type="dxa"/>
            <w:vAlign w:val="center"/>
          </w:tcPr>
          <w:p>
            <w:pPr>
              <w:pStyle w:val="12"/>
            </w:pPr>
            <w:r>
              <w:t>14.08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5783.91</w:t>
            </w:r>
          </w:p>
        </w:tc>
        <w:tc>
          <w:tcPr>
            <w:tcW w:w="1361" w:type="dxa"/>
            <w:vAlign w:val="center"/>
          </w:tcPr>
          <w:p>
            <w:pPr>
              <w:pStyle w:val="12"/>
            </w:pPr>
          </w:p>
        </w:tc>
        <w:tc>
          <w:tcPr>
            <w:tcW w:w="1361" w:type="dxa"/>
            <w:vAlign w:val="center"/>
          </w:tcPr>
          <w:p>
            <w:pPr>
              <w:pStyle w:val="12"/>
            </w:pPr>
            <w:r>
              <w:t>5783.91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r>
              <w:t>127.00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378.89</w:t>
            </w:r>
          </w:p>
        </w:tc>
        <w:tc>
          <w:tcPr>
            <w:tcW w:w="1361" w:type="dxa"/>
            <w:vAlign w:val="center"/>
          </w:tcPr>
          <w:p>
            <w:pPr>
              <w:pStyle w:val="12"/>
            </w:pPr>
            <w:r>
              <w:t>339.89</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75.25</w:t>
            </w:r>
          </w:p>
        </w:tc>
        <w:tc>
          <w:tcPr>
            <w:tcW w:w="1361" w:type="dxa"/>
            <w:vAlign w:val="center"/>
          </w:tcPr>
          <w:p>
            <w:pPr>
              <w:pStyle w:val="12"/>
            </w:pPr>
            <w:r>
              <w:t>75.25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2101506</w:t>
            </w:r>
          </w:p>
        </w:tc>
        <w:tc>
          <w:tcPr>
            <w:tcW w:w="4535" w:type="dxa"/>
            <w:vAlign w:val="center"/>
          </w:tcPr>
          <w:p>
            <w:pPr>
              <w:pStyle w:val="13"/>
            </w:pPr>
            <w:r>
              <w:t>医疗保障经办事务</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2101550</w:t>
            </w:r>
          </w:p>
        </w:tc>
        <w:tc>
          <w:tcPr>
            <w:tcW w:w="4535" w:type="dxa"/>
            <w:vAlign w:val="center"/>
          </w:tcPr>
          <w:p>
            <w:pPr>
              <w:pStyle w:val="13"/>
            </w:pPr>
            <w:r>
              <w:t>事业运行</w:t>
            </w:r>
          </w:p>
        </w:tc>
        <w:tc>
          <w:tcPr>
            <w:tcW w:w="1361" w:type="dxa"/>
            <w:vAlign w:val="center"/>
          </w:tcPr>
          <w:p>
            <w:pPr>
              <w:pStyle w:val="12"/>
            </w:pPr>
            <w:r>
              <w:t>264.64</w:t>
            </w:r>
          </w:p>
        </w:tc>
        <w:tc>
          <w:tcPr>
            <w:tcW w:w="1361" w:type="dxa"/>
            <w:vAlign w:val="center"/>
          </w:tcPr>
          <w:p>
            <w:pPr>
              <w:pStyle w:val="12"/>
            </w:pPr>
            <w:r>
              <w:t>264.64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34.84</w:t>
            </w:r>
          </w:p>
        </w:tc>
        <w:tc>
          <w:tcPr>
            <w:tcW w:w="1361" w:type="dxa"/>
            <w:vAlign w:val="center"/>
          </w:tcPr>
          <w:p>
            <w:pPr>
              <w:pStyle w:val="12"/>
            </w:pPr>
            <w:r>
              <w:t>34.84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34.84</w:t>
            </w:r>
          </w:p>
        </w:tc>
        <w:tc>
          <w:tcPr>
            <w:tcW w:w="1361" w:type="dxa"/>
            <w:vAlign w:val="center"/>
          </w:tcPr>
          <w:p>
            <w:pPr>
              <w:pStyle w:val="12"/>
            </w:pPr>
            <w:r>
              <w:t>34.84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34.84</w:t>
            </w:r>
          </w:p>
        </w:tc>
        <w:tc>
          <w:tcPr>
            <w:tcW w:w="1361" w:type="dxa"/>
            <w:vAlign w:val="center"/>
          </w:tcPr>
          <w:p>
            <w:pPr>
              <w:pStyle w:val="12"/>
            </w:pPr>
            <w:r>
              <w:t>34.84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6534.38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97.69</w:t>
            </w:r>
          </w:p>
        </w:tc>
        <w:tc>
          <w:tcPr>
            <w:tcW w:w="1474" w:type="dxa"/>
            <w:vAlign w:val="center"/>
          </w:tcPr>
          <w:p>
            <w:pPr>
              <w:pStyle w:val="12"/>
            </w:pPr>
            <w:r>
              <w:t>97.69</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6401.85</w:t>
            </w:r>
          </w:p>
        </w:tc>
        <w:tc>
          <w:tcPr>
            <w:tcW w:w="1474" w:type="dxa"/>
            <w:vAlign w:val="center"/>
          </w:tcPr>
          <w:p>
            <w:pPr>
              <w:pStyle w:val="12"/>
            </w:pPr>
            <w:r>
              <w:t>6401.85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34.84</w:t>
            </w:r>
          </w:p>
        </w:tc>
        <w:tc>
          <w:tcPr>
            <w:tcW w:w="1474" w:type="dxa"/>
            <w:vAlign w:val="center"/>
          </w:tcPr>
          <w:p>
            <w:pPr>
              <w:pStyle w:val="12"/>
            </w:pPr>
            <w:r>
              <w:t>34.84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6534.38</w:t>
            </w:r>
          </w:p>
        </w:tc>
        <w:tc>
          <w:tcPr>
            <w:tcW w:w="3402" w:type="dxa"/>
            <w:vAlign w:val="center"/>
          </w:tcPr>
          <w:p>
            <w:pPr>
              <w:pStyle w:val="15"/>
            </w:pPr>
            <w:r>
              <w:t>本年支出合计</w:t>
            </w:r>
          </w:p>
        </w:tc>
        <w:tc>
          <w:tcPr>
            <w:tcW w:w="1474" w:type="dxa"/>
            <w:vAlign w:val="center"/>
          </w:tcPr>
          <w:p>
            <w:pPr>
              <w:pStyle w:val="16"/>
            </w:pPr>
            <w:r>
              <w:t>6534.38</w:t>
            </w:r>
          </w:p>
        </w:tc>
        <w:tc>
          <w:tcPr>
            <w:tcW w:w="1474" w:type="dxa"/>
            <w:vAlign w:val="center"/>
          </w:tcPr>
          <w:p>
            <w:pPr>
              <w:pStyle w:val="16"/>
            </w:pPr>
            <w:r>
              <w:t>6534.38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6534.38</w:t>
            </w:r>
          </w:p>
        </w:tc>
        <w:tc>
          <w:tcPr>
            <w:tcW w:w="3402" w:type="dxa"/>
            <w:vAlign w:val="center"/>
          </w:tcPr>
          <w:p>
            <w:pPr>
              <w:pStyle w:val="15"/>
            </w:pPr>
            <w:r>
              <w:t>支出总计</w:t>
            </w:r>
          </w:p>
        </w:tc>
        <w:tc>
          <w:tcPr>
            <w:tcW w:w="1474" w:type="dxa"/>
            <w:vAlign w:val="center"/>
          </w:tcPr>
          <w:p>
            <w:pPr>
              <w:pStyle w:val="16"/>
            </w:pPr>
            <w:r>
              <w:t>6534.38</w:t>
            </w:r>
          </w:p>
        </w:tc>
        <w:tc>
          <w:tcPr>
            <w:tcW w:w="1474" w:type="dxa"/>
            <w:vAlign w:val="center"/>
          </w:tcPr>
          <w:p>
            <w:pPr>
              <w:pStyle w:val="16"/>
            </w:pPr>
            <w:r>
              <w:t>6534.38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6534.38</w:t>
            </w:r>
          </w:p>
        </w:tc>
        <w:tc>
          <w:tcPr>
            <w:tcW w:w="2551" w:type="dxa"/>
            <w:vAlign w:val="center"/>
          </w:tcPr>
          <w:p>
            <w:pPr>
              <w:pStyle w:val="16"/>
            </w:pPr>
            <w:r>
              <w:t>500.39</w:t>
            </w:r>
          </w:p>
        </w:tc>
        <w:tc>
          <w:tcPr>
            <w:tcW w:w="2551" w:type="dxa"/>
            <w:vAlign w:val="center"/>
          </w:tcPr>
          <w:p>
            <w:pPr>
              <w:pStyle w:val="16"/>
            </w:pPr>
            <w:r>
              <w:t>6033.99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97.69</w:t>
            </w:r>
          </w:p>
        </w:tc>
        <w:tc>
          <w:tcPr>
            <w:tcW w:w="2551" w:type="dxa"/>
            <w:vAlign w:val="center"/>
          </w:tcPr>
          <w:p>
            <w:pPr>
              <w:pStyle w:val="12"/>
            </w:pPr>
            <w:r>
              <w:t>97.69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97.69</w:t>
            </w:r>
          </w:p>
        </w:tc>
        <w:tc>
          <w:tcPr>
            <w:tcW w:w="2551" w:type="dxa"/>
            <w:vAlign w:val="center"/>
          </w:tcPr>
          <w:p>
            <w:pPr>
              <w:pStyle w:val="12"/>
            </w:pPr>
            <w:r>
              <w:t>97.69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56.96</w:t>
            </w:r>
          </w:p>
        </w:tc>
        <w:tc>
          <w:tcPr>
            <w:tcW w:w="2551" w:type="dxa"/>
            <w:vAlign w:val="center"/>
          </w:tcPr>
          <w:p>
            <w:pPr>
              <w:pStyle w:val="12"/>
            </w:pPr>
            <w:r>
              <w:t>56.96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40.73</w:t>
            </w:r>
          </w:p>
        </w:tc>
        <w:tc>
          <w:tcPr>
            <w:tcW w:w="2551" w:type="dxa"/>
            <w:vAlign w:val="center"/>
          </w:tcPr>
          <w:p>
            <w:pPr>
              <w:pStyle w:val="12"/>
            </w:pPr>
            <w:r>
              <w:t>40.73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6401.85</w:t>
            </w:r>
          </w:p>
        </w:tc>
        <w:tc>
          <w:tcPr>
            <w:tcW w:w="2551" w:type="dxa"/>
            <w:vAlign w:val="center"/>
          </w:tcPr>
          <w:p>
            <w:pPr>
              <w:pStyle w:val="12"/>
            </w:pPr>
            <w:r>
              <w:t>367.86</w:t>
            </w:r>
          </w:p>
        </w:tc>
        <w:tc>
          <w:tcPr>
            <w:tcW w:w="2551" w:type="dxa"/>
            <w:vAlign w:val="center"/>
          </w:tcPr>
          <w:p>
            <w:pPr>
              <w:pStyle w:val="12"/>
            </w:pPr>
            <w:r>
              <w:t>6033.99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97.97</w:t>
            </w:r>
          </w:p>
        </w:tc>
        <w:tc>
          <w:tcPr>
            <w:tcW w:w="2551" w:type="dxa"/>
            <w:vAlign w:val="center"/>
          </w:tcPr>
          <w:p>
            <w:pPr>
              <w:pStyle w:val="12"/>
            </w:pPr>
            <w:r>
              <w:t>27.97</w:t>
            </w: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15.12</w:t>
            </w:r>
          </w:p>
        </w:tc>
        <w:tc>
          <w:tcPr>
            <w:tcW w:w="2551" w:type="dxa"/>
            <w:vAlign w:val="center"/>
          </w:tcPr>
          <w:p>
            <w:pPr>
              <w:pStyle w:val="12"/>
            </w:pPr>
            <w:r>
              <w:t>15.12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12.85</w:t>
            </w:r>
          </w:p>
        </w:tc>
        <w:tc>
          <w:tcPr>
            <w:tcW w:w="2551" w:type="dxa"/>
            <w:vAlign w:val="center"/>
          </w:tcPr>
          <w:p>
            <w:pPr>
              <w:pStyle w:val="12"/>
            </w:pPr>
            <w:r>
              <w:t>12.85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5797.99</w:t>
            </w:r>
          </w:p>
        </w:tc>
        <w:tc>
          <w:tcPr>
            <w:tcW w:w="2551" w:type="dxa"/>
            <w:vAlign w:val="center"/>
          </w:tcPr>
          <w:p>
            <w:pPr>
              <w:pStyle w:val="12"/>
            </w:pPr>
          </w:p>
        </w:tc>
        <w:tc>
          <w:tcPr>
            <w:tcW w:w="2551" w:type="dxa"/>
            <w:vAlign w:val="center"/>
          </w:tcPr>
          <w:p>
            <w:pPr>
              <w:pStyle w:val="12"/>
            </w:pPr>
            <w:r>
              <w:t>5797.99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2101201</w:t>
            </w:r>
          </w:p>
        </w:tc>
        <w:tc>
          <w:tcPr>
            <w:tcW w:w="4535" w:type="dxa"/>
            <w:vAlign w:val="center"/>
          </w:tcPr>
          <w:p>
            <w:pPr>
              <w:pStyle w:val="13"/>
            </w:pPr>
            <w:r>
              <w:t>财政对职工基本医疗保险基金的补助</w:t>
            </w:r>
          </w:p>
        </w:tc>
        <w:tc>
          <w:tcPr>
            <w:tcW w:w="2551" w:type="dxa"/>
            <w:vAlign w:val="center"/>
          </w:tcPr>
          <w:p>
            <w:pPr>
              <w:pStyle w:val="12"/>
            </w:pPr>
            <w:r>
              <w:t>14.08</w:t>
            </w:r>
          </w:p>
        </w:tc>
        <w:tc>
          <w:tcPr>
            <w:tcW w:w="2551" w:type="dxa"/>
            <w:vAlign w:val="center"/>
          </w:tcPr>
          <w:p>
            <w:pPr>
              <w:pStyle w:val="12"/>
            </w:pPr>
          </w:p>
        </w:tc>
        <w:tc>
          <w:tcPr>
            <w:tcW w:w="2551" w:type="dxa"/>
            <w:vAlign w:val="center"/>
          </w:tcPr>
          <w:p>
            <w:pPr>
              <w:pStyle w:val="12"/>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5783.91</w:t>
            </w:r>
          </w:p>
        </w:tc>
        <w:tc>
          <w:tcPr>
            <w:tcW w:w="2551" w:type="dxa"/>
            <w:vAlign w:val="center"/>
          </w:tcPr>
          <w:p>
            <w:pPr>
              <w:pStyle w:val="12"/>
            </w:pPr>
          </w:p>
        </w:tc>
        <w:tc>
          <w:tcPr>
            <w:tcW w:w="2551" w:type="dxa"/>
            <w:vAlign w:val="center"/>
          </w:tcPr>
          <w:p>
            <w:pPr>
              <w:pStyle w:val="12"/>
            </w:pPr>
            <w:r>
              <w:t>5783.91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127.00</w:t>
            </w:r>
          </w:p>
        </w:tc>
        <w:tc>
          <w:tcPr>
            <w:tcW w:w="2551" w:type="dxa"/>
            <w:vAlign w:val="center"/>
          </w:tcPr>
          <w:p>
            <w:pPr>
              <w:pStyle w:val="12"/>
            </w:pPr>
          </w:p>
        </w:tc>
        <w:tc>
          <w:tcPr>
            <w:tcW w:w="2551"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127.00</w:t>
            </w:r>
          </w:p>
        </w:tc>
        <w:tc>
          <w:tcPr>
            <w:tcW w:w="2551" w:type="dxa"/>
            <w:vAlign w:val="center"/>
          </w:tcPr>
          <w:p>
            <w:pPr>
              <w:pStyle w:val="12"/>
            </w:pPr>
          </w:p>
        </w:tc>
        <w:tc>
          <w:tcPr>
            <w:tcW w:w="2551"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378.89</w:t>
            </w:r>
          </w:p>
        </w:tc>
        <w:tc>
          <w:tcPr>
            <w:tcW w:w="2551" w:type="dxa"/>
            <w:vAlign w:val="center"/>
          </w:tcPr>
          <w:p>
            <w:pPr>
              <w:pStyle w:val="12"/>
            </w:pPr>
            <w:r>
              <w:t>339.89</w:t>
            </w:r>
          </w:p>
        </w:tc>
        <w:tc>
          <w:tcPr>
            <w:tcW w:w="2551"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75.25</w:t>
            </w:r>
          </w:p>
        </w:tc>
        <w:tc>
          <w:tcPr>
            <w:tcW w:w="2551" w:type="dxa"/>
            <w:vAlign w:val="center"/>
          </w:tcPr>
          <w:p>
            <w:pPr>
              <w:pStyle w:val="12"/>
            </w:pPr>
            <w:r>
              <w:t>75.25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2101506</w:t>
            </w:r>
          </w:p>
        </w:tc>
        <w:tc>
          <w:tcPr>
            <w:tcW w:w="4535" w:type="dxa"/>
            <w:vAlign w:val="center"/>
          </w:tcPr>
          <w:p>
            <w:pPr>
              <w:pStyle w:val="13"/>
            </w:pPr>
            <w:r>
              <w:t>医疗保障经办事务</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2101550</w:t>
            </w:r>
          </w:p>
        </w:tc>
        <w:tc>
          <w:tcPr>
            <w:tcW w:w="4535" w:type="dxa"/>
            <w:vAlign w:val="center"/>
          </w:tcPr>
          <w:p>
            <w:pPr>
              <w:pStyle w:val="13"/>
            </w:pPr>
            <w:r>
              <w:t>事业运行</w:t>
            </w:r>
          </w:p>
        </w:tc>
        <w:tc>
          <w:tcPr>
            <w:tcW w:w="2551" w:type="dxa"/>
            <w:vAlign w:val="center"/>
          </w:tcPr>
          <w:p>
            <w:pPr>
              <w:pStyle w:val="12"/>
            </w:pPr>
            <w:r>
              <w:t>264.64</w:t>
            </w:r>
          </w:p>
        </w:tc>
        <w:tc>
          <w:tcPr>
            <w:tcW w:w="2551" w:type="dxa"/>
            <w:vAlign w:val="center"/>
          </w:tcPr>
          <w:p>
            <w:pPr>
              <w:pStyle w:val="12"/>
            </w:pPr>
            <w:r>
              <w:t>264.64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34.84</w:t>
            </w:r>
          </w:p>
        </w:tc>
        <w:tc>
          <w:tcPr>
            <w:tcW w:w="2551" w:type="dxa"/>
            <w:vAlign w:val="center"/>
          </w:tcPr>
          <w:p>
            <w:pPr>
              <w:pStyle w:val="12"/>
            </w:pPr>
            <w:r>
              <w:t>34.84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34.84</w:t>
            </w:r>
          </w:p>
        </w:tc>
        <w:tc>
          <w:tcPr>
            <w:tcW w:w="2551" w:type="dxa"/>
            <w:vAlign w:val="center"/>
          </w:tcPr>
          <w:p>
            <w:pPr>
              <w:pStyle w:val="12"/>
            </w:pPr>
            <w:r>
              <w:t>34.84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34.84</w:t>
            </w:r>
          </w:p>
        </w:tc>
        <w:tc>
          <w:tcPr>
            <w:tcW w:w="2551" w:type="dxa"/>
            <w:vAlign w:val="center"/>
          </w:tcPr>
          <w:p>
            <w:pPr>
              <w:pStyle w:val="12"/>
            </w:pPr>
            <w:r>
              <w:t>34.84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500.39</w:t>
            </w:r>
          </w:p>
        </w:tc>
        <w:tc>
          <w:tcPr>
            <w:tcW w:w="2551" w:type="dxa"/>
            <w:vAlign w:val="center"/>
          </w:tcPr>
          <w:p>
            <w:pPr>
              <w:pStyle w:val="16"/>
            </w:pPr>
            <w:r>
              <w:t>475.63</w:t>
            </w:r>
          </w:p>
        </w:tc>
        <w:tc>
          <w:tcPr>
            <w:tcW w:w="2551" w:type="dxa"/>
            <w:vAlign w:val="center"/>
          </w:tcPr>
          <w:p>
            <w:pPr>
              <w:pStyle w:val="16"/>
            </w:pPr>
            <w:r>
              <w:t>24.76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417.61</w:t>
            </w:r>
          </w:p>
        </w:tc>
        <w:tc>
          <w:tcPr>
            <w:tcW w:w="2551" w:type="dxa"/>
            <w:vAlign w:val="center"/>
          </w:tcPr>
          <w:p>
            <w:pPr>
              <w:pStyle w:val="12"/>
            </w:pPr>
            <w:r>
              <w:t>417.61</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114.54</w:t>
            </w:r>
          </w:p>
        </w:tc>
        <w:tc>
          <w:tcPr>
            <w:tcW w:w="2551" w:type="dxa"/>
            <w:vAlign w:val="center"/>
          </w:tcPr>
          <w:p>
            <w:pPr>
              <w:pStyle w:val="12"/>
            </w:pPr>
            <w:r>
              <w:t>114.54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36.08</w:t>
            </w:r>
          </w:p>
        </w:tc>
        <w:tc>
          <w:tcPr>
            <w:tcW w:w="2551" w:type="dxa"/>
            <w:vAlign w:val="center"/>
          </w:tcPr>
          <w:p>
            <w:pPr>
              <w:pStyle w:val="12"/>
            </w:pPr>
            <w:r>
              <w:t>36.08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21.73</w:t>
            </w:r>
          </w:p>
        </w:tc>
        <w:tc>
          <w:tcPr>
            <w:tcW w:w="2551" w:type="dxa"/>
            <w:vAlign w:val="center"/>
          </w:tcPr>
          <w:p>
            <w:pPr>
              <w:pStyle w:val="12"/>
            </w:pPr>
            <w:r>
              <w:t>21.73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139.67</w:t>
            </w:r>
          </w:p>
        </w:tc>
        <w:tc>
          <w:tcPr>
            <w:tcW w:w="2551" w:type="dxa"/>
            <w:vAlign w:val="center"/>
          </w:tcPr>
          <w:p>
            <w:pPr>
              <w:pStyle w:val="12"/>
            </w:pPr>
            <w:r>
              <w:t>139.67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40.73</w:t>
            </w:r>
          </w:p>
        </w:tc>
        <w:tc>
          <w:tcPr>
            <w:tcW w:w="2551" w:type="dxa"/>
            <w:vAlign w:val="center"/>
          </w:tcPr>
          <w:p>
            <w:pPr>
              <w:pStyle w:val="12"/>
            </w:pPr>
            <w:r>
              <w:t>40.73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15.12</w:t>
            </w:r>
          </w:p>
        </w:tc>
        <w:tc>
          <w:tcPr>
            <w:tcW w:w="2551" w:type="dxa"/>
            <w:vAlign w:val="center"/>
          </w:tcPr>
          <w:p>
            <w:pPr>
              <w:pStyle w:val="12"/>
            </w:pPr>
            <w:r>
              <w:t>15.12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12.85</w:t>
            </w:r>
          </w:p>
        </w:tc>
        <w:tc>
          <w:tcPr>
            <w:tcW w:w="2551" w:type="dxa"/>
            <w:vAlign w:val="center"/>
          </w:tcPr>
          <w:p>
            <w:pPr>
              <w:pStyle w:val="12"/>
            </w:pPr>
            <w:r>
              <w:t>12.85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2.05</w:t>
            </w:r>
          </w:p>
        </w:tc>
        <w:tc>
          <w:tcPr>
            <w:tcW w:w="2551" w:type="dxa"/>
            <w:vAlign w:val="center"/>
          </w:tcPr>
          <w:p>
            <w:pPr>
              <w:pStyle w:val="12"/>
            </w:pPr>
            <w:r>
              <w:t>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34.84</w:t>
            </w:r>
          </w:p>
        </w:tc>
        <w:tc>
          <w:tcPr>
            <w:tcW w:w="2551" w:type="dxa"/>
            <w:vAlign w:val="center"/>
          </w:tcPr>
          <w:p>
            <w:pPr>
              <w:pStyle w:val="12"/>
            </w:pPr>
            <w:r>
              <w:t>34.84</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24.76</w:t>
            </w:r>
          </w:p>
        </w:tc>
        <w:tc>
          <w:tcPr>
            <w:tcW w:w="2551" w:type="dxa"/>
            <w:vAlign w:val="center"/>
          </w:tcPr>
          <w:p>
            <w:pPr>
              <w:pStyle w:val="12"/>
            </w:pPr>
          </w:p>
        </w:tc>
        <w:tc>
          <w:tcPr>
            <w:tcW w:w="2551" w:type="dxa"/>
            <w:vAlign w:val="center"/>
          </w:tcPr>
          <w:p>
            <w:pPr>
              <w:pStyle w:val="12"/>
            </w:pPr>
            <w:r>
              <w:t>24.76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3.89</w:t>
            </w:r>
          </w:p>
        </w:tc>
        <w:tc>
          <w:tcPr>
            <w:tcW w:w="2551" w:type="dxa"/>
            <w:vAlign w:val="center"/>
          </w:tcPr>
          <w:p>
            <w:pPr>
              <w:pStyle w:val="12"/>
            </w:pPr>
          </w:p>
        </w:tc>
        <w:tc>
          <w:tcPr>
            <w:tcW w:w="2551" w:type="dxa"/>
            <w:vAlign w:val="center"/>
          </w:tcPr>
          <w:p>
            <w:pPr>
              <w:pStyle w:val="12"/>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3.24</w:t>
            </w:r>
          </w:p>
        </w:tc>
        <w:tc>
          <w:tcPr>
            <w:tcW w:w="2551" w:type="dxa"/>
            <w:vAlign w:val="center"/>
          </w:tcPr>
          <w:p>
            <w:pPr>
              <w:pStyle w:val="12"/>
            </w:pPr>
          </w:p>
        </w:tc>
        <w:tc>
          <w:tcPr>
            <w:tcW w:w="2551" w:type="dxa"/>
            <w:vAlign w:val="center"/>
          </w:tcPr>
          <w:p>
            <w:pPr>
              <w:pStyle w:val="12"/>
            </w:pPr>
            <w:r>
              <w:t>3.24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3.73</w:t>
            </w:r>
          </w:p>
        </w:tc>
        <w:tc>
          <w:tcPr>
            <w:tcW w:w="2551" w:type="dxa"/>
            <w:vAlign w:val="center"/>
          </w:tcPr>
          <w:p>
            <w:pPr>
              <w:pStyle w:val="12"/>
            </w:pPr>
          </w:p>
        </w:tc>
        <w:tc>
          <w:tcPr>
            <w:tcW w:w="2551" w:type="dxa"/>
            <w:vAlign w:val="center"/>
          </w:tcPr>
          <w:p>
            <w:pPr>
              <w:pStyle w:val="12"/>
            </w:pPr>
            <w:r>
              <w:t>3.73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58.02</w:t>
            </w:r>
          </w:p>
        </w:tc>
        <w:tc>
          <w:tcPr>
            <w:tcW w:w="2551" w:type="dxa"/>
            <w:vAlign w:val="center"/>
          </w:tcPr>
          <w:p>
            <w:pPr>
              <w:pStyle w:val="12"/>
            </w:pPr>
            <w:r>
              <w:t>58.02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56.96</w:t>
            </w:r>
          </w:p>
        </w:tc>
        <w:tc>
          <w:tcPr>
            <w:tcW w:w="2551" w:type="dxa"/>
            <w:vAlign w:val="center"/>
          </w:tcPr>
          <w:p>
            <w:pPr>
              <w:pStyle w:val="12"/>
            </w:pPr>
            <w:r>
              <w:t>56.96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364正定县医疗保障局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1.14</w:t>
            </w:r>
          </w:p>
        </w:tc>
        <w:tc>
          <w:tcPr>
            <w:tcW w:w="2381" w:type="dxa"/>
            <w:vAlign w:val="center"/>
          </w:tcPr>
          <w:p>
            <w:pPr>
              <w:pStyle w:val="16"/>
            </w:pPr>
            <w:r>
              <w:t>1.14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1.14</w:t>
            </w:r>
          </w:p>
        </w:tc>
        <w:tc>
          <w:tcPr>
            <w:tcW w:w="2381" w:type="dxa"/>
            <w:vAlign w:val="center"/>
          </w:tcPr>
          <w:p>
            <w:pPr>
              <w:pStyle w:val="12"/>
            </w:pPr>
            <w:r>
              <w:t>1.14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1.14</w:t>
            </w:r>
          </w:p>
        </w:tc>
        <w:tc>
          <w:tcPr>
            <w:tcW w:w="2381" w:type="dxa"/>
            <w:vAlign w:val="center"/>
          </w:tcPr>
          <w:p>
            <w:pPr>
              <w:pStyle w:val="12"/>
            </w:pPr>
            <w:r>
              <w:t>1.14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1.14</w:t>
            </w:r>
          </w:p>
        </w:tc>
        <w:tc>
          <w:tcPr>
            <w:tcW w:w="2381" w:type="dxa"/>
            <w:vAlign w:val="center"/>
          </w:tcPr>
          <w:p>
            <w:pPr>
              <w:pStyle w:val="12"/>
            </w:pPr>
            <w:r>
              <w:t>1.14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正定县医疗保障局2026年部门预算信息公开情况说明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正定县医疗保障局2026年部门预算信息公开情况说明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按照《中华人民共和国预算法》、《地方预决算公开操作规程》和《关于进一步推进预算公开工作的实施意见》规定，现将正定县医疗保障局2026年部门预算公开如下：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(一)贯彻落实省、市城镇职工和城乡居民医疗保险、生育保险、医疗救助等医疗保障地方性法规、政府规章草案以及政策、制度、规划和标准。</w:t>
      </w:r>
    </w:p>
    <w:p>
      <w:pPr>
        <w:pStyle w:val="18"/>
      </w:pPr>
      <w:r>
        <w:t>(二)贯彻落实省、市医疗保障基金监督管理办法，建立健全医疗保障基金安全防控机制，组织建设智能监控平台，推进医疗保障基金支付方式改革。</w:t>
      </w:r>
    </w:p>
    <w:p>
      <w:pPr>
        <w:pStyle w:val="18"/>
      </w:pPr>
      <w:r>
        <w:t>(三)贯彻落实省、市城镇职工、城乡居民参保筹资和保障待遇政策，统筹城乡医疗保障政策标准，落实与筹资水乎相适应的待遇调整机制。落实长期护理保险制度方案及政策标准。</w:t>
      </w:r>
    </w:p>
    <w:p>
      <w:pPr>
        <w:pStyle w:val="18"/>
      </w:pPr>
      <w:r>
        <w:t>(四)贯彻落实省、市城乡统一的药品，医用耗材、医疗服务项目、医疗服务设施等医保目录和支付标准。</w:t>
      </w:r>
    </w:p>
    <w:p>
      <w:pPr>
        <w:pStyle w:val="18"/>
      </w:pPr>
      <w:r>
        <w:t>(五)贯彻落实省、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18"/>
      </w:pPr>
      <w:r>
        <w:t>(六)贯彻落实省、市药品、医用耗材的招标采购政策，指导药品、医用耗材招标采购平台建设。</w:t>
      </w:r>
    </w:p>
    <w:p>
      <w:pPr>
        <w:pStyle w:val="18"/>
      </w:pPr>
      <w:r>
        <w:t>(七)贯彻落实省、市定点医药机构协议和支付管理办法。建立健全医疗保障信用评价体系和信息披露制度，监督管理定点医药机构的医疗服务行为、医疗费用和医药价格，依法查处医疗保障领域违法违规行为。</w:t>
      </w:r>
    </w:p>
    <w:p>
      <w:pPr>
        <w:pStyle w:val="18"/>
      </w:pPr>
      <w:r>
        <w:t>(八)负责医疗保障经办管理、公共服务体系和信息化建设。组织落实省、市异地就医管理和费用结算政策。做好医疗保障关系转移接续工作。</w:t>
      </w:r>
    </w:p>
    <w:p>
      <w:pPr>
        <w:pStyle w:val="18"/>
      </w:pPr>
      <w:r>
        <w:t>(九)完成县委、县政府交办的其他任务。</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正定县医疗保险管理中心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按照预算管理有关规定，目前部门预算的编制实行综合预算管理，即全部收入和支出都反映在预算中。正定县医疗保障局机关及所属事业单位的收支包含在部门预算中。</w:t>
      </w:r>
    </w:p>
    <w:p>
      <w:pPr>
        <w:pStyle w:val="19"/>
      </w:pPr>
      <w:r>
        <w:t>1、收入说明</w:t>
      </w:r>
    </w:p>
    <w:p>
      <w:pPr>
        <w:pStyle w:val="19"/>
      </w:pPr>
      <w:r>
        <w:t>反映本部门当年全部收入。2026年预算收入6534.38万元，其中：一般公共预算收入6534.38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医疗保障局年度部门预算中支出预算的总体情况。2026年支出预算6534.38万元，其中基本支出500.39万元，包括人员经费475.63万元和日常公用经费24.76万元；项目支出6033.99万元，主要为2026年度长期护理保险县级资金167.209万元、2026年度医疗救助对象个人负担部分县级资金20万元、2026年度城乡医疗救助县级资金107万元、2026年度长期护理保险县级资金360万元、提前下达2026年中央财政医疗服务与保障能力提升补助资金石财社【2025】119号33万元、2026年度医保骨干网络运行维护费县级资金4万元、2026年度居民医保基金负担新冠病毒疫苗及接种费用的补助0.7万元、2026年度职工医保基金负担新冠病毒疫苗及接种费用的补助14.08万元、2026年度离休干部医药费县级资金70万元、2026年度城乡居民医疗保险财政补助县级资金5256万元、2026年度医保系统硬软件维护县级资金2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6534.38万元，较2025年预算增加368.86万元，其中：基本支出增加43.65万元，主要为工资标准整体有所调高；本年度新增1人，工资增加较多；上一年度有行政晋级晋档、事业分级分档、聘任更高一级职务等工资调整，工资有所增加。项目支出增加325.21万元，主要为长期护理保险县级资金增加了167.209万，元城乡居民医疗保险财政补助县级资金增加了216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rPr>
          <w:rFonts w:hint="eastAsia" w:ascii="Times New Roman" w:hAnsi="Times New Roman" w:eastAsia="方正仿宋_GBK" w:cs="Times New Roman"/>
          <w:sz w:val="28"/>
          <w:szCs w:val="24"/>
          <w:lang w:val="en-US" w:eastAsia="zh-CN" w:bidi="ar-SA"/>
        </w:rPr>
        <w:t>24.76</w:t>
      </w:r>
      <w:r>
        <w:rPr>
          <w:rFonts w:ascii="Times New Roman" w:hAnsi="Times New Roman" w:eastAsia="方正仿宋_GBK" w:cs="Times New Roman"/>
          <w:sz w:val="28"/>
          <w:szCs w:val="24"/>
          <w:lang w:val="en-US" w:eastAsia="uk-UA" w:bidi="ar-SA"/>
        </w:rPr>
        <w:t>万元，主要用于保证机关正常运转的办公费、邮电费、差旅费、会议费、福利费、专用材料及一般设备购置费、办公用房水电费、办公用房取暖费、日常维修费、公务用车运行维护费等支出。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年，我部门财政拨款“三公”经费预算安排1.14万元，其中：因公出国（境）费0万元</w:t>
      </w:r>
      <w:r>
        <w:rPr>
          <w:rFonts w:hint="eastAsia"/>
          <w:lang w:eastAsia="zh-CN"/>
        </w:rPr>
        <w:t>，较上年没有增减，我部门无出境计划</w:t>
      </w:r>
      <w:r>
        <w:t>；公务用车购置及运维费1.14万元（其中：公务用车购置费0万元，</w:t>
      </w:r>
      <w:r>
        <w:rPr>
          <w:rFonts w:hint="eastAsia"/>
          <w:lang w:eastAsia="zh-CN"/>
        </w:rPr>
        <w:t>较上年没有增减，我部门无公务用车采购计划；</w:t>
      </w:r>
      <w:r>
        <w:t>公务用车运行维护费1.14万元</w:t>
      </w:r>
      <w:r>
        <w:rPr>
          <w:rFonts w:hint="eastAsia"/>
          <w:lang w:eastAsia="zh-CN"/>
        </w:rPr>
        <w:t>，较上年没有增减，我部门公务用车运行维护所需预算资金与上年相同</w:t>
      </w:r>
      <w:r>
        <w:t>）；公务接待费0万元</w:t>
      </w:r>
      <w:r>
        <w:rPr>
          <w:rFonts w:hint="eastAsia"/>
          <w:lang w:eastAsia="zh-CN"/>
        </w:rPr>
        <w:t>，较上年没有增减，我部门无公务接待需求</w:t>
      </w:r>
      <w:r>
        <w:t>。</w:t>
      </w:r>
      <w:r>
        <w:rPr>
          <w:rFonts w:hint="eastAsia"/>
          <w:lang w:eastAsia="zh-CN"/>
        </w:rPr>
        <w:t>综上，我部门</w:t>
      </w:r>
      <w:r>
        <w:t>“三公”经费较上年没有增减。</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6</w:t>
      </w:r>
      <w:r>
        <w:t>年，正定县医疗保障局继续在县委县政府的正确领导和石家庄市医疗保障局指导下，按照市政府关于城乡居民基本医疗保险、城镇职工基本医疗保险及医保扶贫系列文件精神，积极推进医疗保险政策的贯彻落实。</w:t>
      </w:r>
    </w:p>
    <w:p>
      <w:pPr>
        <w:pStyle w:val="22"/>
      </w:pPr>
      <w:r>
        <w:t>(一)、医保政策宣传。为营造全社会关注医保、参加医保的良好氛围，把宣传的重点放在居民医疗保险实行市级统筹后待遇大幅度提高、保障范围进一步扩大、政府对居民参保的补助不断提高、居民获得确实保障以及参保基准年度等方面进行宣传。</w:t>
      </w:r>
    </w:p>
    <w:p>
      <w:pPr>
        <w:pStyle w:val="22"/>
      </w:pPr>
      <w:r>
        <w:t>(二)、对定点医院的管理工作。一是把好住院审批关，杜绝冒名住院。加强对轻病住院、挂床住院、过度检查、不合理治疗和违规用药等现象的管理力度。二是把好住院病种关，防止基金流失。三是把好“三大目录”执行关，严防基金浪费。对定点医院“三大目录”的执行情况，采取定期或不定期的形式进行重点稽查。</w:t>
      </w:r>
    </w:p>
    <w:p>
      <w:pPr>
        <w:pStyle w:val="22"/>
      </w:pPr>
      <w:r>
        <w:t>(三)、对定点药店的管理工作。对医保定点药店的管理从审批、管理、考核等方面实行全方位审查监督，收到了比较好的效果。　一是坚持审批到位，严格实行准入制度。实行严格的市场竞争准入制度。二是坚持管理到位，严格规范售药行为。三是坚持考核到位，严格执行目标管理。对药价和经营的合理性进行监管，对服务水平、服务质量等方面进行综合测评，结果与年末考核挂钩，作为是否续签协议的重要依据。</w:t>
      </w:r>
    </w:p>
    <w:p>
      <w:pPr>
        <w:pStyle w:val="22"/>
      </w:pPr>
      <w:r>
        <w:t>(四)、深入做好医保精准扶贫和医疗救助，切实减轻群众就医负担。认真核查，确保建档立卡贫困人口全部参保；广泛宣传，使党的医疗扶贫政策深入人心。一是利用多种平台，对广大市民进行广泛宣传。二是利用医疗场所，对重点人群进行深入宣传。是深入贫困家庭，对建档立卡人员进行点对点宣传；三是落实政策，提高建档立卡人员医疗保障水平。按要求提高了医疗救助水平。按照省市系列文件要求，对建档立卡贫困人口在普通门诊医疗费报销、慢性病、特种病（重大慢性病）门诊医疗费报销、住院医疗费报销、大病保险支付和享受医疗救助等方面提高了医疗救助水平。实现了“一站式”报销结算。</w:t>
      </w:r>
    </w:p>
    <w:p>
      <w:pPr>
        <w:pStyle w:val="22"/>
      </w:pPr>
      <w:r>
        <w:t>(五)、县域参保人员医疗保险与市区参保人员医疗保险享受同城待遇。我县城镇职工和城乡居民基本医疗保险统一纳入了市区基本医疗保险统筹，医保基金由市医保中心统一管理支配。我县城乡居民按石政发[2016]59号文件规定的筹资标准和时限缴纳了城乡居民医保费，城镇职工按市区城镇职工医保标准缴纳了医保费，同时享受到了市区居民和职工的医保待遇。</w:t>
      </w:r>
    </w:p>
    <w:p>
      <w:pPr>
        <w:pStyle w:val="22"/>
      </w:pPr>
      <w:r>
        <w:t>(六)、提高了城乡建档立卡贫困人口医疗保障待遇。根据《河北省人民政府办公厅印发关于提高贫困人口医疗保障救助水平解决因病致贫返贫问题实施方案（试行）的通知》（冀政办字〔2016〕131号）和《石家庄市人民政府办公厅关于提高贫困人口医疗保障救助水平解决因病致贫返贫问题实施细则的通知》精神，提高了建档立卡贫困人员的医疗保障待遇。</w:t>
      </w:r>
    </w:p>
    <w:p>
      <w:pPr>
        <w:pStyle w:val="22"/>
      </w:pPr>
      <w:r>
        <w:t>(七)、参保职工、城乡居民慢性病的认定。为使各类慢性病患者早日享受到已报优惠政策，自2021年始，我们将慢性病认定由原来的每年2次到个人随时下载APP软件进行网上的申报。</w:t>
      </w:r>
    </w:p>
    <w:p>
      <w:pPr>
        <w:pStyle w:val="22"/>
      </w:pPr>
      <w:r>
        <w:t>(八)、参保职工、城乡居民跨省异地就医住院直接结算。为方便患者跨省异地就医，减轻跨省异地就医患者的经济压力，按照《河北省跨省异地就医直接结算近期工作推进方案》要求，切实做好患者异地就医住院直接结算工作，</w:t>
      </w:r>
    </w:p>
    <w:p>
      <w:pPr>
        <w:pStyle w:val="22"/>
      </w:pPr>
      <w:r>
        <w:t>(九)、医疗救助工作是医保局成立后，从民政局接手的新工作，我们克服困难，努力开创了医疗救助工作的新局面。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做好参保城镇职工、城乡居民扩面征缴和待遇支付工作。采取有效措施，广泛深入的宣传参加基本医疗保险对于保障民生的重大意义，确保实现应保尽保工作目标和参保城镇职工、城乡居民待遇按时足额支付。</w:t>
      </w:r>
    </w:p>
    <w:p>
      <w:pPr>
        <w:pStyle w:val="23"/>
      </w:pPr>
      <w:r>
        <w:t>(二)、做好农村贫困人口因病致贫因病返贫救助工作。对“因病致贫、因病返贫”农村贫困人口，按照职责分工和政策要求，搞好救助工作。建立健全定点医疗机构、医保经办机构、医疗救助机构之间的沟通协调机制，提高医疗保障水平，切实让贫困患者享受到优质、高效、安全、廉洁的医疗服务。</w:t>
      </w:r>
    </w:p>
    <w:p>
      <w:pPr>
        <w:pStyle w:val="23"/>
      </w:pPr>
      <w:r>
        <w:t>(三)、进一步改革报销方式。与市医保中心一道探索异地安置的退休人员就地就医、就地结算的办法，研究制定基本医疗保险关系转移接续办法；积极推进城镇职工、城乡居民慢性病、特种病在定点医疗机构报销支付平台建设；稳步推进全县城乡居民基本医保贫困患者县域内住院“先诊疗，后付费”的付费方式。</w:t>
      </w:r>
    </w:p>
    <w:p>
      <w:pPr>
        <w:pStyle w:val="23"/>
      </w:pPr>
      <w:r>
        <w:t>(四)、搞好慢性病的认定工作。做好参保城镇职工、城乡居民慢性病个人通过石家庄医保APP平台申报工作宣传推广，使群众少跑路，信息多跑腿，方便慢病人员办理业务。</w:t>
      </w:r>
    </w:p>
    <w:p>
      <w:pPr>
        <w:pStyle w:val="23"/>
      </w:pPr>
      <w:r>
        <w:t>(五)、加强对协议医药机构的督察和管理。按照市人社局《关于印发石家庄市基本医疗保险定点医药机构协议管理办法（试行）的通知》精神和《石家庄市基本医疗保险协议零售药店药事服务考核办法（试行）》、《石家庄市基本医疗保险有住院资格协议医疗机构考核办法（试行）》标准，强化举措，加强对协议医药机构的督察和管理，确保医保基金的安全。</w:t>
      </w:r>
    </w:p>
    <w:p>
      <w:pPr>
        <w:pStyle w:val="23"/>
      </w:pPr>
      <w:r>
        <w:t>(六)、做好承担的医改项目。积极与市中心进行沟通协调，按要求完成医改工作中负责医改项目。</w:t>
      </w:r>
    </w:p>
    <w:p>
      <w:pPr>
        <w:pStyle w:val="23"/>
      </w:pPr>
      <w:r>
        <w:t>(七)、做好协议医药机构的认定。配合石家庄市医疗保险管理中心做好新增定点医疗机构、定点零售药店申请、验收工作。</w:t>
      </w:r>
    </w:p>
    <w:p>
      <w:pPr>
        <w:pStyle w:val="23"/>
      </w:pPr>
      <w:r>
        <w:t>(八)、在全县开展“打击欺诈骗保、维护基金安全”专项治理行动。</w:t>
      </w:r>
    </w:p>
    <w:p>
      <w:pPr>
        <w:pStyle w:val="23"/>
      </w:pPr>
      <w:r>
        <w:t>(九)、做好县政府交办的其他工作。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(一)、扩大覆盖面，提高征集率。做好医疗、工伤、生育保险的征缴扩面工作，确保全民参保。通过行政、宣传发动和法律等各种手段提高三项保险征集率，使征集率达到99%以上。</w:t>
      </w:r>
      <w:r>
        <w:br w:type="textWrapping"/>
      </w:r>
      <w:r>
        <w:t xml:space="preserve">   </w:t>
      </w:r>
      <w:r>
        <w:rPr>
          <w:rFonts w:hint="eastAsia"/>
          <w:lang w:val="en-US" w:eastAsia="zh-CN"/>
        </w:rPr>
        <w:t xml:space="preserve">    </w:t>
      </w:r>
      <w:r>
        <w:t xml:space="preserve"> (二)、继续提高保障水平。通过提高保障水平减轻参保人员经济负担。增强全民参保意识，应保尽保。</w:t>
      </w:r>
    </w:p>
    <w:p>
      <w:pPr>
        <w:pStyle w:val="24"/>
        <w:sectPr>
          <w:pgSz w:w="16840" w:h="11900" w:orient="landscape"/>
          <w:pgMar w:top="1361" w:right="1020" w:bottom="1361" w:left="1020" w:header="720" w:footer="720" w:gutter="0"/>
          <w:cols w:space="720" w:num="1"/>
        </w:sectPr>
      </w:pPr>
      <w:r>
        <w:t>(三)、抓好医保监管工作。进一步完善“两定点”准入制度。完善“两定点”和外地定点医院动态管理办法，制定既科学又可行的医疗工伤生育保险服务协议，提高基金的使用效率。</w:t>
      </w:r>
      <w:r>
        <w:br w:type="textWrapping"/>
      </w:r>
      <w:r>
        <w:t>　　(四)、完善内控制度，提高经办能力。按照 计划、协议、监督相分离的要求，建立健全工作制度，加强内部控制，不断完善医疗保险经办机构内部考核评价体系;通过各种形式的培训、学习等教育活动，努力提高医保经办人员的综合素质，使经办能力不断提升。使办事效率提高到95%以上。</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1、2026年度长期护理保险县级资金绩效目标表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13012326P00006910002J</w:t>
            </w:r>
          </w:p>
        </w:tc>
        <w:tc>
          <w:tcPr>
            <w:tcW w:w="2835" w:type="dxa"/>
            <w:vAlign w:val="center"/>
          </w:tcPr>
          <w:p>
            <w:pPr>
              <w:pStyle w:val="11"/>
            </w:pPr>
            <w:r>
              <w:t>项目名称</w:t>
            </w:r>
          </w:p>
        </w:tc>
        <w:tc>
          <w:tcPr>
            <w:tcW w:w="6095" w:type="dxa"/>
            <w:gridSpan w:val="3"/>
            <w:vAlign w:val="center"/>
          </w:tcPr>
          <w:p>
            <w:pPr>
              <w:pStyle w:val="13"/>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167.21</w:t>
            </w:r>
          </w:p>
        </w:tc>
        <w:tc>
          <w:tcPr>
            <w:tcW w:w="2835" w:type="dxa"/>
            <w:vAlign w:val="center"/>
          </w:tcPr>
          <w:p>
            <w:pPr>
              <w:pStyle w:val="11"/>
            </w:pPr>
            <w:r>
              <w:t>其中：财政    资金</w:t>
            </w:r>
          </w:p>
        </w:tc>
        <w:tc>
          <w:tcPr>
            <w:tcW w:w="2551" w:type="dxa"/>
            <w:vAlign w:val="center"/>
          </w:tcPr>
          <w:p>
            <w:pPr>
              <w:pStyle w:val="13"/>
            </w:pPr>
            <w:r>
              <w:t>167.21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城乡居民参保人员数量</w:t>
            </w:r>
          </w:p>
        </w:tc>
        <w:tc>
          <w:tcPr>
            <w:tcW w:w="5386" w:type="dxa"/>
            <w:vAlign w:val="center"/>
          </w:tcPr>
          <w:p>
            <w:pPr>
              <w:pStyle w:val="13"/>
            </w:pPr>
            <w:r>
              <w:t>城乡居民参保人员人数</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长期护理保险国家计划完成率</w:t>
            </w:r>
          </w:p>
        </w:tc>
        <w:tc>
          <w:tcPr>
            <w:tcW w:w="5386" w:type="dxa"/>
            <w:vAlign w:val="center"/>
          </w:tcPr>
          <w:p>
            <w:pPr>
              <w:pStyle w:val="13"/>
            </w:pPr>
            <w:r>
              <w:t>长期护理保险参保人数与国家计划参保人数之间的比率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重度失能人员及时享受补助</w:t>
            </w:r>
          </w:p>
        </w:tc>
        <w:tc>
          <w:tcPr>
            <w:tcW w:w="5386" w:type="dxa"/>
            <w:vAlign w:val="center"/>
          </w:tcPr>
          <w:p>
            <w:pPr>
              <w:pStyle w:val="13"/>
            </w:pPr>
            <w:r>
              <w:t>重度失能人员及时享受补助</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县级财政配套资金及时上解</w:t>
            </w:r>
          </w:p>
        </w:tc>
        <w:tc>
          <w:tcPr>
            <w:tcW w:w="5386" w:type="dxa"/>
            <w:vAlign w:val="center"/>
          </w:tcPr>
          <w:p>
            <w:pPr>
              <w:pStyle w:val="13"/>
            </w:pPr>
            <w:r>
              <w:t>县级财政配套资金及时足额上解</w:t>
            </w:r>
          </w:p>
        </w:tc>
        <w:tc>
          <w:tcPr>
            <w:tcW w:w="2268" w:type="dxa"/>
            <w:vAlign w:val="center"/>
          </w:tcPr>
          <w:p>
            <w:pPr>
              <w:pStyle w:val="13"/>
            </w:pPr>
            <w:r>
              <w:t>≥95%</w:t>
            </w:r>
          </w:p>
        </w:tc>
        <w:tc>
          <w:tcPr>
            <w:tcW w:w="1276" w:type="dxa"/>
            <w:vAlign w:val="center"/>
          </w:tcPr>
          <w:p>
            <w:pPr>
              <w:pStyle w:val="13"/>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有效提高长护险人员生活质量</w:t>
            </w:r>
          </w:p>
        </w:tc>
        <w:tc>
          <w:tcPr>
            <w:tcW w:w="5386" w:type="dxa"/>
            <w:vAlign w:val="center"/>
          </w:tcPr>
          <w:p>
            <w:pPr>
              <w:pStyle w:val="13"/>
            </w:pPr>
            <w:r>
              <w:t>有效提高享受长护险待遇人员生活质量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减轻参保群众经济压力</w:t>
            </w:r>
          </w:p>
        </w:tc>
        <w:tc>
          <w:tcPr>
            <w:tcW w:w="5386" w:type="dxa"/>
            <w:vAlign w:val="center"/>
          </w:tcPr>
          <w:p>
            <w:pPr>
              <w:pStyle w:val="13"/>
            </w:pPr>
            <w:r>
              <w:t>减轻参保群众经济压力</w:t>
            </w:r>
          </w:p>
        </w:tc>
        <w:tc>
          <w:tcPr>
            <w:tcW w:w="2268" w:type="dxa"/>
            <w:vAlign w:val="center"/>
          </w:tcPr>
          <w:p>
            <w:pPr>
              <w:pStyle w:val="13"/>
            </w:pPr>
            <w:r>
              <w:t>减轻参保群众经济压力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提高保障水平，满足参保群众长期护理需求</w:t>
            </w:r>
          </w:p>
        </w:tc>
        <w:tc>
          <w:tcPr>
            <w:tcW w:w="5386" w:type="dxa"/>
            <w:vAlign w:val="center"/>
          </w:tcPr>
          <w:p>
            <w:pPr>
              <w:pStyle w:val="13"/>
            </w:pPr>
            <w:r>
              <w:t>提高保障水平，满足参保群众长期护理需求</w:t>
            </w:r>
          </w:p>
        </w:tc>
        <w:tc>
          <w:tcPr>
            <w:tcW w:w="2268" w:type="dxa"/>
            <w:vAlign w:val="center"/>
          </w:tcPr>
          <w:p>
            <w:pPr>
              <w:pStyle w:val="13"/>
            </w:pPr>
            <w:r>
              <w:t>提高保障水平，满足参保群众长期护理需求</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护理保险改革</w:t>
            </w:r>
          </w:p>
        </w:tc>
        <w:tc>
          <w:tcPr>
            <w:tcW w:w="5386" w:type="dxa"/>
            <w:vAlign w:val="center"/>
          </w:tcPr>
          <w:p>
            <w:pPr>
              <w:pStyle w:val="13"/>
            </w:pPr>
            <w:r>
              <w:t>推动长期护理保险改革并组织实施</w:t>
            </w:r>
          </w:p>
        </w:tc>
        <w:tc>
          <w:tcPr>
            <w:tcW w:w="2268" w:type="dxa"/>
            <w:vAlign w:val="center"/>
          </w:tcPr>
          <w:p>
            <w:pPr>
              <w:pStyle w:val="13"/>
            </w:pPr>
            <w:r>
              <w:t>≥95%</w:t>
            </w:r>
          </w:p>
        </w:tc>
        <w:tc>
          <w:tcPr>
            <w:tcW w:w="1276" w:type="dxa"/>
            <w:vAlign w:val="center"/>
          </w:tcPr>
          <w:p>
            <w:pPr>
              <w:pStyle w:val="13"/>
            </w:pPr>
            <w:r>
              <w:t>指标文件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2、2026年度长期护理保险县级资金绩效目标表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13012326P000069100036</w:t>
            </w:r>
          </w:p>
        </w:tc>
        <w:tc>
          <w:tcPr>
            <w:tcW w:w="2835" w:type="dxa"/>
            <w:vAlign w:val="center"/>
          </w:tcPr>
          <w:p>
            <w:pPr>
              <w:pStyle w:val="11"/>
            </w:pPr>
            <w:r>
              <w:t>项目名称</w:t>
            </w:r>
          </w:p>
        </w:tc>
        <w:tc>
          <w:tcPr>
            <w:tcW w:w="6095" w:type="dxa"/>
            <w:gridSpan w:val="3"/>
            <w:vAlign w:val="center"/>
          </w:tcPr>
          <w:p>
            <w:pPr>
              <w:pStyle w:val="13"/>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城乡居民参保人员数量</w:t>
            </w:r>
          </w:p>
        </w:tc>
        <w:tc>
          <w:tcPr>
            <w:tcW w:w="5386" w:type="dxa"/>
            <w:vAlign w:val="center"/>
          </w:tcPr>
          <w:p>
            <w:pPr>
              <w:pStyle w:val="13"/>
            </w:pPr>
            <w:r>
              <w:t>城乡居民参保人员人数</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长期护理保险国家计划完成率</w:t>
            </w:r>
          </w:p>
        </w:tc>
        <w:tc>
          <w:tcPr>
            <w:tcW w:w="5386" w:type="dxa"/>
            <w:vAlign w:val="center"/>
          </w:tcPr>
          <w:p>
            <w:pPr>
              <w:pStyle w:val="13"/>
            </w:pPr>
            <w:r>
              <w:t>长期护理保险参保人数与国家计划参保人数之间的比率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重度失能人员及时享受补助</w:t>
            </w:r>
          </w:p>
        </w:tc>
        <w:tc>
          <w:tcPr>
            <w:tcW w:w="5386" w:type="dxa"/>
            <w:vAlign w:val="center"/>
          </w:tcPr>
          <w:p>
            <w:pPr>
              <w:pStyle w:val="13"/>
            </w:pPr>
            <w:r>
              <w:t>重度失能人员及时享受补助</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县级财政配套资金及时上解</w:t>
            </w:r>
          </w:p>
        </w:tc>
        <w:tc>
          <w:tcPr>
            <w:tcW w:w="5386" w:type="dxa"/>
            <w:vAlign w:val="center"/>
          </w:tcPr>
          <w:p>
            <w:pPr>
              <w:pStyle w:val="13"/>
            </w:pPr>
            <w:r>
              <w:t>县级财政配套资金及时足额上解</w:t>
            </w:r>
          </w:p>
        </w:tc>
        <w:tc>
          <w:tcPr>
            <w:tcW w:w="2268" w:type="dxa"/>
            <w:vAlign w:val="center"/>
          </w:tcPr>
          <w:p>
            <w:pPr>
              <w:pStyle w:val="13"/>
            </w:pPr>
            <w:r>
              <w:t>≥95%</w:t>
            </w:r>
          </w:p>
        </w:tc>
        <w:tc>
          <w:tcPr>
            <w:tcW w:w="1276" w:type="dxa"/>
            <w:vAlign w:val="center"/>
          </w:tcPr>
          <w:p>
            <w:pPr>
              <w:pStyle w:val="13"/>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有效提高长护险人员生活质量</w:t>
            </w:r>
          </w:p>
        </w:tc>
        <w:tc>
          <w:tcPr>
            <w:tcW w:w="5386" w:type="dxa"/>
            <w:vAlign w:val="center"/>
          </w:tcPr>
          <w:p>
            <w:pPr>
              <w:pStyle w:val="13"/>
            </w:pPr>
            <w:r>
              <w:t>有效提高享受长护险待遇人员生活质量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减轻参保群众经济压力</w:t>
            </w:r>
          </w:p>
        </w:tc>
        <w:tc>
          <w:tcPr>
            <w:tcW w:w="5386" w:type="dxa"/>
            <w:vAlign w:val="center"/>
          </w:tcPr>
          <w:p>
            <w:pPr>
              <w:pStyle w:val="13"/>
            </w:pPr>
            <w:r>
              <w:t>减轻参保群众经济压力</w:t>
            </w:r>
          </w:p>
        </w:tc>
        <w:tc>
          <w:tcPr>
            <w:tcW w:w="2268" w:type="dxa"/>
            <w:vAlign w:val="center"/>
          </w:tcPr>
          <w:p>
            <w:pPr>
              <w:pStyle w:val="13"/>
            </w:pPr>
            <w:r>
              <w:t>减轻参保群众经济压力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提高保障水平，满足参保群众长期护理需求</w:t>
            </w:r>
          </w:p>
        </w:tc>
        <w:tc>
          <w:tcPr>
            <w:tcW w:w="5386" w:type="dxa"/>
            <w:vAlign w:val="center"/>
          </w:tcPr>
          <w:p>
            <w:pPr>
              <w:pStyle w:val="13"/>
            </w:pPr>
            <w:r>
              <w:t>提高保障水平，满足参保群众长期护理需求</w:t>
            </w:r>
          </w:p>
        </w:tc>
        <w:tc>
          <w:tcPr>
            <w:tcW w:w="2268" w:type="dxa"/>
            <w:vAlign w:val="center"/>
          </w:tcPr>
          <w:p>
            <w:pPr>
              <w:pStyle w:val="13"/>
            </w:pPr>
            <w:r>
              <w:t>提高保障水平，满足参保群众长期护理需求</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护理保险改革</w:t>
            </w:r>
          </w:p>
        </w:tc>
        <w:tc>
          <w:tcPr>
            <w:tcW w:w="5386" w:type="dxa"/>
            <w:vAlign w:val="center"/>
          </w:tcPr>
          <w:p>
            <w:pPr>
              <w:pStyle w:val="13"/>
            </w:pPr>
            <w:r>
              <w:t>推动长期护理保险改革并组织实施</w:t>
            </w:r>
          </w:p>
        </w:tc>
        <w:tc>
          <w:tcPr>
            <w:tcW w:w="2268" w:type="dxa"/>
            <w:vAlign w:val="center"/>
          </w:tcPr>
          <w:p>
            <w:pPr>
              <w:pStyle w:val="13"/>
            </w:pPr>
            <w:r>
              <w:t>≥95%</w:t>
            </w:r>
          </w:p>
        </w:tc>
        <w:tc>
          <w:tcPr>
            <w:tcW w:w="1276" w:type="dxa"/>
            <w:vAlign w:val="center"/>
          </w:tcPr>
          <w:p>
            <w:pPr>
              <w:pStyle w:val="13"/>
            </w:pPr>
            <w:r>
              <w:t>指标文件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3、2026年度城乡医疗救助县级资金绩效目标表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13012326P000048100059</w:t>
            </w:r>
          </w:p>
        </w:tc>
        <w:tc>
          <w:tcPr>
            <w:tcW w:w="2835" w:type="dxa"/>
            <w:vAlign w:val="center"/>
          </w:tcPr>
          <w:p>
            <w:pPr>
              <w:pStyle w:val="11"/>
            </w:pPr>
            <w:r>
              <w:t>项目名称</w:t>
            </w:r>
          </w:p>
        </w:tc>
        <w:tc>
          <w:tcPr>
            <w:tcW w:w="6095" w:type="dxa"/>
            <w:gridSpan w:val="3"/>
            <w:vAlign w:val="center"/>
          </w:tcPr>
          <w:p>
            <w:pPr>
              <w:pStyle w:val="13"/>
            </w:pPr>
            <w:r>
              <w:t>2026年度城乡医疗救助县级资金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107.00</w:t>
            </w:r>
          </w:p>
        </w:tc>
        <w:tc>
          <w:tcPr>
            <w:tcW w:w="2835" w:type="dxa"/>
            <w:vAlign w:val="center"/>
          </w:tcPr>
          <w:p>
            <w:pPr>
              <w:pStyle w:val="11"/>
            </w:pPr>
            <w:r>
              <w:t>其中：财政    资金</w:t>
            </w:r>
          </w:p>
        </w:tc>
        <w:tc>
          <w:tcPr>
            <w:tcW w:w="2551" w:type="dxa"/>
            <w:vAlign w:val="center"/>
          </w:tcPr>
          <w:p>
            <w:pPr>
              <w:pStyle w:val="13"/>
            </w:pPr>
            <w:r>
              <w:t>107.00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用于资助符合条件的缴费困难群体参加城乡居民医疗保险以及城乡困难群众医疗救助、重特大疾病医疗救助等方面的支出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资助符合条件的缴费困难群体参加城乡居民医疗保险以及城乡困难群众医疗救助、重特大疾病医疗救助等方面的支出；保证持续实施重特大疾病医疗救助、重点救助对象自付费用年度限额内住院救助比例达到70%、年度救助对象人次规模与上年持平、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医疗救助对象范围应救助尽救助</w:t>
            </w:r>
          </w:p>
        </w:tc>
        <w:tc>
          <w:tcPr>
            <w:tcW w:w="5386" w:type="dxa"/>
            <w:vAlign w:val="center"/>
          </w:tcPr>
          <w:p>
            <w:pPr>
              <w:pStyle w:val="13"/>
            </w:pPr>
            <w:r>
              <w:t>符合条件人员全部救助</w:t>
            </w:r>
          </w:p>
        </w:tc>
        <w:tc>
          <w:tcPr>
            <w:tcW w:w="2268" w:type="dxa"/>
            <w:vAlign w:val="center"/>
          </w:tcPr>
          <w:p>
            <w:pPr>
              <w:pStyle w:val="13"/>
            </w:pPr>
            <w:r>
              <w:t>对低保对象、特困人员、低保边缘家庭成员以及因病致贫重病患者应救助金救助</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严格执行基本救助标准</w:t>
            </w:r>
          </w:p>
        </w:tc>
        <w:tc>
          <w:tcPr>
            <w:tcW w:w="5386" w:type="dxa"/>
            <w:vAlign w:val="center"/>
          </w:tcPr>
          <w:p>
            <w:pPr>
              <w:pStyle w:val="13"/>
            </w:pPr>
            <w:r>
              <w:t>严格按照标准给予救助</w:t>
            </w:r>
          </w:p>
        </w:tc>
        <w:tc>
          <w:tcPr>
            <w:tcW w:w="2268" w:type="dxa"/>
            <w:vAlign w:val="center"/>
          </w:tcPr>
          <w:p>
            <w:pPr>
              <w:pStyle w:val="13"/>
            </w:pPr>
            <w:r>
              <w:t>门诊救助和住院救助共用年度救助限额30000元。</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一站式直接结算覆盖地区</w:t>
            </w:r>
          </w:p>
        </w:tc>
        <w:tc>
          <w:tcPr>
            <w:tcW w:w="5386" w:type="dxa"/>
            <w:vAlign w:val="center"/>
          </w:tcPr>
          <w:p>
            <w:pPr>
              <w:pStyle w:val="13"/>
            </w:pPr>
            <w:r>
              <w:t>一站式直接结算覆盖地区</w:t>
            </w:r>
          </w:p>
        </w:tc>
        <w:tc>
          <w:tcPr>
            <w:tcW w:w="2268" w:type="dxa"/>
            <w:vAlign w:val="center"/>
          </w:tcPr>
          <w:p>
            <w:pPr>
              <w:pStyle w:val="13"/>
            </w:pPr>
            <w:r>
              <w:t>全覆盖</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财政拨付到位</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医疗救助对象覆盖范围</w:t>
            </w:r>
          </w:p>
        </w:tc>
        <w:tc>
          <w:tcPr>
            <w:tcW w:w="5386" w:type="dxa"/>
            <w:vAlign w:val="center"/>
          </w:tcPr>
          <w:p>
            <w:pPr>
              <w:pStyle w:val="13"/>
            </w:pPr>
            <w:r>
              <w:t>医疗救助对象覆盖范围</w:t>
            </w:r>
          </w:p>
        </w:tc>
        <w:tc>
          <w:tcPr>
            <w:tcW w:w="2268" w:type="dxa"/>
            <w:vAlign w:val="center"/>
          </w:tcPr>
          <w:p>
            <w:pPr>
              <w:pStyle w:val="13"/>
            </w:pPr>
            <w:r>
              <w:t>应覆盖尽覆盖</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最大限度减轻困难群众医疗支出负担</w:t>
            </w:r>
          </w:p>
        </w:tc>
        <w:tc>
          <w:tcPr>
            <w:tcW w:w="5386" w:type="dxa"/>
            <w:vAlign w:val="center"/>
          </w:tcPr>
          <w:p>
            <w:pPr>
              <w:pStyle w:val="13"/>
            </w:pPr>
            <w:r>
              <w:t>最大限度减轻困难群众医疗支出负担</w:t>
            </w:r>
          </w:p>
        </w:tc>
        <w:tc>
          <w:tcPr>
            <w:tcW w:w="2268" w:type="dxa"/>
            <w:vAlign w:val="center"/>
          </w:tcPr>
          <w:p>
            <w:pPr>
              <w:pStyle w:val="13"/>
            </w:pPr>
            <w:r>
              <w:t>最大限度减轻困难群众医疗支出负担</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持续报销保障</w:t>
            </w:r>
          </w:p>
        </w:tc>
        <w:tc>
          <w:tcPr>
            <w:tcW w:w="5386" w:type="dxa"/>
            <w:vAlign w:val="center"/>
          </w:tcPr>
          <w:p>
            <w:pPr>
              <w:pStyle w:val="13"/>
            </w:pPr>
            <w:r>
              <w:t>持续报销保障</w:t>
            </w:r>
          </w:p>
        </w:tc>
        <w:tc>
          <w:tcPr>
            <w:tcW w:w="2268" w:type="dxa"/>
            <w:vAlign w:val="center"/>
          </w:tcPr>
          <w:p>
            <w:pPr>
              <w:pStyle w:val="13"/>
            </w:pPr>
            <w:r>
              <w:t>持续报销保障</w:t>
            </w:r>
          </w:p>
        </w:tc>
        <w:tc>
          <w:tcPr>
            <w:tcW w:w="1276"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4、2026年度医保骨干网络运行维护费县级资金绩效目标表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13012326P000016100444</w:t>
            </w:r>
          </w:p>
        </w:tc>
        <w:tc>
          <w:tcPr>
            <w:tcW w:w="2835" w:type="dxa"/>
            <w:vAlign w:val="center"/>
          </w:tcPr>
          <w:p>
            <w:pPr>
              <w:pStyle w:val="11"/>
            </w:pPr>
            <w:r>
              <w:t>项目名称</w:t>
            </w:r>
          </w:p>
        </w:tc>
        <w:tc>
          <w:tcPr>
            <w:tcW w:w="6095" w:type="dxa"/>
            <w:gridSpan w:val="3"/>
            <w:vAlign w:val="center"/>
          </w:tcPr>
          <w:p>
            <w:pPr>
              <w:pStyle w:val="13"/>
            </w:pPr>
            <w:r>
              <w:t>2026年度医保骨干网络运行维护费县级资金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确保骨干网络运行畅通，不能发生断网事故。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1.确保骨干网络运行畅通，不发生断网事故。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各级骨干网络正常运行</w:t>
            </w:r>
          </w:p>
        </w:tc>
        <w:tc>
          <w:tcPr>
            <w:tcW w:w="5386" w:type="dxa"/>
            <w:vAlign w:val="center"/>
          </w:tcPr>
          <w:p>
            <w:pPr>
              <w:pStyle w:val="13"/>
            </w:pPr>
            <w:r>
              <w:t>各级骨干网络正常运行</w:t>
            </w:r>
          </w:p>
        </w:tc>
        <w:tc>
          <w:tcPr>
            <w:tcW w:w="2268" w:type="dxa"/>
            <w:vAlign w:val="center"/>
          </w:tcPr>
          <w:p>
            <w:pPr>
              <w:pStyle w:val="13"/>
            </w:pPr>
            <w:r>
              <w:t>各级骨干网络正常运行</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骨干网络运行畅通</w:t>
            </w:r>
          </w:p>
        </w:tc>
        <w:tc>
          <w:tcPr>
            <w:tcW w:w="5386" w:type="dxa"/>
            <w:vAlign w:val="center"/>
          </w:tcPr>
          <w:p>
            <w:pPr>
              <w:pStyle w:val="13"/>
            </w:pPr>
            <w:r>
              <w:t>骨干网络运行畅通</w:t>
            </w:r>
          </w:p>
        </w:tc>
        <w:tc>
          <w:tcPr>
            <w:tcW w:w="2268" w:type="dxa"/>
            <w:vAlign w:val="center"/>
          </w:tcPr>
          <w:p>
            <w:pPr>
              <w:pStyle w:val="13"/>
            </w:pPr>
            <w:r>
              <w:t>骨干网络运行畅通</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完成骨干网络建设，能正常使用</w:t>
            </w:r>
          </w:p>
        </w:tc>
        <w:tc>
          <w:tcPr>
            <w:tcW w:w="5386" w:type="dxa"/>
            <w:vAlign w:val="center"/>
          </w:tcPr>
          <w:p>
            <w:pPr>
              <w:pStyle w:val="13"/>
            </w:pPr>
            <w:r>
              <w:t>完成骨干网络建设，能正常使用</w:t>
            </w:r>
          </w:p>
        </w:tc>
        <w:tc>
          <w:tcPr>
            <w:tcW w:w="2268" w:type="dxa"/>
            <w:vAlign w:val="center"/>
          </w:tcPr>
          <w:p>
            <w:pPr>
              <w:pStyle w:val="13"/>
            </w:pPr>
            <w:r>
              <w:t>完成骨干网络建设，能正常使用</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县级资金及时拨付</w:t>
            </w:r>
          </w:p>
        </w:tc>
        <w:tc>
          <w:tcPr>
            <w:tcW w:w="5386" w:type="dxa"/>
            <w:vAlign w:val="center"/>
          </w:tcPr>
          <w:p>
            <w:pPr>
              <w:pStyle w:val="13"/>
            </w:pPr>
            <w:r>
              <w:t>县级资金及时拨付</w:t>
            </w:r>
          </w:p>
        </w:tc>
        <w:tc>
          <w:tcPr>
            <w:tcW w:w="2268" w:type="dxa"/>
            <w:vAlign w:val="center"/>
          </w:tcPr>
          <w:p>
            <w:pPr>
              <w:pStyle w:val="13"/>
            </w:pPr>
            <w:r>
              <w:t>县级资金及时拨付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避免因网络故障导致损失</w:t>
            </w:r>
          </w:p>
        </w:tc>
        <w:tc>
          <w:tcPr>
            <w:tcW w:w="5386" w:type="dxa"/>
            <w:vAlign w:val="center"/>
          </w:tcPr>
          <w:p>
            <w:pPr>
              <w:pStyle w:val="13"/>
            </w:pPr>
            <w:r>
              <w:t>节约运维成本</w:t>
            </w:r>
          </w:p>
        </w:tc>
        <w:tc>
          <w:tcPr>
            <w:tcW w:w="2268" w:type="dxa"/>
            <w:vAlign w:val="center"/>
          </w:tcPr>
          <w:p>
            <w:pPr>
              <w:pStyle w:val="13"/>
            </w:pPr>
            <w:r>
              <w:t>节约运维成本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服务效率</w:t>
            </w:r>
          </w:p>
        </w:tc>
        <w:tc>
          <w:tcPr>
            <w:tcW w:w="5386" w:type="dxa"/>
            <w:vAlign w:val="center"/>
          </w:tcPr>
          <w:p>
            <w:pPr>
              <w:pStyle w:val="13"/>
            </w:pPr>
            <w:r>
              <w:t>服务效率</w:t>
            </w:r>
          </w:p>
        </w:tc>
        <w:tc>
          <w:tcPr>
            <w:tcW w:w="2268" w:type="dxa"/>
            <w:vAlign w:val="center"/>
          </w:tcPr>
          <w:p>
            <w:pPr>
              <w:pStyle w:val="13"/>
            </w:pPr>
            <w:r>
              <w:t>明显提升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增加设备生命周期延长率</w:t>
            </w:r>
          </w:p>
        </w:tc>
        <w:tc>
          <w:tcPr>
            <w:tcW w:w="5386" w:type="dxa"/>
            <w:vAlign w:val="center"/>
          </w:tcPr>
          <w:p>
            <w:pPr>
              <w:pStyle w:val="13"/>
            </w:pPr>
            <w:r>
              <w:t>增加设备生命周期延长率</w:t>
            </w:r>
          </w:p>
        </w:tc>
        <w:tc>
          <w:tcPr>
            <w:tcW w:w="2268" w:type="dxa"/>
            <w:vAlign w:val="center"/>
          </w:tcPr>
          <w:p>
            <w:pPr>
              <w:pStyle w:val="13"/>
            </w:pPr>
            <w:r>
              <w:t>增加设备生命周期延长率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5、2026年度医疗救助对象个人负担部分县级资金绩效目标表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13012326P00004810006W</w:t>
            </w:r>
          </w:p>
        </w:tc>
        <w:tc>
          <w:tcPr>
            <w:tcW w:w="2835" w:type="dxa"/>
            <w:vAlign w:val="center"/>
          </w:tcPr>
          <w:p>
            <w:pPr>
              <w:pStyle w:val="11"/>
            </w:pPr>
            <w:r>
              <w:t>项目名称</w:t>
            </w:r>
          </w:p>
        </w:tc>
        <w:tc>
          <w:tcPr>
            <w:tcW w:w="6095" w:type="dxa"/>
            <w:gridSpan w:val="3"/>
            <w:vAlign w:val="center"/>
          </w:tcPr>
          <w:p>
            <w:pPr>
              <w:pStyle w:val="13"/>
            </w:pPr>
            <w:r>
              <w:t>2026年度医疗救助对象个人负担部分县级资金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减轻家庭经济负担，保障公民健康。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1.减轻家庭经济负担，保障公民健康。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医疗救助对象范围应救助尽救助</w:t>
            </w:r>
          </w:p>
        </w:tc>
        <w:tc>
          <w:tcPr>
            <w:tcW w:w="5386" w:type="dxa"/>
            <w:vAlign w:val="center"/>
          </w:tcPr>
          <w:p>
            <w:pPr>
              <w:pStyle w:val="13"/>
            </w:pPr>
            <w:r>
              <w:t>符合条件人员全部救助</w:t>
            </w:r>
          </w:p>
        </w:tc>
        <w:tc>
          <w:tcPr>
            <w:tcW w:w="2268" w:type="dxa"/>
            <w:vAlign w:val="center"/>
          </w:tcPr>
          <w:p>
            <w:pPr>
              <w:pStyle w:val="13"/>
            </w:pPr>
            <w:r>
              <w:t>对低保对象、特困人员、低保边缘家庭成员以及因病致贫重病患者应救助金救助</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使救助对象能够平等享受基本医疗服务</w:t>
            </w:r>
          </w:p>
        </w:tc>
        <w:tc>
          <w:tcPr>
            <w:tcW w:w="5386" w:type="dxa"/>
            <w:vAlign w:val="center"/>
          </w:tcPr>
          <w:p>
            <w:pPr>
              <w:pStyle w:val="13"/>
            </w:pPr>
            <w:r>
              <w:t>使救助对象能够平等享受基本医疗服务</w:t>
            </w:r>
          </w:p>
        </w:tc>
        <w:tc>
          <w:tcPr>
            <w:tcW w:w="2268" w:type="dxa"/>
            <w:vAlign w:val="center"/>
          </w:tcPr>
          <w:p>
            <w:pPr>
              <w:pStyle w:val="13"/>
            </w:pPr>
            <w:r>
              <w:t>使救助对象能够平等享受基本医疗服务</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按时完成资金拨付</w:t>
            </w:r>
          </w:p>
        </w:tc>
        <w:tc>
          <w:tcPr>
            <w:tcW w:w="5386" w:type="dxa"/>
            <w:vAlign w:val="center"/>
          </w:tcPr>
          <w:p>
            <w:pPr>
              <w:pStyle w:val="13"/>
            </w:pPr>
            <w:r>
              <w:t>按时完成资金拨付</w:t>
            </w:r>
          </w:p>
        </w:tc>
        <w:tc>
          <w:tcPr>
            <w:tcW w:w="2268" w:type="dxa"/>
            <w:vAlign w:val="center"/>
          </w:tcPr>
          <w:p>
            <w:pPr>
              <w:pStyle w:val="13"/>
            </w:pPr>
            <w:r>
              <w:t>按时完成资金拨付</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财政拨付到位</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减轻困难群体经济压力</w:t>
            </w:r>
          </w:p>
        </w:tc>
        <w:tc>
          <w:tcPr>
            <w:tcW w:w="5386" w:type="dxa"/>
            <w:vAlign w:val="center"/>
          </w:tcPr>
          <w:p>
            <w:pPr>
              <w:pStyle w:val="13"/>
            </w:pPr>
            <w:r>
              <w:t>减轻困难群体经济压力</w:t>
            </w:r>
          </w:p>
        </w:tc>
        <w:tc>
          <w:tcPr>
            <w:tcW w:w="2268" w:type="dxa"/>
            <w:vAlign w:val="center"/>
          </w:tcPr>
          <w:p>
            <w:pPr>
              <w:pStyle w:val="13"/>
            </w:pPr>
            <w:r>
              <w:t>有效减轻困难群体经济压力</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减轻家庭经济负担，保障公民健康</w:t>
            </w:r>
          </w:p>
        </w:tc>
        <w:tc>
          <w:tcPr>
            <w:tcW w:w="5386" w:type="dxa"/>
            <w:vAlign w:val="center"/>
          </w:tcPr>
          <w:p>
            <w:pPr>
              <w:pStyle w:val="13"/>
            </w:pPr>
            <w:r>
              <w:t>减轻家庭经济负担，保障公民健康</w:t>
            </w:r>
          </w:p>
        </w:tc>
        <w:tc>
          <w:tcPr>
            <w:tcW w:w="2268" w:type="dxa"/>
            <w:vAlign w:val="center"/>
          </w:tcPr>
          <w:p>
            <w:pPr>
              <w:pStyle w:val="13"/>
            </w:pPr>
            <w:r>
              <w:t>减轻家庭经济负担，保障公民健康</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bookmarkStart w:id="20" w:name="_GoBack"/>
            <w:bookmarkEnd w:id="20"/>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保障困难群众健康</w:t>
            </w:r>
          </w:p>
        </w:tc>
        <w:tc>
          <w:tcPr>
            <w:tcW w:w="5386" w:type="dxa"/>
            <w:vAlign w:val="center"/>
          </w:tcPr>
          <w:p>
            <w:pPr>
              <w:pStyle w:val="13"/>
            </w:pPr>
            <w:r>
              <w:t>保障困难群众健康</w:t>
            </w:r>
          </w:p>
        </w:tc>
        <w:tc>
          <w:tcPr>
            <w:tcW w:w="2268" w:type="dxa"/>
            <w:vAlign w:val="center"/>
          </w:tcPr>
          <w:p>
            <w:pPr>
              <w:pStyle w:val="13"/>
            </w:pPr>
            <w:r>
              <w:t>保障困难群众健康</w:t>
            </w:r>
          </w:p>
        </w:tc>
        <w:tc>
          <w:tcPr>
            <w:tcW w:w="1276"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6、提前下达2026年中央财政医疗服务与保障能力提升补助资金石财社【2025】119号绩效目标表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13012326P00006410010T</w:t>
            </w:r>
          </w:p>
        </w:tc>
        <w:tc>
          <w:tcPr>
            <w:tcW w:w="2835" w:type="dxa"/>
            <w:vAlign w:val="center"/>
          </w:tcPr>
          <w:p>
            <w:pPr>
              <w:pStyle w:val="11"/>
            </w:pPr>
            <w:r>
              <w:t>项目名称</w:t>
            </w:r>
          </w:p>
        </w:tc>
        <w:tc>
          <w:tcPr>
            <w:tcW w:w="6095" w:type="dxa"/>
            <w:gridSpan w:val="3"/>
            <w:vAlign w:val="center"/>
          </w:tcPr>
          <w:p>
            <w:pPr>
              <w:pStyle w:val="13"/>
            </w:pPr>
            <w:r>
              <w:t>提前下达2026年中央财政医疗服务与保障能力提升补助资金石财社【2025】119号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用于保障国家统一医保信息平台正常运行，定点医药机构监督检查覆盖，推行DRG/DIP医保支付方式改革。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1.国家统一医保信息平台正常运行，定点医药机构监督检查覆盖，推行DRG/DIP医保支付方式改革。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召开医保工作会议或培训</w:t>
            </w:r>
          </w:p>
        </w:tc>
        <w:tc>
          <w:tcPr>
            <w:tcW w:w="5386" w:type="dxa"/>
            <w:vAlign w:val="center"/>
          </w:tcPr>
          <w:p>
            <w:pPr>
              <w:pStyle w:val="13"/>
            </w:pPr>
            <w:r>
              <w:t>召开医保工作会议或培训</w:t>
            </w:r>
          </w:p>
        </w:tc>
        <w:tc>
          <w:tcPr>
            <w:tcW w:w="2268" w:type="dxa"/>
            <w:vAlign w:val="center"/>
          </w:tcPr>
          <w:p>
            <w:pPr>
              <w:pStyle w:val="13"/>
            </w:pPr>
            <w:r>
              <w:t>≥2次</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定点医药机构监督检查覆盖率、医保系统正常运行率、门慢特病跨省直接结算覆盖率</w:t>
            </w:r>
          </w:p>
        </w:tc>
        <w:tc>
          <w:tcPr>
            <w:tcW w:w="5386" w:type="dxa"/>
            <w:vAlign w:val="center"/>
          </w:tcPr>
          <w:p>
            <w:pPr>
              <w:pStyle w:val="13"/>
            </w:pPr>
            <w:r>
              <w:t>定点医药机构监督检查覆盖率、医保系统正常运行率、门慢特病跨省直接结算覆盖率</w:t>
            </w:r>
          </w:p>
        </w:tc>
        <w:tc>
          <w:tcPr>
            <w:tcW w:w="2268" w:type="dxa"/>
            <w:vAlign w:val="center"/>
          </w:tcPr>
          <w:p>
            <w:pPr>
              <w:pStyle w:val="13"/>
            </w:pPr>
            <w:r>
              <w:t>≥90%</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启动DRG/DIP实际付费工作</w:t>
            </w:r>
          </w:p>
        </w:tc>
        <w:tc>
          <w:tcPr>
            <w:tcW w:w="5386" w:type="dxa"/>
            <w:vAlign w:val="center"/>
          </w:tcPr>
          <w:p>
            <w:pPr>
              <w:pStyle w:val="13"/>
            </w:pPr>
            <w:r>
              <w:t>启动DRG/DIP实际付费工作</w:t>
            </w:r>
          </w:p>
        </w:tc>
        <w:tc>
          <w:tcPr>
            <w:tcW w:w="2268" w:type="dxa"/>
            <w:vAlign w:val="center"/>
          </w:tcPr>
          <w:p>
            <w:pPr>
              <w:pStyle w:val="13"/>
            </w:pPr>
            <w:r>
              <w:t>不晚于12月</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财政拨付经费及时性</w:t>
            </w:r>
          </w:p>
        </w:tc>
        <w:tc>
          <w:tcPr>
            <w:tcW w:w="5386" w:type="dxa"/>
            <w:vAlign w:val="center"/>
          </w:tcPr>
          <w:p>
            <w:pPr>
              <w:pStyle w:val="13"/>
            </w:pPr>
            <w:r>
              <w:t>财政拨付经费及时性</w:t>
            </w:r>
          </w:p>
        </w:tc>
        <w:tc>
          <w:tcPr>
            <w:tcW w:w="2268" w:type="dxa"/>
            <w:vAlign w:val="center"/>
          </w:tcPr>
          <w:p>
            <w:pPr>
              <w:pStyle w:val="13"/>
            </w:pPr>
            <w:r>
              <w:t>及时</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参保群众政策知晓率</w:t>
            </w:r>
          </w:p>
        </w:tc>
        <w:tc>
          <w:tcPr>
            <w:tcW w:w="5386" w:type="dxa"/>
            <w:vAlign w:val="center"/>
          </w:tcPr>
          <w:p>
            <w:pPr>
              <w:pStyle w:val="13"/>
            </w:pPr>
            <w:r>
              <w:t>参保群众政策知晓率</w:t>
            </w:r>
          </w:p>
        </w:tc>
        <w:tc>
          <w:tcPr>
            <w:tcW w:w="2268" w:type="dxa"/>
            <w:vAlign w:val="center"/>
          </w:tcPr>
          <w:p>
            <w:pPr>
              <w:pStyle w:val="13"/>
            </w:pPr>
            <w:r>
              <w:t>≥90%</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推进医疗保障体系改善</w:t>
            </w:r>
          </w:p>
        </w:tc>
        <w:tc>
          <w:tcPr>
            <w:tcW w:w="5386" w:type="dxa"/>
            <w:vAlign w:val="center"/>
          </w:tcPr>
          <w:p>
            <w:pPr>
              <w:pStyle w:val="13"/>
            </w:pPr>
            <w:r>
              <w:t>保障群众基本医疗需求</w:t>
            </w:r>
          </w:p>
        </w:tc>
        <w:tc>
          <w:tcPr>
            <w:tcW w:w="2268" w:type="dxa"/>
            <w:vAlign w:val="center"/>
          </w:tcPr>
          <w:p>
            <w:pPr>
              <w:pStyle w:val="13"/>
            </w:pPr>
            <w:r>
              <w:t>保障群众基本医疗需求</w:t>
            </w:r>
          </w:p>
        </w:tc>
        <w:tc>
          <w:tcPr>
            <w:tcW w:w="1276"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参保人员对医保服务的满意度</w:t>
            </w:r>
          </w:p>
        </w:tc>
        <w:tc>
          <w:tcPr>
            <w:tcW w:w="5386" w:type="dxa"/>
            <w:vAlign w:val="center"/>
          </w:tcPr>
          <w:p>
            <w:pPr>
              <w:pStyle w:val="13"/>
            </w:pPr>
            <w:r>
              <w:t>参保人员对医保服务的满意度</w:t>
            </w:r>
          </w:p>
        </w:tc>
        <w:tc>
          <w:tcPr>
            <w:tcW w:w="2268" w:type="dxa"/>
            <w:vAlign w:val="center"/>
          </w:tcPr>
          <w:p>
            <w:pPr>
              <w:pStyle w:val="13"/>
            </w:pPr>
            <w:r>
              <w:t>≥85%</w:t>
            </w:r>
          </w:p>
        </w:tc>
        <w:tc>
          <w:tcPr>
            <w:tcW w:w="1276" w:type="dxa"/>
            <w:vAlign w:val="center"/>
          </w:tcPr>
          <w:p>
            <w:pPr>
              <w:pStyle w:val="13"/>
            </w:pPr>
            <w:r>
              <w:t>上级文件石财社【2025】119号、历年经验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7、2026年度城乡居民医疗保险财政补助县级资金绩效目标表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13012326P000047100040</w:t>
            </w:r>
          </w:p>
        </w:tc>
        <w:tc>
          <w:tcPr>
            <w:tcW w:w="2835" w:type="dxa"/>
            <w:vAlign w:val="center"/>
          </w:tcPr>
          <w:p>
            <w:pPr>
              <w:pStyle w:val="11"/>
            </w:pPr>
            <w:r>
              <w:t>项目名称</w:t>
            </w:r>
          </w:p>
        </w:tc>
        <w:tc>
          <w:tcPr>
            <w:tcW w:w="6095" w:type="dxa"/>
            <w:gridSpan w:val="3"/>
            <w:vAlign w:val="center"/>
          </w:tcPr>
          <w:p>
            <w:pPr>
              <w:pStyle w:val="13"/>
            </w:pPr>
            <w:r>
              <w:t>2026年度城乡居民医疗保险财政补助县级资金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5256.00</w:t>
            </w:r>
          </w:p>
        </w:tc>
        <w:tc>
          <w:tcPr>
            <w:tcW w:w="2835" w:type="dxa"/>
            <w:vAlign w:val="center"/>
          </w:tcPr>
          <w:p>
            <w:pPr>
              <w:pStyle w:val="11"/>
            </w:pPr>
            <w:r>
              <w:t>其中：财政    资金</w:t>
            </w:r>
          </w:p>
        </w:tc>
        <w:tc>
          <w:tcPr>
            <w:tcW w:w="2551" w:type="dxa"/>
            <w:vAlign w:val="center"/>
          </w:tcPr>
          <w:p>
            <w:pPr>
              <w:pStyle w:val="13"/>
            </w:pPr>
            <w:r>
              <w:t>5256.00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用于按时完成参保任务，实现全民参保，参保配套资金足额保障，并按时上解。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1.按时完成参保任务，实现全民参保，参保配套资金足额保障，并按时上解。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城乡居民基本医疗保险参保率</w:t>
            </w:r>
          </w:p>
        </w:tc>
        <w:tc>
          <w:tcPr>
            <w:tcW w:w="5386" w:type="dxa"/>
            <w:vAlign w:val="center"/>
          </w:tcPr>
          <w:p>
            <w:pPr>
              <w:pStyle w:val="13"/>
            </w:pPr>
            <w:r>
              <w:t>城乡居民基本医疗保险参保率</w:t>
            </w:r>
          </w:p>
        </w:tc>
        <w:tc>
          <w:tcPr>
            <w:tcW w:w="2268" w:type="dxa"/>
            <w:vAlign w:val="center"/>
          </w:tcPr>
          <w:p>
            <w:pPr>
              <w:pStyle w:val="13"/>
            </w:pPr>
            <w:r>
              <w:t>≥90%</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全民参保目标基本实现</w:t>
            </w:r>
          </w:p>
        </w:tc>
        <w:tc>
          <w:tcPr>
            <w:tcW w:w="5386" w:type="dxa"/>
            <w:vAlign w:val="center"/>
          </w:tcPr>
          <w:p>
            <w:pPr>
              <w:pStyle w:val="13"/>
            </w:pPr>
            <w:r>
              <w:t>全民参保目标基本实现</w:t>
            </w:r>
          </w:p>
        </w:tc>
        <w:tc>
          <w:tcPr>
            <w:tcW w:w="2268" w:type="dxa"/>
            <w:vAlign w:val="center"/>
          </w:tcPr>
          <w:p>
            <w:pPr>
              <w:pStyle w:val="13"/>
            </w:pPr>
            <w:r>
              <w:t>基本实现</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按时限要求完成参保任务</w:t>
            </w:r>
          </w:p>
        </w:tc>
        <w:tc>
          <w:tcPr>
            <w:tcW w:w="5386" w:type="dxa"/>
            <w:vAlign w:val="center"/>
          </w:tcPr>
          <w:p>
            <w:pPr>
              <w:pStyle w:val="13"/>
            </w:pPr>
            <w:r>
              <w:t>按时限要求完成参保任务</w:t>
            </w:r>
          </w:p>
        </w:tc>
        <w:tc>
          <w:tcPr>
            <w:tcW w:w="2268" w:type="dxa"/>
            <w:vAlign w:val="center"/>
          </w:tcPr>
          <w:p>
            <w:pPr>
              <w:pStyle w:val="13"/>
            </w:pPr>
            <w:r>
              <w:t>按时完成</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县级补助资金足额保障</w:t>
            </w:r>
          </w:p>
        </w:tc>
        <w:tc>
          <w:tcPr>
            <w:tcW w:w="5386" w:type="dxa"/>
            <w:vAlign w:val="center"/>
          </w:tcPr>
          <w:p>
            <w:pPr>
              <w:pStyle w:val="13"/>
            </w:pPr>
            <w:r>
              <w:t>县级补助资金足额保障</w:t>
            </w:r>
          </w:p>
        </w:tc>
        <w:tc>
          <w:tcPr>
            <w:tcW w:w="2268" w:type="dxa"/>
            <w:vAlign w:val="center"/>
          </w:tcPr>
          <w:p>
            <w:pPr>
              <w:pStyle w:val="13"/>
            </w:pPr>
            <w:r>
              <w:t>足额保障</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享受财政补助覆盖范围</w:t>
            </w:r>
          </w:p>
        </w:tc>
        <w:tc>
          <w:tcPr>
            <w:tcW w:w="5386" w:type="dxa"/>
            <w:vAlign w:val="center"/>
          </w:tcPr>
          <w:p>
            <w:pPr>
              <w:pStyle w:val="13"/>
            </w:pPr>
            <w:r>
              <w:t>享受财政补助覆盖范围</w:t>
            </w:r>
          </w:p>
        </w:tc>
        <w:tc>
          <w:tcPr>
            <w:tcW w:w="2268" w:type="dxa"/>
            <w:vAlign w:val="center"/>
          </w:tcPr>
          <w:p>
            <w:pPr>
              <w:pStyle w:val="13"/>
            </w:pPr>
            <w:r>
              <w:t>≥90%</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减轻家庭经济负担</w:t>
            </w:r>
          </w:p>
        </w:tc>
        <w:tc>
          <w:tcPr>
            <w:tcW w:w="5386" w:type="dxa"/>
            <w:vAlign w:val="center"/>
          </w:tcPr>
          <w:p>
            <w:pPr>
              <w:pStyle w:val="13"/>
            </w:pPr>
            <w:r>
              <w:t>减轻家庭经济负担</w:t>
            </w:r>
          </w:p>
        </w:tc>
        <w:tc>
          <w:tcPr>
            <w:tcW w:w="2268" w:type="dxa"/>
            <w:vAlign w:val="center"/>
          </w:tcPr>
          <w:p>
            <w:pPr>
              <w:pStyle w:val="13"/>
            </w:pPr>
            <w:r>
              <w:t>减轻家庭经济负担</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保障城乡居民医疗待遇</w:t>
            </w:r>
          </w:p>
        </w:tc>
        <w:tc>
          <w:tcPr>
            <w:tcW w:w="5386" w:type="dxa"/>
            <w:vAlign w:val="center"/>
          </w:tcPr>
          <w:p>
            <w:pPr>
              <w:pStyle w:val="13"/>
            </w:pPr>
            <w:r>
              <w:t>保障城乡居民医疗待遇</w:t>
            </w:r>
          </w:p>
        </w:tc>
        <w:tc>
          <w:tcPr>
            <w:tcW w:w="2268" w:type="dxa"/>
            <w:vAlign w:val="center"/>
          </w:tcPr>
          <w:p>
            <w:pPr>
              <w:pStyle w:val="13"/>
            </w:pPr>
            <w:r>
              <w:t>保障城乡居民医疗待遇</w:t>
            </w:r>
          </w:p>
        </w:tc>
        <w:tc>
          <w:tcPr>
            <w:tcW w:w="1276"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参保人员满意程度</w:t>
            </w:r>
          </w:p>
        </w:tc>
        <w:tc>
          <w:tcPr>
            <w:tcW w:w="5386" w:type="dxa"/>
            <w:vAlign w:val="center"/>
          </w:tcPr>
          <w:p>
            <w:pPr>
              <w:pStyle w:val="13"/>
            </w:pPr>
            <w:r>
              <w:t>参保人员满意程度</w:t>
            </w:r>
          </w:p>
        </w:tc>
        <w:tc>
          <w:tcPr>
            <w:tcW w:w="2268" w:type="dxa"/>
            <w:vAlign w:val="center"/>
          </w:tcPr>
          <w:p>
            <w:pPr>
              <w:pStyle w:val="13"/>
            </w:pPr>
            <w:r>
              <w:t>≥90%</w:t>
            </w:r>
          </w:p>
        </w:tc>
        <w:tc>
          <w:tcPr>
            <w:tcW w:w="1276" w:type="dxa"/>
            <w:vAlign w:val="center"/>
          </w:tcPr>
          <w:p>
            <w:pPr>
              <w:pStyle w:val="13"/>
            </w:pPr>
            <w:r>
              <w:t>历年经验及文件要求（石财社【2025】48号）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8、2026年度居民医保基金负担新冠病毒疫苗及接种费用的补助绩效目标表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13012326P00005610013R</w:t>
            </w:r>
          </w:p>
        </w:tc>
        <w:tc>
          <w:tcPr>
            <w:tcW w:w="2835" w:type="dxa"/>
            <w:vAlign w:val="center"/>
          </w:tcPr>
          <w:p>
            <w:pPr>
              <w:pStyle w:val="11"/>
            </w:pPr>
            <w:r>
              <w:t>项目名称</w:t>
            </w:r>
          </w:p>
        </w:tc>
        <w:tc>
          <w:tcPr>
            <w:tcW w:w="6095" w:type="dxa"/>
            <w:gridSpan w:val="3"/>
            <w:vAlign w:val="center"/>
          </w:tcPr>
          <w:p>
            <w:pPr>
              <w:pStyle w:val="13"/>
            </w:pPr>
            <w:r>
              <w:t>2026年度居民医保基金负担新冠病毒疫苗及接种费用的补助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接种的新冠病毒疫苗及接种费用</w:t>
            </w:r>
          </w:p>
        </w:tc>
        <w:tc>
          <w:tcPr>
            <w:tcW w:w="5386" w:type="dxa"/>
            <w:vAlign w:val="center"/>
          </w:tcPr>
          <w:p>
            <w:pPr>
              <w:pStyle w:val="13"/>
            </w:pPr>
            <w:r>
              <w:t>接种的新冠病毒疫苗及接种费用</w:t>
            </w:r>
          </w:p>
        </w:tc>
        <w:tc>
          <w:tcPr>
            <w:tcW w:w="2268" w:type="dxa"/>
            <w:vAlign w:val="center"/>
          </w:tcPr>
          <w:p>
            <w:pPr>
              <w:pStyle w:val="13"/>
            </w:pPr>
            <w:r>
              <w:t>接种的新冠病毒疫苗及接种费用</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切实做好医保基金负担新冠病毒疫苗及接种费用财政补助工作</w:t>
            </w:r>
          </w:p>
        </w:tc>
        <w:tc>
          <w:tcPr>
            <w:tcW w:w="5386" w:type="dxa"/>
            <w:vAlign w:val="center"/>
          </w:tcPr>
          <w:p>
            <w:pPr>
              <w:pStyle w:val="13"/>
            </w:pPr>
            <w:r>
              <w:t>切实做好医保基金负担新冠病毒疫苗及接种费用财政补助工作</w:t>
            </w:r>
          </w:p>
        </w:tc>
        <w:tc>
          <w:tcPr>
            <w:tcW w:w="2268" w:type="dxa"/>
            <w:vAlign w:val="center"/>
          </w:tcPr>
          <w:p>
            <w:pPr>
              <w:pStyle w:val="13"/>
            </w:pPr>
            <w:r>
              <w:t>切实做好医保基金负担新冠病毒疫苗及接种费用财政补助工作</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及时拨付接种费用</w:t>
            </w:r>
          </w:p>
        </w:tc>
        <w:tc>
          <w:tcPr>
            <w:tcW w:w="5386" w:type="dxa"/>
            <w:vAlign w:val="center"/>
          </w:tcPr>
          <w:p>
            <w:pPr>
              <w:pStyle w:val="13"/>
            </w:pPr>
            <w:r>
              <w:t>及时拨付接种费用</w:t>
            </w:r>
          </w:p>
        </w:tc>
        <w:tc>
          <w:tcPr>
            <w:tcW w:w="2268" w:type="dxa"/>
            <w:vAlign w:val="center"/>
          </w:tcPr>
          <w:p>
            <w:pPr>
              <w:pStyle w:val="13"/>
            </w:pPr>
            <w:r>
              <w:t>及时拨付接种费用</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足额安排本级财政补助资金</w:t>
            </w:r>
          </w:p>
        </w:tc>
        <w:tc>
          <w:tcPr>
            <w:tcW w:w="5386" w:type="dxa"/>
            <w:vAlign w:val="center"/>
          </w:tcPr>
          <w:p>
            <w:pPr>
              <w:pStyle w:val="13"/>
            </w:pPr>
            <w:r>
              <w:t>足额安排本级财政补助资金</w:t>
            </w:r>
          </w:p>
        </w:tc>
        <w:tc>
          <w:tcPr>
            <w:tcW w:w="2268" w:type="dxa"/>
            <w:vAlign w:val="center"/>
          </w:tcPr>
          <w:p>
            <w:pPr>
              <w:pStyle w:val="13"/>
            </w:pPr>
            <w:r>
              <w:t>足额安排本级财政补助资金</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减轻群众经济负担</w:t>
            </w:r>
          </w:p>
        </w:tc>
        <w:tc>
          <w:tcPr>
            <w:tcW w:w="5386" w:type="dxa"/>
            <w:vAlign w:val="center"/>
          </w:tcPr>
          <w:p>
            <w:pPr>
              <w:pStyle w:val="13"/>
            </w:pPr>
            <w:r>
              <w:t>减轻群众经济负担</w:t>
            </w:r>
          </w:p>
        </w:tc>
        <w:tc>
          <w:tcPr>
            <w:tcW w:w="2268" w:type="dxa"/>
            <w:vAlign w:val="center"/>
          </w:tcPr>
          <w:p>
            <w:pPr>
              <w:pStyle w:val="13"/>
            </w:pPr>
            <w:r>
              <w:t>减轻群众经济负担</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有力阻断病毒传播，巩固疫情防控成果</w:t>
            </w:r>
          </w:p>
        </w:tc>
        <w:tc>
          <w:tcPr>
            <w:tcW w:w="5386" w:type="dxa"/>
            <w:vAlign w:val="center"/>
          </w:tcPr>
          <w:p>
            <w:pPr>
              <w:pStyle w:val="13"/>
            </w:pPr>
            <w:r>
              <w:t>有力阻断病毒传播，巩固疫情防控成果</w:t>
            </w:r>
          </w:p>
        </w:tc>
        <w:tc>
          <w:tcPr>
            <w:tcW w:w="2268" w:type="dxa"/>
            <w:vAlign w:val="center"/>
          </w:tcPr>
          <w:p>
            <w:pPr>
              <w:pStyle w:val="13"/>
            </w:pPr>
            <w:r>
              <w:t>有力阻断病毒传播，巩固疫情防控成果</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9、2026年度离休干部医药费县级资金绩效目标表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13012326P000020100036</w:t>
            </w:r>
          </w:p>
        </w:tc>
        <w:tc>
          <w:tcPr>
            <w:tcW w:w="2835" w:type="dxa"/>
            <w:vAlign w:val="center"/>
          </w:tcPr>
          <w:p>
            <w:pPr>
              <w:pStyle w:val="11"/>
            </w:pPr>
            <w:r>
              <w:t>项目名称</w:t>
            </w:r>
          </w:p>
        </w:tc>
        <w:tc>
          <w:tcPr>
            <w:tcW w:w="6095" w:type="dxa"/>
            <w:gridSpan w:val="3"/>
            <w:vAlign w:val="center"/>
          </w:tcPr>
          <w:p>
            <w:pPr>
              <w:pStyle w:val="13"/>
            </w:pPr>
            <w:r>
              <w:t>2026年度离休干部医药费县级资金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保障离休干部药费及时报销。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1.保障离休干部药费及时报销。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享受报销人员数量</w:t>
            </w:r>
          </w:p>
        </w:tc>
        <w:tc>
          <w:tcPr>
            <w:tcW w:w="5386" w:type="dxa"/>
            <w:vAlign w:val="center"/>
          </w:tcPr>
          <w:p>
            <w:pPr>
              <w:pStyle w:val="13"/>
            </w:pPr>
            <w:r>
              <w:t>享受报销人员数量</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正常使用率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报销完成率</w:t>
            </w:r>
          </w:p>
        </w:tc>
        <w:tc>
          <w:tcPr>
            <w:tcW w:w="5386" w:type="dxa"/>
            <w:vAlign w:val="center"/>
          </w:tcPr>
          <w:p>
            <w:pPr>
              <w:pStyle w:val="13"/>
            </w:pPr>
            <w:r>
              <w:t>报销完成率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财政资金保障</w:t>
            </w:r>
          </w:p>
        </w:tc>
        <w:tc>
          <w:tcPr>
            <w:tcW w:w="5386" w:type="dxa"/>
            <w:vAlign w:val="center"/>
          </w:tcPr>
          <w:p>
            <w:pPr>
              <w:pStyle w:val="13"/>
            </w:pPr>
            <w:r>
              <w:t>财政资金保障</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减轻离休干部医疗压力</w:t>
            </w:r>
          </w:p>
        </w:tc>
        <w:tc>
          <w:tcPr>
            <w:tcW w:w="5386" w:type="dxa"/>
            <w:vAlign w:val="center"/>
          </w:tcPr>
          <w:p>
            <w:pPr>
              <w:pStyle w:val="13"/>
            </w:pPr>
            <w:r>
              <w:t>减轻离休干部医疗压力</w:t>
            </w:r>
          </w:p>
        </w:tc>
        <w:tc>
          <w:tcPr>
            <w:tcW w:w="2268" w:type="dxa"/>
            <w:vAlign w:val="center"/>
          </w:tcPr>
          <w:p>
            <w:pPr>
              <w:pStyle w:val="13"/>
            </w:pPr>
            <w:r>
              <w:t>减轻离休干部医疗压力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离休及伤残军人药费完成情况</w:t>
            </w:r>
          </w:p>
        </w:tc>
        <w:tc>
          <w:tcPr>
            <w:tcW w:w="5386" w:type="dxa"/>
            <w:vAlign w:val="center"/>
          </w:tcPr>
          <w:p>
            <w:pPr>
              <w:pStyle w:val="13"/>
            </w:pPr>
            <w:r>
              <w:t>离休及伤残军人药费完成情况</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持续保障离休干部医疗报销</w:t>
            </w:r>
          </w:p>
        </w:tc>
        <w:tc>
          <w:tcPr>
            <w:tcW w:w="5386" w:type="dxa"/>
            <w:vAlign w:val="center"/>
          </w:tcPr>
          <w:p>
            <w:pPr>
              <w:pStyle w:val="13"/>
            </w:pPr>
            <w:r>
              <w:t>持续保障离休干部医疗报销</w:t>
            </w:r>
          </w:p>
        </w:tc>
        <w:tc>
          <w:tcPr>
            <w:tcW w:w="2268" w:type="dxa"/>
            <w:vAlign w:val="center"/>
          </w:tcPr>
          <w:p>
            <w:pPr>
              <w:pStyle w:val="13"/>
            </w:pPr>
            <w:r>
              <w:t>持续保障离休干部医疗报销</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10、2026年度医保系统硬软件维护县级资金绩效目标表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13012326P00001610046B</w:t>
            </w:r>
          </w:p>
        </w:tc>
        <w:tc>
          <w:tcPr>
            <w:tcW w:w="2835" w:type="dxa"/>
            <w:vAlign w:val="center"/>
          </w:tcPr>
          <w:p>
            <w:pPr>
              <w:pStyle w:val="11"/>
            </w:pPr>
            <w:r>
              <w:t>项目名称</w:t>
            </w:r>
          </w:p>
        </w:tc>
        <w:tc>
          <w:tcPr>
            <w:tcW w:w="6095" w:type="dxa"/>
            <w:gridSpan w:val="3"/>
            <w:vAlign w:val="center"/>
          </w:tcPr>
          <w:p>
            <w:pPr>
              <w:pStyle w:val="13"/>
            </w:pPr>
            <w:r>
              <w:t>2026年度医保系统硬软件维护县级资金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保障医保医保硬软件正常运转，提高医保服务能力。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1.保障医保医保硬软件正常运转，提高医保服务能力。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≥2次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提高服务水平</w:t>
            </w:r>
          </w:p>
        </w:tc>
        <w:tc>
          <w:tcPr>
            <w:tcW w:w="5386" w:type="dxa"/>
            <w:vAlign w:val="center"/>
          </w:tcPr>
          <w:p>
            <w:pPr>
              <w:pStyle w:val="13"/>
            </w:pPr>
            <w:r>
              <w:t>提高服务水平</w:t>
            </w:r>
          </w:p>
        </w:tc>
        <w:tc>
          <w:tcPr>
            <w:tcW w:w="2268" w:type="dxa"/>
            <w:vAlign w:val="center"/>
          </w:tcPr>
          <w:p>
            <w:pPr>
              <w:pStyle w:val="13"/>
            </w:pPr>
            <w:r>
              <w:t>水平显著提高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医保系统软件正常运转</w:t>
            </w:r>
          </w:p>
        </w:tc>
        <w:tc>
          <w:tcPr>
            <w:tcW w:w="5386" w:type="dxa"/>
            <w:vAlign w:val="center"/>
          </w:tcPr>
          <w:p>
            <w:pPr>
              <w:pStyle w:val="13"/>
            </w:pPr>
            <w:r>
              <w:t>医保系统软件正常运转</w:t>
            </w:r>
          </w:p>
        </w:tc>
        <w:tc>
          <w:tcPr>
            <w:tcW w:w="2268" w:type="dxa"/>
            <w:vAlign w:val="center"/>
          </w:tcPr>
          <w:p>
            <w:pPr>
              <w:pStyle w:val="13"/>
            </w:pPr>
            <w:r>
              <w:t>医保系统软件正常运转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资金成本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节约运维成本</w:t>
            </w:r>
          </w:p>
        </w:tc>
        <w:tc>
          <w:tcPr>
            <w:tcW w:w="5386" w:type="dxa"/>
            <w:vAlign w:val="center"/>
          </w:tcPr>
          <w:p>
            <w:pPr>
              <w:pStyle w:val="13"/>
            </w:pPr>
            <w:r>
              <w:t>节约运维成本</w:t>
            </w:r>
          </w:p>
        </w:tc>
        <w:tc>
          <w:tcPr>
            <w:tcW w:w="2268" w:type="dxa"/>
            <w:vAlign w:val="center"/>
          </w:tcPr>
          <w:p>
            <w:pPr>
              <w:pStyle w:val="13"/>
            </w:pPr>
            <w:r>
              <w:t>节约运维成本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提高服务效率</w:t>
            </w:r>
          </w:p>
        </w:tc>
        <w:tc>
          <w:tcPr>
            <w:tcW w:w="5386" w:type="dxa"/>
            <w:vAlign w:val="center"/>
          </w:tcPr>
          <w:p>
            <w:pPr>
              <w:pStyle w:val="13"/>
            </w:pPr>
            <w:r>
              <w:t>提高服务效率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延长设备使用周期</w:t>
            </w:r>
          </w:p>
        </w:tc>
        <w:tc>
          <w:tcPr>
            <w:tcW w:w="5386" w:type="dxa"/>
            <w:vAlign w:val="center"/>
          </w:tcPr>
          <w:p>
            <w:pPr>
              <w:pStyle w:val="13"/>
            </w:pPr>
            <w:r>
              <w:t>延长设备使用周期</w:t>
            </w:r>
          </w:p>
        </w:tc>
        <w:tc>
          <w:tcPr>
            <w:tcW w:w="2268" w:type="dxa"/>
            <w:vAlign w:val="center"/>
          </w:tcPr>
          <w:p>
            <w:pPr>
              <w:pStyle w:val="13"/>
            </w:pPr>
            <w:r>
              <w:t>持续良好运转提供医保服务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11、2026年度职工医保基金负担新冠病毒疫苗及接种费用的补助绩效目标表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13012326P000056100126</w:t>
            </w:r>
          </w:p>
        </w:tc>
        <w:tc>
          <w:tcPr>
            <w:tcW w:w="2835" w:type="dxa"/>
            <w:vAlign w:val="center"/>
          </w:tcPr>
          <w:p>
            <w:pPr>
              <w:pStyle w:val="11"/>
            </w:pPr>
            <w:r>
              <w:t>项目名称</w:t>
            </w:r>
          </w:p>
        </w:tc>
        <w:tc>
          <w:tcPr>
            <w:tcW w:w="6095" w:type="dxa"/>
            <w:gridSpan w:val="3"/>
            <w:vAlign w:val="center"/>
          </w:tcPr>
          <w:p>
            <w:pPr>
              <w:pStyle w:val="13"/>
            </w:pPr>
            <w:r>
              <w:t>2026年度职工医保基金负担新冠病毒疫苗及接种费用的补助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14.08</w:t>
            </w:r>
          </w:p>
        </w:tc>
        <w:tc>
          <w:tcPr>
            <w:tcW w:w="2835" w:type="dxa"/>
            <w:vAlign w:val="center"/>
          </w:tcPr>
          <w:p>
            <w:pPr>
              <w:pStyle w:val="11"/>
            </w:pPr>
            <w:r>
              <w:t>其中：财政    资金</w:t>
            </w:r>
          </w:p>
        </w:tc>
        <w:tc>
          <w:tcPr>
            <w:tcW w:w="2551" w:type="dxa"/>
            <w:vAlign w:val="center"/>
          </w:tcPr>
          <w:p>
            <w:pPr>
              <w:pStyle w:val="13"/>
            </w:pPr>
            <w:r>
              <w:t>14.08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接种的新冠病毒疫苗及接种费用</w:t>
            </w:r>
          </w:p>
        </w:tc>
        <w:tc>
          <w:tcPr>
            <w:tcW w:w="5386" w:type="dxa"/>
            <w:vAlign w:val="center"/>
          </w:tcPr>
          <w:p>
            <w:pPr>
              <w:pStyle w:val="13"/>
            </w:pPr>
            <w:r>
              <w:t>接种的新冠病毒疫苗及接种费用</w:t>
            </w:r>
          </w:p>
        </w:tc>
        <w:tc>
          <w:tcPr>
            <w:tcW w:w="2268" w:type="dxa"/>
            <w:vAlign w:val="center"/>
          </w:tcPr>
          <w:p>
            <w:pPr>
              <w:pStyle w:val="13"/>
            </w:pPr>
            <w:r>
              <w:t>接种的新冠病毒疫苗及接种费用</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切实做好医保基金负担新冠病毒疫苗及接种费用财政补助工作</w:t>
            </w:r>
          </w:p>
        </w:tc>
        <w:tc>
          <w:tcPr>
            <w:tcW w:w="5386" w:type="dxa"/>
            <w:vAlign w:val="center"/>
          </w:tcPr>
          <w:p>
            <w:pPr>
              <w:pStyle w:val="13"/>
            </w:pPr>
            <w:r>
              <w:t>切实做好医保基金负担新冠病毒疫苗及接种费用财政补助工作</w:t>
            </w:r>
          </w:p>
        </w:tc>
        <w:tc>
          <w:tcPr>
            <w:tcW w:w="2268" w:type="dxa"/>
            <w:vAlign w:val="center"/>
          </w:tcPr>
          <w:p>
            <w:pPr>
              <w:pStyle w:val="13"/>
            </w:pPr>
            <w:r>
              <w:t>切实做好医保基金负担新冠病毒疫苗及接种费用财政补助工作</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及时拨付接种费用</w:t>
            </w:r>
          </w:p>
        </w:tc>
        <w:tc>
          <w:tcPr>
            <w:tcW w:w="5386" w:type="dxa"/>
            <w:vAlign w:val="center"/>
          </w:tcPr>
          <w:p>
            <w:pPr>
              <w:pStyle w:val="13"/>
            </w:pPr>
            <w:r>
              <w:t>及时拨付接种费用</w:t>
            </w:r>
          </w:p>
        </w:tc>
        <w:tc>
          <w:tcPr>
            <w:tcW w:w="2268" w:type="dxa"/>
            <w:vAlign w:val="center"/>
          </w:tcPr>
          <w:p>
            <w:pPr>
              <w:pStyle w:val="13"/>
            </w:pPr>
            <w:r>
              <w:t>及时拨付接种费用</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足额安排本级财政补助资金</w:t>
            </w:r>
          </w:p>
        </w:tc>
        <w:tc>
          <w:tcPr>
            <w:tcW w:w="5386" w:type="dxa"/>
            <w:vAlign w:val="center"/>
          </w:tcPr>
          <w:p>
            <w:pPr>
              <w:pStyle w:val="13"/>
            </w:pPr>
            <w:r>
              <w:t>足额安排本级财政补助资金</w:t>
            </w:r>
          </w:p>
        </w:tc>
        <w:tc>
          <w:tcPr>
            <w:tcW w:w="2268" w:type="dxa"/>
            <w:vAlign w:val="center"/>
          </w:tcPr>
          <w:p>
            <w:pPr>
              <w:pStyle w:val="13"/>
            </w:pPr>
            <w:r>
              <w:t>足额安排本级财政补助资金</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减轻群众经济负担</w:t>
            </w:r>
          </w:p>
        </w:tc>
        <w:tc>
          <w:tcPr>
            <w:tcW w:w="5386" w:type="dxa"/>
            <w:vAlign w:val="center"/>
          </w:tcPr>
          <w:p>
            <w:pPr>
              <w:pStyle w:val="13"/>
            </w:pPr>
            <w:r>
              <w:t>减轻群众经济负担</w:t>
            </w:r>
          </w:p>
        </w:tc>
        <w:tc>
          <w:tcPr>
            <w:tcW w:w="2268" w:type="dxa"/>
            <w:vAlign w:val="center"/>
          </w:tcPr>
          <w:p>
            <w:pPr>
              <w:pStyle w:val="13"/>
            </w:pPr>
            <w:r>
              <w:t>减轻群众经济负担</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有力阻断病毒传播，巩固疫情防控成果</w:t>
            </w:r>
          </w:p>
        </w:tc>
        <w:tc>
          <w:tcPr>
            <w:tcW w:w="5386" w:type="dxa"/>
            <w:vAlign w:val="center"/>
          </w:tcPr>
          <w:p>
            <w:pPr>
              <w:pStyle w:val="13"/>
            </w:pPr>
            <w:r>
              <w:t>有力阻断病毒传播，巩固疫情防控成果</w:t>
            </w:r>
          </w:p>
        </w:tc>
        <w:tc>
          <w:tcPr>
            <w:tcW w:w="2268" w:type="dxa"/>
            <w:vAlign w:val="center"/>
          </w:tcPr>
          <w:p>
            <w:pPr>
              <w:pStyle w:val="13"/>
            </w:pPr>
            <w:r>
              <w:t>有力阻断病毒传播，巩固疫情防控成果</w:t>
            </w:r>
          </w:p>
        </w:tc>
        <w:tc>
          <w:tcPr>
            <w:tcW w:w="1276"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w:t>
            </w:r>
          </w:p>
        </w:tc>
        <w:tc>
          <w:tcPr>
            <w:tcW w:w="5386" w:type="dxa"/>
            <w:vAlign w:val="center"/>
          </w:tcPr>
          <w:p>
            <w:pPr>
              <w:pStyle w:val="13"/>
            </w:pPr>
            <w:r>
              <w:t>无</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364正定县医疗保障局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正定县医疗保障局（含所属单位）上年末固定资产金额为117.44万元（详见下表）。本年度拟购置固定资产总额为0.00万元，已按要求列入政府采购预算，详见政府采购预算表。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364正定县医疗保障局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276</w:t>
            </w:r>
          </w:p>
        </w:tc>
        <w:tc>
          <w:tcPr>
            <w:tcW w:w="2835" w:type="dxa"/>
            <w:vAlign w:val="center"/>
          </w:tcPr>
          <w:p>
            <w:pPr>
              <w:pStyle w:val="12"/>
            </w:pPr>
            <w:r>
              <w:t>102.46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C34B3B"/>
    <w:rsid w:val="123D078B"/>
    <w:rsid w:val="46B11DBF"/>
    <w:rsid w:val="537A0678"/>
    <w:rsid w:val="556A4B9F"/>
    <w:rsid w:val="57BB1360"/>
    <w:rsid w:val="57CF66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Words>2586</Words>
  <Characters>3925</Characters>
  <TotalTime>4</TotalTime>
  <ScaleCrop>false</ScaleCrop>
  <LinksUpToDate>false</LinksUpToDate>
  <CharactersWithSpaces>3973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2026-02-25T15:30:00Z</dcterms:created>
  <dc:creator>HP</dc:creator>
  <cp:lastModifiedBy>hp</cp:lastModifiedBy>
  <dcterms:modified xsi:type="dcterms:W3CDTF">2026-03-04T00:47:29Z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eyJoZGlkIjoiOTZhY2I1NGVhNTJhNzk3OGJhN2E4NTYzNjE4MzI1MTkifQ==</vt:lpwstr>
  </property>
  <property fmtid="{D5CDD505-2E9C-101B-9397-08002B2CF9AE}" pid="3" name="KSOProductBuildVer">
    <vt:lpwstr>2052-11.8.2.9022</vt:lpwstr>
  </property>
  <property fmtid="{D5CDD505-2E9C-101B-9397-08002B2CF9AE}" pid="4" name="ICV">
    <vt:lpwstr>634C9A2F9B934968A8F27CA218D966F6_12</vt:lpwstr>
  </property>
</Properties>
</file>