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 xml:space="preserve">正定县新城铺镇人民政府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72"/>
        </w:rPr>
        <w:t xml:space="preserve">2026年部门预算绩效文本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（草案）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宋体" w:eastAsia="宋体" w:hAnsi="宋体" w:cs="宋体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楷体_GBK" w:eastAsia="方正楷体_GBK" w:hAnsi="方正楷体_GBK" w:cs="方正楷体_GBK"/>
          <w:b/>
          <w:color w:val="000000"/>
          <w:sz w:val="32"/>
        </w:rPr>
        <w:t xml:space="preserve">正定县新城铺镇人民政府编制</w:t>
      </w:r>
    </w:p>
    <w:p>
      <w:pPr>
        <w:spacing w:before="0" w:after="0" w:line="240" w:lineRule="auto"/>
        <w:ind w:firstLine="0"/>
        <w:jc w:val="center"/>
        <w:outlineLvl w:val="9"/>
        <w:sectPr>
          <w:type w:val="nextPage"/>
          <w:pgSz w:w="11900" w:h="16840" w:orient="portrait"/>
          <w:pgMar w:top="1984" w:right="1304" w:bottom="1134" w:left="1304" w:header="720" w:footer="720" w:gutter="0"/>
          <w:titlePg/>
        </w:sectPr>
      </w:pPr>
      <w:r>
        <w:rPr>
          <w:rFonts w:ascii="方正楷体_GBK" w:eastAsia="方正楷体_GBK" w:hAnsi="方正楷体_GBK" w:cs="方正楷体_GBK"/>
          <w:b/>
          <w:color w:val="000000"/>
          <w:sz w:val="32"/>
        </w:rPr>
        <w:t xml:space="preserve">正定县财政局审核</w:t>
      </w:r>
    </w:p>
    <w:p>
      <w:pPr>
        <w:spacing w:before="0" w:after="0" w:line="240" w:lineRule="auto"/>
        <w:ind w:firstLine="0"/>
        <w:jc w:val="center"/>
        <w:outlineLvl w:val="9"/>
        <w:sectPr>
          <w:type w:val="nextPage"/>
          <w:pgSz w:w="11900" w:h="16840" w:orient="portrait"/>
          <w:pgMar w:top="1984" w:right="1304" w:bottom="1134" w:left="1304" w:header="720" w:footer="720" w:gutter="0"/>
          <w:titlePg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36"/>
        </w:rPr>
        <w:t xml:space="preserve">目    录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第一部分 部门整体绩效目标</w:t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TOC \o "2-2" \h \z \u</w:instrText>
      </w:r>
      <w:r>
        <w:fldChar w:fldCharType="separate"/>
      </w:r>
      <w:r>
        <w:fldChar w:fldCharType="begin"/>
      </w:r>
      <w:r>
        <w:instrText xml:space="preserve">HYPERLINK \l _Toc_2_2_0000000001</w:instrText>
      </w:r>
      <w:r>
        <w:fldChar w:fldCharType="separate"/>
      </w:r>
      <w:r>
        <w:t xml:space="preserve">一、总体绩效目标</w:t>
      </w:r>
      <w:r>
        <w:tab/>
      </w:r>
      <w:r>
        <w:fldChar w:fldCharType="begin"/>
      </w:r>
      <w:r>
        <w:instrText xml:space="preserve">PAGEREF _Toc_2_2_0000000001 \h</w:instrText>
      </w:r>
      <w:r>
        <w:fldChar w:fldCharType="separate"/>
      </w:r>
      <w:r>
        <w:t xml:space="preserve">1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_Toc_2_2_0000000002</w:instrText>
      </w:r>
      <w:r>
        <w:fldChar w:fldCharType="separate"/>
      </w:r>
      <w:r>
        <w:t xml:space="preserve">二、分项绩效目标</w:t>
      </w:r>
      <w:r>
        <w:tab/>
      </w:r>
      <w:r>
        <w:fldChar w:fldCharType="begin"/>
      </w:r>
      <w:r>
        <w:instrText xml:space="preserve">PAGEREF _Toc_2_2_0000000002 \h</w:instrText>
      </w:r>
      <w:r>
        <w:fldChar w:fldCharType="separate"/>
      </w:r>
      <w:r>
        <w:t xml:space="preserve">1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_Toc_2_2_0000000003</w:instrText>
      </w:r>
      <w:r>
        <w:fldChar w:fldCharType="separate"/>
      </w:r>
      <w:r>
        <w:t xml:space="preserve">三、工作保障措施</w:t>
      </w:r>
      <w:r>
        <w:tab/>
      </w:r>
      <w:r>
        <w:fldChar w:fldCharType="begin"/>
      </w:r>
      <w:r>
        <w:instrText xml:space="preserve">PAGEREF _Toc_2_2_0000000003 \h</w:instrText>
      </w:r>
      <w:r>
        <w:fldChar w:fldCharType="separate"/>
      </w:r>
      <w:r>
        <w:t xml:space="preserve">2</w:t>
      </w:r>
      <w:r>
        <w:fldChar w:fldCharType="end"/>
      </w:r>
      <w:r>
        <w:fldChar w:fldCharType="end"/>
      </w:r>
    </w:p>
    <w:p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30"/>
        </w:rPr>
        <w:t xml:space="preserve">第二部分 预算项目绩效目标</w:t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TOC \o "4-4" \h \z \u</w:instrText>
      </w:r>
      <w:r>
        <w:fldChar w:fldCharType="separate"/>
      </w:r>
      <w:r>
        <w:fldChar w:fldCharType="begin"/>
      </w:r>
      <w:r>
        <w:instrText xml:space="preserve">HYPERLINK \l _Toc_4_4_0000000004</w:instrText>
      </w:r>
      <w:r>
        <w:fldChar w:fldCharType="separate"/>
      </w:r>
      <w:r>
        <w:t xml:space="preserve">1. 2026年市级公共文化服务体系建设专项资金 石财教[2025]10号绩效目标表</w:t>
      </w:r>
      <w:r>
        <w:tab/>
      </w:r>
      <w:r>
        <w:fldChar w:fldCharType="begin"/>
      </w:r>
      <w:r>
        <w:instrText xml:space="preserve">PAGEREF _Toc_4_4_0000000004 \h</w:instrText>
      </w:r>
      <w:r>
        <w:fldChar w:fldCharType="separate"/>
      </w:r>
      <w:r>
        <w:t xml:space="preserve">5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_Toc_4_4_0000000005</w:instrText>
      </w:r>
      <w:r>
        <w:fldChar w:fldCharType="separate"/>
      </w:r>
      <w:r>
        <w:t xml:space="preserve">2.2025年度离任村干部补贴绩效目标表</w:t>
      </w:r>
      <w:r>
        <w:tab/>
      </w:r>
      <w:r>
        <w:fldChar w:fldCharType="begin"/>
      </w:r>
      <w:r>
        <w:instrText xml:space="preserve">PAGEREF _Toc_4_4_0000000005 \h</w:instrText>
      </w:r>
      <w:r>
        <w:fldChar w:fldCharType="separate"/>
      </w:r>
      <w:r>
        <w:t xml:space="preserve">6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_Toc_4_4_0000000006</w:instrText>
      </w:r>
      <w:r>
        <w:fldChar w:fldCharType="separate"/>
      </w:r>
      <w:r>
        <w:t xml:space="preserve">3.2025年中央农村公益事业建设财政奖补项目（石财农[2024]53号）绩效目标表</w:t>
      </w:r>
      <w:r>
        <w:tab/>
      </w:r>
      <w:r>
        <w:fldChar w:fldCharType="begin"/>
      </w:r>
      <w:r>
        <w:instrText xml:space="preserve">PAGEREF _Toc_4_4_0000000006 \h</w:instrText>
      </w:r>
      <w:r>
        <w:fldChar w:fldCharType="separate"/>
      </w:r>
      <w:r>
        <w:t xml:space="preserve">7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_Toc_4_4_0000000007</w:instrText>
      </w:r>
      <w:r>
        <w:fldChar w:fldCharType="separate"/>
      </w:r>
      <w:r>
        <w:t xml:space="preserve">4.2025年中央农村公益事业建设财政奖补项目（石财农[2024]53号）绩效目标表</w:t>
      </w:r>
      <w:r>
        <w:tab/>
      </w:r>
      <w:r>
        <w:fldChar w:fldCharType="begin"/>
      </w:r>
      <w:r>
        <w:instrText xml:space="preserve">PAGEREF _Toc_4_4_0000000007 \h</w:instrText>
      </w:r>
      <w:r>
        <w:fldChar w:fldCharType="separate"/>
      </w:r>
      <w:r>
        <w:t xml:space="preserve">8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_Toc_4_4_0000000008</w:instrText>
      </w:r>
      <w:r>
        <w:fldChar w:fldCharType="separate"/>
      </w:r>
      <w:r>
        <w:t xml:space="preserve">5.2026年村党组织活动经费绩效目标表</w:t>
      </w:r>
      <w:r>
        <w:tab/>
      </w:r>
      <w:r>
        <w:fldChar w:fldCharType="begin"/>
      </w:r>
      <w:r>
        <w:instrText xml:space="preserve">PAGEREF _Toc_4_4_0000000008 \h</w:instrText>
      </w:r>
      <w:r>
        <w:fldChar w:fldCharType="separate"/>
      </w:r>
      <w:r>
        <w:t xml:space="preserve">9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_Toc_4_4_0000000009</w:instrText>
      </w:r>
      <w:r>
        <w:fldChar w:fldCharType="separate"/>
      </w:r>
      <w:r>
        <w:t xml:space="preserve">6.2026年村党组织书记、村民委员会主任基本报酬绩效目标表</w:t>
      </w:r>
      <w:r>
        <w:tab/>
      </w:r>
      <w:r>
        <w:fldChar w:fldCharType="begin"/>
      </w:r>
      <w:r>
        <w:instrText xml:space="preserve">PAGEREF _Toc_4_4_0000000009 \h</w:instrText>
      </w:r>
      <w:r>
        <w:fldChar w:fldCharType="separate"/>
      </w:r>
      <w:r>
        <w:t xml:space="preserve">10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_Toc_4_4_0000000010</w:instrText>
      </w:r>
      <w:r>
        <w:fldChar w:fldCharType="separate"/>
      </w:r>
      <w:r>
        <w:t xml:space="preserve">7.2026年村级组织办公经费绩效目标表</w:t>
      </w:r>
      <w:r>
        <w:tab/>
      </w:r>
      <w:r>
        <w:fldChar w:fldCharType="begin"/>
      </w:r>
      <w:r>
        <w:instrText xml:space="preserve">PAGEREF _Toc_4_4_0000000010 \h</w:instrText>
      </w:r>
      <w:r>
        <w:fldChar w:fldCharType="separate"/>
      </w:r>
      <w:r>
        <w:t xml:space="preserve">11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_Toc_4_4_0000000011</w:instrText>
      </w:r>
      <w:r>
        <w:fldChar w:fldCharType="separate"/>
      </w:r>
      <w:r>
        <w:t xml:space="preserve">8.2026年服务群众专项经费绩效目标表</w:t>
      </w:r>
      <w:r>
        <w:tab/>
      </w:r>
      <w:r>
        <w:fldChar w:fldCharType="begin"/>
      </w:r>
      <w:r>
        <w:instrText xml:space="preserve">PAGEREF _Toc_4_4_0000000011 \h</w:instrText>
      </w:r>
      <w:r>
        <w:fldChar w:fldCharType="separate"/>
      </w:r>
      <w:r>
        <w:t xml:space="preserve">12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_Toc_4_4_0000000012</w:instrText>
      </w:r>
      <w:r>
        <w:fldChar w:fldCharType="separate"/>
      </w:r>
      <w:r>
        <w:t xml:space="preserve">9.2026年精神障碍患者监护人以奖代补项目绩效目标表</w:t>
      </w:r>
      <w:r>
        <w:tab/>
      </w:r>
      <w:r>
        <w:fldChar w:fldCharType="begin"/>
      </w:r>
      <w:r>
        <w:instrText xml:space="preserve">PAGEREF _Toc_4_4_0000000012 \h</w:instrText>
      </w:r>
      <w:r>
        <w:fldChar w:fldCharType="separate"/>
      </w:r>
      <w:r>
        <w:t xml:space="preserve">13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_Toc_4_4_0000000013</w:instrText>
      </w:r>
      <w:r>
        <w:fldChar w:fldCharType="separate"/>
      </w:r>
      <w:r>
        <w:t xml:space="preserve">10.2026年离任村干部补贴绩效目标表</w:t>
      </w:r>
      <w:r>
        <w:tab/>
      </w:r>
      <w:r>
        <w:fldChar w:fldCharType="begin"/>
      </w:r>
      <w:r>
        <w:instrText xml:space="preserve">PAGEREF _Toc_4_4_0000000013 \h</w:instrText>
      </w:r>
      <w:r>
        <w:fldChar w:fldCharType="separate"/>
      </w:r>
      <w:r>
        <w:t xml:space="preserve">14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_Toc_4_4_0000000014</w:instrText>
      </w:r>
      <w:r>
        <w:fldChar w:fldCharType="separate"/>
      </w:r>
      <w:r>
        <w:t xml:space="preserve">11.2026年其他村两委基本报酬绩效目标表</w:t>
      </w:r>
      <w:r>
        <w:tab/>
      </w:r>
      <w:r>
        <w:fldChar w:fldCharType="begin"/>
      </w:r>
      <w:r>
        <w:instrText xml:space="preserve">PAGEREF _Toc_4_4_0000000014 \h</w:instrText>
      </w:r>
      <w:r>
        <w:fldChar w:fldCharType="separate"/>
      </w:r>
      <w:r>
        <w:t xml:space="preserve">15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_Toc_4_4_0000000015</w:instrText>
      </w:r>
      <w:r>
        <w:fldChar w:fldCharType="separate"/>
      </w:r>
      <w:r>
        <w:t xml:space="preserve">12.2026年省级基层三馆一站免费开放运行保障经费 石财教[2025]87号绩效目标表</w:t>
      </w:r>
      <w:r>
        <w:tab/>
      </w:r>
      <w:r>
        <w:fldChar w:fldCharType="begin"/>
      </w:r>
      <w:r>
        <w:instrText xml:space="preserve">PAGEREF _Toc_4_4_0000000015 \h</w:instrText>
      </w:r>
      <w:r>
        <w:fldChar w:fldCharType="separate"/>
      </w:r>
      <w:r>
        <w:t xml:space="preserve">16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_Toc_4_4_0000000016</w:instrText>
      </w:r>
      <w:r>
        <w:fldChar w:fldCharType="separate"/>
      </w:r>
      <w:r>
        <w:t xml:space="preserve">13.2026年中央支持地方公共文化服务体系建设补助资金 石财教[2025]82号绩效目标表</w:t>
      </w:r>
      <w:r>
        <w:tab/>
      </w:r>
      <w:r>
        <w:fldChar w:fldCharType="begin"/>
      </w:r>
      <w:r>
        <w:instrText xml:space="preserve">PAGEREF _Toc_4_4_0000000016 \h</w:instrText>
      </w:r>
      <w:r>
        <w:fldChar w:fldCharType="separate"/>
      </w:r>
      <w:r>
        <w:t xml:space="preserve">17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_Toc_4_4_0000000017</w:instrText>
      </w:r>
      <w:r>
        <w:fldChar w:fldCharType="separate"/>
      </w:r>
      <w:r>
        <w:t xml:space="preserve">14.编外人员人员经费项目绩效目标表</w:t>
      </w:r>
      <w:r>
        <w:tab/>
      </w:r>
      <w:r>
        <w:fldChar w:fldCharType="begin"/>
      </w:r>
      <w:r>
        <w:instrText xml:space="preserve">PAGEREF _Toc_4_4_0000000017 \h</w:instrText>
      </w:r>
      <w:r>
        <w:fldChar w:fldCharType="separate"/>
      </w:r>
      <w:r>
        <w:t xml:space="preserve">18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_Toc_4_4_0000000018</w:instrText>
      </w:r>
      <w:r>
        <w:fldChar w:fldCharType="separate"/>
      </w:r>
      <w:r>
        <w:t xml:space="preserve">15.机场迎宾路提升改造项目占地费用绩效目标表</w:t>
      </w:r>
      <w:r>
        <w:tab/>
      </w:r>
      <w:r>
        <w:fldChar w:fldCharType="begin"/>
      </w:r>
      <w:r>
        <w:instrText xml:space="preserve">PAGEREF _Toc_4_4_0000000018 \h</w:instrText>
      </w:r>
      <w:r>
        <w:fldChar w:fldCharType="separate"/>
      </w:r>
      <w:r>
        <w:t xml:space="preserve">19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_Toc_4_4_0000000019</w:instrText>
      </w:r>
      <w:r>
        <w:fldChar w:fldCharType="separate"/>
      </w:r>
      <w:r>
        <w:t xml:space="preserve">16.清偿化解拖欠企业账款项目绩效目标表</w:t>
      </w:r>
      <w:r>
        <w:tab/>
      </w:r>
      <w:r>
        <w:fldChar w:fldCharType="begin"/>
      </w:r>
      <w:r>
        <w:instrText xml:space="preserve">PAGEREF _Toc_4_4_0000000019 \h</w:instrText>
      </w:r>
      <w:r>
        <w:fldChar w:fldCharType="separate"/>
      </w:r>
      <w:r>
        <w:t xml:space="preserve">20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_Toc_4_4_0000000020</w:instrText>
      </w:r>
      <w:r>
        <w:fldChar w:fldCharType="separate"/>
      </w:r>
      <w:r>
        <w:t xml:space="preserve">17.清偿化解拖欠企业账款项目绩效目标表</w:t>
      </w:r>
      <w:r>
        <w:tab/>
      </w:r>
      <w:r>
        <w:fldChar w:fldCharType="begin"/>
      </w:r>
      <w:r>
        <w:instrText xml:space="preserve">PAGEREF _Toc_4_4_0000000020 \h</w:instrText>
      </w:r>
      <w:r>
        <w:fldChar w:fldCharType="separate"/>
      </w:r>
      <w:r>
        <w:t xml:space="preserve">21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_Toc_4_4_0000000021</w:instrText>
      </w:r>
      <w:r>
        <w:fldChar w:fldCharType="separate"/>
      </w:r>
      <w:r>
        <w:t xml:space="preserve">18.清偿化解拖欠企业账款项目绩效目标表</w:t>
      </w:r>
      <w:r>
        <w:tab/>
      </w:r>
      <w:r>
        <w:fldChar w:fldCharType="begin"/>
      </w:r>
      <w:r>
        <w:instrText xml:space="preserve">PAGEREF _Toc_4_4_0000000021 \h</w:instrText>
      </w:r>
      <w:r>
        <w:fldChar w:fldCharType="separate"/>
      </w:r>
      <w:r>
        <w:t xml:space="preserve">22</w:t>
      </w:r>
      <w:r>
        <w:fldChar w:fldCharType="end"/>
      </w:r>
      <w:r>
        <w:fldChar w:fldCharType="end"/>
      </w:r>
    </w:p>
    <w:p>
      <w:pPr>
        <w:pStyle w:val="TOC1"/>
        <w:tabs>
          <w:tab w:val="right" w:leader="dot" w:pos="9282"/>
        </w:tabs>
      </w:pPr>
      <w:r>
        <w:fldChar w:fldCharType="begin"/>
      </w:r>
      <w:r>
        <w:instrText xml:space="preserve">HYPERLINK \l _Toc_4_4_0000000022</w:instrText>
      </w:r>
      <w:r>
        <w:fldChar w:fldCharType="separate"/>
      </w:r>
      <w:r>
        <w:t xml:space="preserve">19.三馆一站免费开放县级配套资金绩效目标表</w:t>
      </w:r>
      <w:r>
        <w:tab/>
      </w:r>
      <w:r>
        <w:fldChar w:fldCharType="begin"/>
      </w:r>
      <w:r>
        <w:instrText xml:space="preserve">PAGEREF _Toc_4_4_0000000022 \h</w:instrText>
      </w:r>
      <w:r>
        <w:fldChar w:fldCharType="separate"/>
      </w:r>
      <w:r>
        <w:t xml:space="preserve">23</w:t>
      </w:r>
      <w:r>
        <w:fldChar w:fldCharType="end"/>
      </w:r>
      <w:r>
        <w:fldChar w:fldCharType="end"/>
      </w:r>
    </w:p>
    <w:p>
      <w:pPr>
        <w:sectPr>
          <w:footerReference w:type="even" r:id="rId3"/>
          <w:footerReference w:type="default" r:id="rId4"/>
          <w:type w:val="nextPage"/>
          <w:pgSz w:w="11900" w:h="16840" w:orient="portrait"/>
          <w:pgMar w:top="1984" w:right="1304" w:bottom="1134" w:left="1304" w:header="720" w:footer="720" w:gutter="0"/>
          <w:pgNumType w:start="1"/>
        </w:sectPr>
      </w:pPr>
      <w:r>
        <w:fldChar w:fldCharType="end"/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第一部分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部门整体绩效目标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>
      <w:pPr>
        <w:spacing w:before="10" w:after="10"/>
        <w:ind w:firstLine="560"/>
        <w:jc w:val="left"/>
        <w:outlineLvl w:val="1"/>
      </w:pPr>
      <w:bookmarkStart w:id="0" w:name="_Toc_2_2_0000000001"/>
      <w:r>
        <w:rPr>
          <w:rFonts w:ascii="方正黑体_GBK" w:eastAsia="方正黑体_GBK" w:hAnsi="方正黑体_GBK" w:cs="方正黑体_GBK"/>
          <w:color w:val="000000"/>
          <w:sz w:val="28"/>
        </w:rPr>
        <w:t xml:space="preserve">一、总体绩效目标</w:t>
      </w:r>
      <w:bookmarkEnd w:id="0"/>
    </w:p>
    <w:p>
      <w:pPr>
        <w:pStyle w:val="插入文本样式-插入总体目标文件"/>
      </w:pPr>
      <w:r>
        <w:t xml:space="preserve">第一部分 部门整体绩效目标</w:t>
      </w:r>
    </w:p>
    <w:p>
      <w:pPr>
        <w:pStyle w:val="插入文本样式-插入总体目标文件"/>
      </w:pPr>
      <w:r>
        <w:t xml:space="preserve">（一）总体绩效目标</w:t>
      </w:r>
    </w:p>
    <w:p>
      <w:pPr>
        <w:pStyle w:val="插入文本样式-插入总体目标文件"/>
      </w:pPr>
      <w:r>
        <w:t xml:space="preserve">新城铺镇坚持以科学发展观为指导，紧紧围绕在镇党委、镇政府中心工作和全镇大局，解放思想，开拓创新，强化责任，优化机制，转变作风，提升效能，不断提高新城铺镇工作的科学化、制度化、规范化水平，不断提高服务质量，集中解决事关经济社会发展的重大问题，涉及民生利益的突出问题和群众反映强烈的热点难点问题，切实发挥好镇政府的职能作用，为实现新城铺镇的全面发展提供有力保障。</w:t>
      </w:r>
    </w:p>
    <w:p>
      <w:pPr>
        <w:pStyle w:val="插入文本样式-插入总体目标文件"/>
      </w:pPr>
    </w:p>
    <w:p>
      <w:pPr>
        <w:spacing w:before="10" w:after="10"/>
        <w:ind w:firstLine="560"/>
        <w:jc w:val="left"/>
        <w:outlineLvl w:val="1"/>
      </w:pPr>
      <w:bookmarkStart w:id="1" w:name="_Toc_2_2_0000000002"/>
      <w:r>
        <w:rPr>
          <w:rFonts w:ascii="方正黑体_GBK" w:eastAsia="方正黑体_GBK" w:hAnsi="方正黑体_GBK" w:cs="方正黑体_GBK"/>
          <w:color w:val="000000"/>
          <w:sz w:val="28"/>
        </w:rPr>
        <w:t xml:space="preserve">二、分项绩效目标</w:t>
      </w:r>
      <w:bookmarkEnd w:id="1"/>
    </w:p>
    <w:p>
      <w:pPr>
        <w:pStyle w:val="插入文本样式-插入职责分类绩效目标文件"/>
      </w:pPr>
    </w:p>
    <w:p>
      <w:pPr>
        <w:pStyle w:val="插入文本样式-插入职责分类绩效目标文件"/>
      </w:pPr>
      <w:r>
        <w:t xml:space="preserve">（二）分项绩效目标</w:t>
      </w:r>
    </w:p>
    <w:p>
      <w:pPr>
        <w:pStyle w:val="插入文本样式-插入职责分类绩效目标文件"/>
      </w:pPr>
      <w:r>
        <w:t xml:space="preserve">（一）宣传贯彻执行党的路线、方针、政策和国家的法律法规，执行本级人民代表会议的决议和上级国家行政机关的决定和命令；做好党建和党支部组织建设工作。</w:t>
      </w:r>
    </w:p>
    <w:p>
      <w:pPr>
        <w:pStyle w:val="插入文本样式-插入职责分类绩效目标文件"/>
      </w:pPr>
      <w:r>
        <w:t xml:space="preserve">（二）负责本乡镇产业发展规划，引导农民立足自身资源和区位条件，发挥优势，大力发展区域特色经济，为农民提供政策、信息等服务，促进农民脱贫致富。</w:t>
      </w:r>
    </w:p>
    <w:p>
      <w:pPr>
        <w:pStyle w:val="插入文本样式-插入职责分类绩效目标文件"/>
      </w:pPr>
      <w:r>
        <w:t xml:space="preserve">（三）加强工业经济管理，为招商引资营造良好环境（投资环境、社会环境），大力发展第二、第三产业，加快城镇化进程；做好培育和发展农村经济合作组织工作，为农民提供致富信息、技术服务，畅通购销渠道。</w:t>
      </w:r>
    </w:p>
    <w:p>
      <w:pPr>
        <w:pStyle w:val="插入文本样式-插入职责分类绩效目标文件"/>
      </w:pPr>
      <w:r>
        <w:t xml:space="preserve">（四）依法管理镇财政，执行本级预算；加强乡村财政资金监督管理、农村合作管理及农民减负工作，做好乡镇统计、审计等工作。</w:t>
      </w:r>
    </w:p>
    <w:p>
      <w:pPr>
        <w:pStyle w:val="插入文本样式-插入职责分类绩效目标文件"/>
      </w:pPr>
      <w:r>
        <w:t xml:space="preserve">（五）做好人口和计划生育管理及计划生育协会工作，加强流动人口生育管理和计划生育技术服务等工作。</w:t>
      </w:r>
    </w:p>
    <w:p>
      <w:pPr>
        <w:pStyle w:val="插入文本样式-插入职责分类绩效目标文件"/>
      </w:pPr>
      <w:r>
        <w:t xml:space="preserve">（六）做好农村民主政治建设和农民自治工作，加强农村基层组织建设，为实现公民在选举、决策、管理等方面的民主权利创造条件；加强农村精神文明建设和生态文明村建设，制定构建和谐社会的具体措施，并抓好组织实施；做好兵役事项及民兵工作；组织乡村公共基础设施建设、搞好九年义务教育，普及科学技术，丰富农村文化生活，开展全民健身运动。</w:t>
      </w:r>
    </w:p>
    <w:p>
      <w:pPr>
        <w:pStyle w:val="插入文本样式-插入职责分类绩效目标文件"/>
      </w:pPr>
      <w:r>
        <w:t xml:space="preserve">（七）负责做好群众来信来访，妥善处理突发性群体事件，维护社会稳定，做好社会治安综合治理工作；疏导各类纠纷，协调解决疑难问题，预防违法犯罪。</w:t>
      </w:r>
    </w:p>
    <w:p>
      <w:pPr>
        <w:pStyle w:val="插入文本样式-插入职责分类绩效目标文件"/>
      </w:pPr>
      <w:r>
        <w:t xml:space="preserve">（八）配合城建、土地、环保部门做好镇村建设规划、保护耕地、保护环境工作，提高资源利用率；配合安全生产监督管理部门做好安全生产监督管理工作。</w:t>
      </w:r>
    </w:p>
    <w:p>
      <w:pPr>
        <w:pStyle w:val="插入文本样式-插入职责分类绩效目标文件"/>
      </w:pPr>
      <w:r>
        <w:t xml:space="preserve">（九）配合农业各部门做好农业技术服务和技术推广，动物防疫工作，加强农田水利基本建设，增强农业抗御自然灾害的能力。</w:t>
      </w:r>
    </w:p>
    <w:p>
      <w:pPr>
        <w:pStyle w:val="插入文本样式-插入职责分类绩效目标文件"/>
      </w:pPr>
      <w:r>
        <w:t xml:space="preserve">（十）配合民政、残联部门做好农村扶贫、低保、特困户救助、残疾人服务和民族宗教工作；配合劳动部门做好农村劳动力职业技能培训、劳动力输出、农村养老保险、社会保障工作。</w:t>
      </w:r>
    </w:p>
    <w:p>
      <w:pPr>
        <w:spacing w:before="10" w:after="10"/>
        <w:ind w:firstLine="560"/>
        <w:jc w:val="left"/>
        <w:outlineLvl w:val="1"/>
      </w:pPr>
      <w:bookmarkStart w:id="2" w:name="_Toc_2_2_0000000003"/>
      <w:r>
        <w:rPr>
          <w:rFonts w:ascii="方正黑体_GBK" w:eastAsia="方正黑体_GBK" w:hAnsi="方正黑体_GBK" w:cs="方正黑体_GBK"/>
          <w:color w:val="000000"/>
          <w:sz w:val="28"/>
        </w:rPr>
        <w:t xml:space="preserve">三、工作保障措施</w:t>
      </w:r>
      <w:bookmarkEnd w:id="2"/>
    </w:p>
    <w:p>
      <w:pPr>
        <w:pStyle w:val="插入文本样式-插入实现年度发展规划目标的保障措施文件"/>
      </w:pPr>
      <w:r>
        <w:t xml:space="preserve">（三）工作保障措施</w:t>
      </w:r>
    </w:p>
    <w:p>
      <w:pPr>
        <w:pStyle w:val="插入文本样式-插入实现年度发展规划目标的保障措施文件"/>
      </w:pPr>
      <w:r>
        <w:t xml:space="preserve">（一）执行好党的路线、方针、政策和国家的法律法规，本级人民代表会议的决议和上级国家行政机关的决定和命令；做好党建和党支部组织建设工作。</w:t>
      </w:r>
    </w:p>
    <w:p>
      <w:pPr>
        <w:pStyle w:val="插入文本样式-插入实现年度发展规划目标的保障措施文件"/>
      </w:pPr>
      <w:r>
        <w:t xml:space="preserve">（二）引导农民立足自身资源和区位条件，发挥优势，大力发展区域特色经济，为农民提供政策、信息等服务，促进农民脱贫致富。</w:t>
      </w:r>
    </w:p>
    <w:p>
      <w:pPr>
        <w:pStyle w:val="插入文本样式-插入实现年度发展规划目标的保障措施文件"/>
      </w:pPr>
      <w:r>
        <w:t xml:space="preserve">（三）做好招商引资，加快城镇化进程；做好培育和发展农村经济合作组织工作。</w:t>
      </w:r>
    </w:p>
    <w:p>
      <w:pPr>
        <w:pStyle w:val="插入文本样式-插入实现年度发展规划目标的保障措施文件"/>
      </w:pPr>
      <w:r>
        <w:t xml:space="preserve">（四）依法管理镇财政，执行本级预算；对乡村财政资金进行监督管理，做好乡镇统计、审计等工作。</w:t>
      </w:r>
    </w:p>
    <w:p>
      <w:pPr>
        <w:pStyle w:val="插入文本样式-插入实现年度发展规划目标的保障措施文件"/>
      </w:pPr>
      <w:r>
        <w:t xml:space="preserve">（五）做好人口和计划生育管理及计划生育协会工作，加强流动人口生育管理和计划生育技术服务等工作。</w:t>
      </w:r>
    </w:p>
    <w:p>
      <w:pPr>
        <w:pStyle w:val="插入文本样式-插入实现年度发展规划目标的保障措施文件"/>
      </w:pPr>
      <w:r>
        <w:t xml:space="preserve">（六）做好农村民主政治建设和农民自治工作，加强农村基层组织建设；做好农村精神文明建设和生态文明村建设；做好兵役事项及民兵工作；做好乡村公共基础设施建设、搞好九年义务教育，开展全民健身运动。</w:t>
      </w:r>
    </w:p>
    <w:p>
      <w:pPr>
        <w:pStyle w:val="插入文本样式-插入实现年度发展规划目标的保障措施文件"/>
      </w:pPr>
      <w:r>
        <w:t xml:space="preserve">（七）做好群众来信来访，妥善处理突发性群体事件，维护社会稳定，做好社会治安综合治理工作；疏导各类纠纷，协调解决疑难问题，预防违法犯罪。</w:t>
      </w:r>
    </w:p>
    <w:p>
      <w:pPr>
        <w:pStyle w:val="插入文本样式-插入实现年度发展规划目标的保障措施文件"/>
      </w:pPr>
      <w:r>
        <w:t xml:space="preserve">（八）做好镇村建设规划、保护耕地、保护环境工作；做好安全生产监督管理工作。</w:t>
      </w:r>
    </w:p>
    <w:p>
      <w:pPr>
        <w:pStyle w:val="插入文本样式-插入实现年度发展规划目标的保障措施文件"/>
      </w:pPr>
      <w:r>
        <w:t xml:space="preserve">（九）做好农业技术服务和技术推广，动物防疫工作，加强农田水利基本建设，增强农业抗御自然灾害的能力。</w:t>
      </w:r>
    </w:p>
    <w:p>
      <w:pPr>
        <w:pStyle w:val="插入文本样式-插入实现年度发展规划目标的保障措施文件"/>
      </w:pPr>
      <w:r>
        <w:t xml:space="preserve">（十）做好农村扶贫、低保、特困户救助、残疾人服务和民族宗教工作；做好农村劳动力职业技能培训、劳动力输出、农村养老保险、社会保障工作。 </w:t>
      </w:r>
    </w:p>
    <w:p>
      <w:pPr>
        <w:pStyle w:val="插入文本样式-插入实现年度发展规划目标的保障措施文件"/>
      </w:pPr>
    </w:p>
    <w:p>
      <w:pPr>
        <w:spacing w:before="0" w:after="0" w:line="240" w:lineRule="auto"/>
        <w:ind w:firstLine="0"/>
        <w:jc w:val="center"/>
        <w:outlineLvl w:val="9"/>
        <w:sectPr>
          <w:type w:val="nextPage"/>
          <w:pgSz w:w="11900" w:h="16840" w:orient="portrait"/>
          <w:pgMar w:top="1984" w:right="1304" w:bottom="1134" w:left="1304" w:header="720" w:footer="720" w:gutter="0"/>
          <w:pgNumType w:start="1"/>
        </w:sectPr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52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第二部分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0"/>
      </w:pPr>
      <w:r>
        <w:rPr>
          <w:rFonts w:ascii="方正小标宋_GBK" w:eastAsia="方正小标宋_GBK" w:hAnsi="方正小标宋_GBK" w:cs="方正小标宋_GBK"/>
          <w:color w:val="000000"/>
          <w:sz w:val="44"/>
        </w:rPr>
        <w:t xml:space="preserve">预算项目绩效目标</w:t>
      </w:r>
    </w:p>
    <w:p>
      <w:pPr>
        <w:spacing w:before="0" w:after="0" w:line="240" w:lineRule="auto"/>
        <w:ind w:firstLine="0"/>
        <w:jc w:val="center"/>
        <w:outlineLvl w:val="9"/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3" w:name="_Toc_4_4_0000000004"/>
      <w:r>
        <w:rPr>
          <w:rFonts w:ascii="方正仿宋_GBK" w:eastAsia="方正仿宋_GBK" w:hAnsi="方正仿宋_GBK" w:cs="方正仿宋_GBK"/>
          <w:color w:val="000000"/>
          <w:sz w:val="28"/>
        </w:rPr>
        <w:t xml:space="preserve">1. 2026年市级公共文化服务体系建设专项资金 石财教[2025]10号绩效目标表</w:t>
      </w:r>
      <w:bookmarkEnd w:id="3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13012326P000029100767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 2026年市级公共文化服务体系建设专项资金 石财教[2025]10号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0.50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0.50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保障2026年市级公共文化服务体系建设专项资金及时到位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1.保障2026年市级公共文化服务体系建设专项资金及时到位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免费开放比例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免费开放比例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群众文化服务参与情况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群众文化服务参与情况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逐步提升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各项工作完成时间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各项工作完成时间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2026年12月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免费开放服务水平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免费开放服务水平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逐步提升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带动相关消费情况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带动相关消费情况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带动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增长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维持文化站免费开放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维持文化站免费开放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维持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4" w:name="_Toc_4_4_0000000005"/>
      <w:r>
        <w:rPr>
          <w:rFonts w:ascii="方正仿宋_GBK" w:eastAsia="方正仿宋_GBK" w:hAnsi="方正仿宋_GBK" w:cs="方正仿宋_GBK"/>
          <w:color w:val="000000"/>
          <w:sz w:val="28"/>
        </w:rPr>
        <w:t xml:space="preserve">2.2025年度离任村干部补贴绩效目标表</w:t>
      </w:r>
      <w:bookmarkEnd w:id="4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13012326P00000810166G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2025年度离任村干部补贴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2.63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2.63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足额发放离任村干部补贴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足额发放离任村干部补贴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按照离任村干部人数足额发放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按照离任村干部人数足额发放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是否按人实发到位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是否按人实发到位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及时发放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及时发放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预算成本控制数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预算成本控制数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资金使用率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资金使用率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满意率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满意率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5" w:name="_Toc_4_4_0000000006"/>
      <w:r>
        <w:rPr>
          <w:rFonts w:ascii="方正仿宋_GBK" w:eastAsia="方正仿宋_GBK" w:hAnsi="方正仿宋_GBK" w:cs="方正仿宋_GBK"/>
          <w:color w:val="000000"/>
          <w:sz w:val="28"/>
        </w:rPr>
        <w:t xml:space="preserve">3.2025年中央农村公益事业建设财政奖补项目（石财农[2024]53号）绩效目标表</w:t>
      </w:r>
      <w:bookmarkEnd w:id="5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13012325P00003610050H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2025年中央农村公益事业建设财政奖补项目（石财农[2024]53号）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94.40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94.40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满足2025年中央农村公益事业建设财政奖补项目资金及时到位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2500%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5000%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7500%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1.满足2025年中央农村公益事业建设财政奖补项目资金及时到位</w:t>
            </w:r>
          </w:p>
          <w:p>
            <w:pPr>
              <w:pStyle w:val="单元格样式2"/>
            </w:pPr>
            <w:r>
              <w:t xml:space="preserve">2. 满足2025年中央农村公益事业建设财政奖补项目资金及时到位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资金到位率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及时率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预算控制数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资金使用效率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资金使用效率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6" w:name="_Toc_4_4_0000000007"/>
      <w:r>
        <w:rPr>
          <w:rFonts w:ascii="方正仿宋_GBK" w:eastAsia="方正仿宋_GBK" w:hAnsi="方正仿宋_GBK" w:cs="方正仿宋_GBK"/>
          <w:color w:val="000000"/>
          <w:sz w:val="28"/>
        </w:rPr>
        <w:t xml:space="preserve">4.2025年中央农村公益事业建设财政奖补项目（石财农[2024]53号）绩效目标表</w:t>
      </w:r>
      <w:bookmarkEnd w:id="6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13012326P00003610082T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2025年中央农村公益事业建设财政奖补项目（石财农[2024]53号）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23.60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23.60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保障2025年中央农村公益事业建设财政奖补项目资金及时到位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保障2025年中央农村公益事业建设财政奖补项目资金及时到位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资金使用效率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资金使用效率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7" w:name="_Toc_4_4_0000000008"/>
      <w:r>
        <w:rPr>
          <w:rFonts w:ascii="方正仿宋_GBK" w:eastAsia="方正仿宋_GBK" w:hAnsi="方正仿宋_GBK" w:cs="方正仿宋_GBK"/>
          <w:color w:val="000000"/>
          <w:sz w:val="28"/>
        </w:rPr>
        <w:t xml:space="preserve">5.2026年村党组织活动经费绩效目标表</w:t>
      </w:r>
      <w:bookmarkEnd w:id="7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13012326P00000810110F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2026年村党组织活动经费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35.94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35.94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保障2026年村党组织活动经费足额发放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1.保障2026年村党组织活动经费足额发放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按照党员人数合理发放资金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按照党员人数合理发放资金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正常开展党组织活动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正常开展党组织活动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及时发放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及时发放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资金使用率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资金使用率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8" w:name="_Toc_4_4_0000000009"/>
      <w:r>
        <w:rPr>
          <w:rFonts w:ascii="方正仿宋_GBK" w:eastAsia="方正仿宋_GBK" w:hAnsi="方正仿宋_GBK" w:cs="方正仿宋_GBK"/>
          <w:color w:val="000000"/>
          <w:sz w:val="28"/>
        </w:rPr>
        <w:t xml:space="preserve">6.2026年村党组织书记、村民委员会主任基本报酬绩效目标表</w:t>
      </w:r>
      <w:bookmarkEnd w:id="8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13012326P00000810107W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2026年村党组织书记、村民委员会主任基本报酬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85.30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85.30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保障2026年村党组织书记、村民委员会主任基本报酬足额发放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保障2026年村党组织书记、村民委员会主任基本报酬足额发放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资金到位率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及时性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及时性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资金的使用率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资金的使用率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满意度指标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9" w:name="_Toc_4_4_0000000010"/>
      <w:r>
        <w:rPr>
          <w:rFonts w:ascii="方正仿宋_GBK" w:eastAsia="方正仿宋_GBK" w:hAnsi="方正仿宋_GBK" w:cs="方正仿宋_GBK"/>
          <w:color w:val="000000"/>
          <w:sz w:val="28"/>
        </w:rPr>
        <w:t xml:space="preserve">7.2026年村级组织办公经费绩效目标表</w:t>
      </w:r>
      <w:bookmarkEnd w:id="9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13012326P000008101094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2026年村级组织办公经费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14.00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14.00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保障村级组织办公经费足额发放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保障村级组织办公经费足额发放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按照行政村数量足额发放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按照行政村数量足额发放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正常开展村内事务活动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正常开展村内事务活动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及时发放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及时发放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资金使用率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资金使用率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服务期限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服务期限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满意率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满意率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0" w:name="_Toc_4_4_0000000011"/>
      <w:r>
        <w:rPr>
          <w:rFonts w:ascii="方正仿宋_GBK" w:eastAsia="方正仿宋_GBK" w:hAnsi="方正仿宋_GBK" w:cs="方正仿宋_GBK"/>
          <w:color w:val="000000"/>
          <w:sz w:val="28"/>
        </w:rPr>
        <w:t xml:space="preserve">8.2026年服务群众专项经费绩效目标表</w:t>
      </w:r>
      <w:bookmarkEnd w:id="10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13012326P000008101113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2026年服务群众专项经费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70.00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70.00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保障2026年服务群众专项经费足额发放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保障2026年服务群众专项经费足额发放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按照行政村数量足额发放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按照行政村数量足额发放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正常开展村内事务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正常开展村内事务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及时发放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及时发放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资金使用率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资金使用率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满意率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满意率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1" w:name="_Toc_4_4_0000000012"/>
      <w:r>
        <w:rPr>
          <w:rFonts w:ascii="方正仿宋_GBK" w:eastAsia="方正仿宋_GBK" w:hAnsi="方正仿宋_GBK" w:cs="方正仿宋_GBK"/>
          <w:color w:val="000000"/>
          <w:sz w:val="28"/>
        </w:rPr>
        <w:t xml:space="preserve">9.2026年精神障碍患者监护人以奖代补项目绩效目标表</w:t>
      </w:r>
      <w:bookmarkEnd w:id="11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13012326P00002810018H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2026年精神障碍患者监护人以奖代补项目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4.32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4.32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 保障2026年精神障碍患者监护人以奖代补项目资金及时到位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保障2026年精神障碍患者监护人以奖代补项目资金及时到位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及时性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及时性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项目预算控制在成本内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 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2" w:name="_Toc_4_4_0000000013"/>
      <w:r>
        <w:rPr>
          <w:rFonts w:ascii="方正仿宋_GBK" w:eastAsia="方正仿宋_GBK" w:hAnsi="方正仿宋_GBK" w:cs="方正仿宋_GBK"/>
          <w:color w:val="000000"/>
          <w:sz w:val="28"/>
        </w:rPr>
        <w:t xml:space="preserve">10.2026年离任村干部补贴绩效目标表</w:t>
      </w:r>
      <w:bookmarkEnd w:id="12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13012326P00000810112N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2026年离任村干部补贴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7.65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7.65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保障2026年离任村干部补贴足额发放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1.保障2026年离任村干部补贴足额发放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按照离任村干部人数足额发放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按照离任村干部人数足额发放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是否发放到位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是否发放到位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及时发放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及时发放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资金使用效率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资金使用效率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系统工作运转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3" w:name="_Toc_4_4_0000000014"/>
      <w:r>
        <w:rPr>
          <w:rFonts w:ascii="方正仿宋_GBK" w:eastAsia="方正仿宋_GBK" w:hAnsi="方正仿宋_GBK" w:cs="方正仿宋_GBK"/>
          <w:color w:val="000000"/>
          <w:sz w:val="28"/>
        </w:rPr>
        <w:t xml:space="preserve">11.2026年其他村两委基本报酬绩效目标表</w:t>
      </w:r>
      <w:bookmarkEnd w:id="13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13012326P00000810108G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2026年其他村两委基本报酬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115.77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115.77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保障2026年其他村两委基本报酬发放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保障2026年其他村两委基本报酬发放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业务工作完成率</w:t>
            </w:r>
          </w:p>
          <w:p>
            <w:pPr>
              <w:pStyle w:val="单元格样式2"/>
            </w:pP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及时性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及时性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项目控制在成本内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资金的使用效率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资金的使用效率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4" w:name="_Toc_4_4_0000000015"/>
      <w:r>
        <w:rPr>
          <w:rFonts w:ascii="方正仿宋_GBK" w:eastAsia="方正仿宋_GBK" w:hAnsi="方正仿宋_GBK" w:cs="方正仿宋_GBK"/>
          <w:color w:val="000000"/>
          <w:sz w:val="28"/>
        </w:rPr>
        <w:t xml:space="preserve">12.2026年省级基层三馆一站免费开放运行保障经费 石财教[2025]87号绩效目标表</w:t>
      </w:r>
      <w:bookmarkEnd w:id="14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13012326P000029100740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2026年省级基层三馆一站免费开放运行保障经费 石财教[2025]87号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0.50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0.50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保障2026年省级基层三馆一站免费开放运行保障经费及时到位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保障2026年省级基层三馆一站免费开放运行保障经费及时到位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免费开放比例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免费开放比例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群众文化服务参与情况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群众文化服务参与情况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逐步提升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各项工作任务完成时间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各项工作任务完成时间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2026年12月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免费开放程度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免费开放程度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逐步提升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带动相关消费情况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带动相关消费情况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带动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增加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维持文化馆免费开放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维持文化馆免费开放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维持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5" w:name="_Toc_4_4_0000000016"/>
      <w:r>
        <w:rPr>
          <w:rFonts w:ascii="方正仿宋_GBK" w:eastAsia="方正仿宋_GBK" w:hAnsi="方正仿宋_GBK" w:cs="方正仿宋_GBK"/>
          <w:color w:val="000000"/>
          <w:sz w:val="28"/>
        </w:rPr>
        <w:t xml:space="preserve">13.2026年中央支持地方公共文化服务体系建设补助资金 石财教[2025]82号绩效目标表</w:t>
      </w:r>
      <w:bookmarkEnd w:id="15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13012326P00002910075K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2026年中央支持地方公共文化服务体系建设补助资金 石财教[2025]82号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3.00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3.00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 保障2026年中央支持地方公共文化服务体系建设补助资金及时到位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保障2026年中央支持地方公共文化服务体系建设补助资金及时到位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免费开放比例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免费开放比例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群众文化服务参与情况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群众文化服务参与情况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逐步提升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各项工作任务完成时间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各项工作任务完成时间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2026年12月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免费开放服务水平提升情况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免费开放服务水平提升情况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逐步提升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带动相关消费情况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带动相关消费情况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带动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增长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维持文化站开放程度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维持文化站开放程度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维持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6" w:name="_Toc_4_4_0000000017"/>
      <w:r>
        <w:rPr>
          <w:rFonts w:ascii="方正仿宋_GBK" w:eastAsia="方正仿宋_GBK" w:hAnsi="方正仿宋_GBK" w:cs="方正仿宋_GBK"/>
          <w:color w:val="000000"/>
          <w:sz w:val="28"/>
        </w:rPr>
        <w:t xml:space="preserve">14.编外人员人员经费项目绩效目标表</w:t>
      </w:r>
      <w:bookmarkEnd w:id="16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13012326P00000212355P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编外人员人员经费项目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88.50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88.50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保障编外人员人员经费项目资金及时到位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保障编外人员人员经费项目资金及时到位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服务对象满意率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7" w:name="_Toc_4_4_0000000018"/>
      <w:r>
        <w:rPr>
          <w:rFonts w:ascii="方正仿宋_GBK" w:eastAsia="方正仿宋_GBK" w:hAnsi="方正仿宋_GBK" w:cs="方正仿宋_GBK"/>
          <w:color w:val="000000"/>
          <w:sz w:val="28"/>
        </w:rPr>
        <w:t xml:space="preserve">15.机场迎宾路提升改造项目占地费用绩效目标表</w:t>
      </w:r>
      <w:bookmarkEnd w:id="17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13012326P0096H2104121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机场迎宾路提升改造项目占地费用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34.28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34.28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  保障机场迎宾路提升改造项目占地费用及时到位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 保障机场迎宾路提升改造项目占地费用及时到位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生态影响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8" w:name="_Toc_4_4_0000000019"/>
      <w:r>
        <w:rPr>
          <w:rFonts w:ascii="方正仿宋_GBK" w:eastAsia="方正仿宋_GBK" w:hAnsi="方正仿宋_GBK" w:cs="方正仿宋_GBK"/>
          <w:color w:val="000000"/>
          <w:sz w:val="28"/>
        </w:rPr>
        <w:t xml:space="preserve">16.清偿化解拖欠企业账款项目绩效目标表</w:t>
      </w:r>
      <w:bookmarkEnd w:id="18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13012325P00000510182A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清偿化解拖欠企业账款项目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4.27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4.27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保障清偿化解拖欠企业账款及时到位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1.保障清偿化解拖欠企业账款及时到位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资金到位率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及时率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预算控制数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服务对象满意度指标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19" w:name="_Toc_4_4_0000000020"/>
      <w:r>
        <w:rPr>
          <w:rFonts w:ascii="方正仿宋_GBK" w:eastAsia="方正仿宋_GBK" w:hAnsi="方正仿宋_GBK" w:cs="方正仿宋_GBK"/>
          <w:color w:val="000000"/>
          <w:sz w:val="28"/>
        </w:rPr>
        <w:t xml:space="preserve">17.清偿化解拖欠企业账款项目绩效目标表</w:t>
      </w:r>
      <w:bookmarkEnd w:id="19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13012325P000005102186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清偿化解拖欠企业账款项目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313.54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313.54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清偿化解拖欠企业账款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1.保障资金及时、足额发放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资金支付率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资金支付率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及时性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及时性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预算控制数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预算控制数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资金使用效率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资金使用效率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满意率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满意率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0" w:name="_Toc_4_4_0000000021"/>
      <w:r>
        <w:rPr>
          <w:rFonts w:ascii="方正仿宋_GBK" w:eastAsia="方正仿宋_GBK" w:hAnsi="方正仿宋_GBK" w:cs="方正仿宋_GBK"/>
          <w:color w:val="000000"/>
          <w:sz w:val="28"/>
        </w:rPr>
        <w:t xml:space="preserve">18.清偿化解拖欠企业账款项目绩效目标表</w:t>
      </w:r>
      <w:bookmarkEnd w:id="20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13012325P00000510241G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清偿化解拖欠企业账款项目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789.69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789.69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保障清偿化解拖欠企业账款项目资金及时到位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1.保障清偿化解拖欠企业账款项目资金及时到位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资金到位率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业务工作完成率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及时率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预算控制在成本内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预算控制数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项目完成率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100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监测、评价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服务对象满意率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 百分比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>
        <w:sectPr>
          <w:type w:val="nextPage"/>
          <w:pgSz w:w="11900" w:h="16840" w:orient="portrait"/>
          <w:pgMar w:top="1984" w:right="1304" w:bottom="1134" w:left="1304" w:header="720" w:footer="720" w:gutter="0"/>
        </w:sectPr>
      </w:pPr>
    </w:p>
    <w:p>
      <w:pPr>
        <w:spacing w:before="0" w:after="0" w:line="240" w:lineRule="auto"/>
        <w:ind w:firstLine="0"/>
        <w:jc w:val="center"/>
        <w:outlineLvl w:val="9"/>
      </w:pPr>
      <w:r>
        <w:rPr>
          <w:rFonts w:ascii="方正仿宋_GBK" w:eastAsia="方正仿宋_GBK" w:hAnsi="方正仿宋_GBK" w:cs="方正仿宋_GBK"/>
          <w:color w:val="000000"/>
          <w:sz w:val="28"/>
        </w:rPr>
        <w:t xml:space="preserve"> </w:t>
      </w:r>
    </w:p>
    <w:p>
      <w:pPr>
        <w:spacing w:before="0" w:after="0"/>
        <w:ind w:firstLine="560"/>
        <w:jc w:val="left"/>
        <w:outlineLvl w:val="3"/>
      </w:pPr>
      <w:bookmarkStart w:id="21" w:name="_Toc_4_4_0000000022"/>
      <w:r>
        <w:rPr>
          <w:rFonts w:ascii="方正仿宋_GBK" w:eastAsia="方正仿宋_GBK" w:hAnsi="方正仿宋_GBK" w:cs="方正仿宋_GBK"/>
          <w:color w:val="000000"/>
          <w:sz w:val="28"/>
        </w:rPr>
        <w:t xml:space="preserve">19.三馆一站免费开放县级配套资金绩效目标表</w:t>
      </w:r>
      <w:bookmarkEnd w:id="21"/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FFFFFF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1587"/>
        <w:gridCol w:w="1304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FFFFFF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trHeight w:val="397"/>
          <w:jc w:val="center"/>
        </w:trPr>
        <w:tc>
          <w:tcPr>
            <w:tcW w:w="8051" w:type="dxa"/>
            <w:gridSpan w:val="6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5"/>
            </w:pPr>
            <w:r>
              <w:t xml:space="preserve">983001正定县新城铺镇人民政府本级</w:t>
            </w:r>
          </w:p>
        </w:tc>
        <w:tc>
          <w:tcPr>
            <w:tcW w:w="1843" w:type="dxa"/>
            <w:tcBorders>
              <w:top w:val="single" w:sz="6" w:space="0" w:color="FFFFFF"/>
              <w:left w:val="single" w:sz="6" w:space="0" w:color="FFFFFF"/>
              <w:right w:val="single" w:sz="6" w:space="0" w:color="FFFFFF"/>
            </w:tcBorders>
            <w:vAlign w:val="center"/>
          </w:tcPr>
          <w:p>
            <w:pPr>
              <w:pStyle w:val="单元格样式4"/>
            </w:pPr>
            <w:r>
              <w:t xml:space="preserve">单位：万元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项目编码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2"/>
            </w:pPr>
            <w:r>
              <w:t xml:space="preserve">13012326P00002910063G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项目名称</w:t>
            </w:r>
          </w:p>
        </w:tc>
        <w:tc>
          <w:tcPr>
            <w:tcW w:w="4423" w:type="dxa"/>
            <w:gridSpan w:val="3"/>
            <w:vAlign w:val="center"/>
          </w:tcPr>
          <w:p>
            <w:pPr>
              <w:pStyle w:val="单元格样式2"/>
            </w:pPr>
            <w:r>
              <w:t xml:space="preserve">三馆一站免费开放县级配套资金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预算规模及资金用途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预算数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1.00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其中：财政    资金</w:t>
            </w:r>
          </w:p>
        </w:tc>
        <w:tc>
          <w:tcPr>
            <w:tcW w:w="1304" w:type="dxa"/>
            <w:vAlign w:val="center"/>
          </w:tcPr>
          <w:p>
            <w:pPr>
              <w:pStyle w:val="单元格样式2"/>
            </w:pPr>
            <w:r>
              <w:t xml:space="preserve">1.00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其他资金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保障三馆一站免费开放县级配套资金及时到位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1"/>
            </w:pPr>
            <w:r>
              <w:t xml:space="preserve">资金支出计划（%）</w:t>
            </w:r>
          </w:p>
        </w:tc>
        <w:tc>
          <w:tcPr>
            <w:tcW w:w="2608" w:type="dxa"/>
            <w:gridSpan w:val="2"/>
            <w:vAlign w:val="center"/>
          </w:tcPr>
          <w:p>
            <w:pPr>
              <w:pStyle w:val="单元格样式1"/>
            </w:pPr>
            <w:r>
              <w:t xml:space="preserve">3月底</w:t>
            </w:r>
          </w:p>
        </w:tc>
        <w:tc>
          <w:tcPr>
            <w:tcW w:w="1587" w:type="dxa"/>
            <w:vAlign w:val="center"/>
          </w:tcPr>
          <w:p>
            <w:pPr>
              <w:pStyle w:val="单元格样式1"/>
            </w:pPr>
            <w:r>
              <w:t xml:space="preserve">6月底</w:t>
            </w:r>
          </w:p>
        </w:tc>
        <w:tc>
          <w:tcPr>
            <w:tcW w:w="1304" w:type="dxa"/>
            <w:vAlign w:val="center"/>
          </w:tcPr>
          <w:p>
            <w:pPr>
              <w:pStyle w:val="单元格样式1"/>
            </w:pPr>
            <w:r>
              <w:t xml:space="preserve">10月底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1"/>
            </w:pPr>
            <w:r>
              <w:t xml:space="preserve">12月底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</w:tcPr>
          <w:p/>
        </w:tc>
        <w:tc>
          <w:tcPr>
            <w:tcW w:w="2608" w:type="dxa"/>
            <w:gridSpan w:val="2"/>
            <w:vAlign w:val="center"/>
          </w:tcPr>
          <w:p>
            <w:pPr>
              <w:pStyle w:val="单元格样式3"/>
            </w:pPr>
            <w:r>
              <w:t xml:space="preserve">25%</w:t>
            </w:r>
          </w:p>
        </w:tc>
        <w:tc>
          <w:tcPr>
            <w:tcW w:w="1587" w:type="dxa"/>
            <w:vAlign w:val="center"/>
          </w:tcPr>
          <w:p>
            <w:pPr>
              <w:pStyle w:val="单元格样式3"/>
            </w:pPr>
            <w:r>
              <w:t xml:space="preserve">50%</w:t>
            </w:r>
          </w:p>
        </w:tc>
        <w:tc>
          <w:tcPr>
            <w:tcW w:w="1304" w:type="dxa"/>
            <w:vAlign w:val="center"/>
          </w:tcPr>
          <w:p>
            <w:pPr>
              <w:pStyle w:val="单元格样式3"/>
            </w:pPr>
            <w:r>
              <w:t xml:space="preserve">75%</w:t>
            </w:r>
          </w:p>
        </w:tc>
        <w:tc>
          <w:tcPr>
            <w:tcW w:w="3119" w:type="dxa"/>
            <w:gridSpan w:val="2"/>
            <w:vAlign w:val="center"/>
          </w:tcPr>
          <w:p>
            <w:pPr>
              <w:pStyle w:val="单元格样式3"/>
            </w:pPr>
            <w:r>
              <w:t xml:space="preserve">100%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绩效目标</w:t>
            </w:r>
          </w:p>
        </w:tc>
        <w:tc>
          <w:tcPr>
            <w:tcW w:w="8618" w:type="dxa"/>
            <w:gridSpan w:val="6"/>
            <w:vAlign w:val="center"/>
          </w:tcPr>
          <w:p>
            <w:pPr>
              <w:pStyle w:val="单元格样式2"/>
            </w:pPr>
            <w:r>
              <w:t xml:space="preserve">1.保障三馆一站免费开放县级配套资金及时到位</w:t>
            </w:r>
          </w:p>
        </w:tc>
      </w:tr>
    </w:tbl>
    <w:p>
      <w:pPr>
        <w:spacing w:before="0" w:after="0" w:line="2" w:lineRule="exact"/>
        <w:ind w:firstLine="0"/>
        <w:jc w:val="center"/>
        <w:outlineLvl w:val="9"/>
      </w:pPr>
      <w:r>
        <w:rPr>
          <w:rFonts w:ascii="方正书宋_GBK" w:eastAsia="方正书宋_GBK" w:hAnsi="方正书宋_GBK" w:cs="方正书宋_GBK"/>
          <w:color w:val="000000"/>
          <w:sz w:val="21"/>
        </w:rPr>
        <w:t xml:space="preserve"> </w:t>
      </w:r>
    </w:p>
    <w:tbl>
      <w:tblPr>
        <w:tblStyle w:val="NormalTable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</w:tblPr>
      <w:tblGrid>
        <w:gridCol w:w="1276"/>
        <w:gridCol w:w="1276"/>
        <w:gridCol w:w="1332"/>
        <w:gridCol w:w="2891"/>
        <w:gridCol w:w="1276"/>
        <w:gridCol w:w="1843"/>
      </w:tblGrid>
      <w:tr>
        <w:tblPrEx>
          <w:jc w:val="center"/>
          <w:tbl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  <w:insideH w:val="single" w:sz="6" w:space="0" w:color="000000"/>
            <w:insideV w:val="single" w:sz="6" w:space="0" w:color="000000"/>
          </w:tblBorders>
          <w:tblLayout w:type="fixed"/>
        </w:tblPrEx>
        <w:trPr>
          <w:cantSplit w:val="0"/>
          <w:trHeight w:val="397"/>
          <w:tblHeader/>
          <w:jc w:val="center"/>
        </w:trPr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一级指标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二级指标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1"/>
            </w:pPr>
            <w:r>
              <w:t xml:space="preserve">三级指标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1"/>
            </w:pPr>
            <w:r>
              <w:t xml:space="preserve">绩效指标描述</w:t>
            </w:r>
          </w:p>
        </w:tc>
        <w:tc>
          <w:tcPr>
            <w:tcW w:w="1276" w:type="dxa"/>
            <w:vAlign w:val="center"/>
          </w:tcPr>
          <w:p>
            <w:pPr>
              <w:pStyle w:val="单元格样式1"/>
            </w:pPr>
            <w:r>
              <w:t xml:space="preserve">指标值</w:t>
            </w:r>
          </w:p>
        </w:tc>
        <w:tc>
          <w:tcPr>
            <w:tcW w:w="1843" w:type="dxa"/>
            <w:vAlign w:val="center"/>
          </w:tcPr>
          <w:p>
            <w:pPr>
              <w:pStyle w:val="单元格样式1"/>
            </w:pPr>
            <w:r>
              <w:t xml:space="preserve">指标值确定依据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产出指标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数量指标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免费开放比例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免费开放比例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≥100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质量指标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群众文化服务参与度情况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群众文化服务参与度情况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逐步提升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时效指标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各项工作业务完成时间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各项工作业务完成时间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2026年12月底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成本指标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预算资金完成率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预算资金完成率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 w:val="restart"/>
            <w:vAlign w:val="center"/>
          </w:tcPr>
          <w:p>
            <w:pPr>
              <w:pStyle w:val="单元格样式3"/>
            </w:pPr>
            <w:r>
              <w:t xml:space="preserve">效益指标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经济效益指标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免费开放服务水平提升情况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免费开放服务水平提升情况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逐步提升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社会效益指标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带动相关消费情况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带动相关消费情况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带动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生态效益指标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生态效益情况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生态效益情况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增长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Merge/>
            <w:vAlign w:val="center"/>
          </w:tcPr>
          <w:p/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可持续影响指标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维护文化馆免费开放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维护文化馆免费开放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 维持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  <w:tr>
        <w:tblPrEx>
          <w:jc w:val="center"/>
          <w:tblLayout w:type="fixed"/>
        </w:tblPrEx>
        <w:trPr>
          <w:trHeight w:val="369"/>
          <w:jc w:val="center"/>
        </w:trPr>
        <w:tc>
          <w:tcPr>
            <w:tcW w:w="1276" w:type="dxa"/>
            <w:vAlign w:val="center"/>
          </w:tcPr>
          <w:p>
            <w:pPr>
              <w:pStyle w:val="单元格样式3"/>
            </w:pPr>
            <w:r>
              <w:t xml:space="preserve">满意度指标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服务对象满意度指标</w:t>
            </w:r>
          </w:p>
        </w:tc>
        <w:tc>
          <w:tcPr>
            <w:tcW w:w="1332" w:type="dxa"/>
            <w:vAlign w:val="center"/>
          </w:tcPr>
          <w:p>
            <w:pPr>
              <w:pStyle w:val="单元格样式2"/>
            </w:pPr>
            <w:r>
              <w:t xml:space="preserve"> 服务对象满意度</w:t>
            </w:r>
          </w:p>
        </w:tc>
        <w:tc>
          <w:tcPr>
            <w:tcW w:w="2891" w:type="dxa"/>
            <w:vAlign w:val="center"/>
          </w:tcPr>
          <w:p>
            <w:pPr>
              <w:pStyle w:val="单元格样式2"/>
            </w:pPr>
            <w:r>
              <w:t xml:space="preserve">  服务对象满意度</w:t>
            </w:r>
          </w:p>
        </w:tc>
        <w:tc>
          <w:tcPr>
            <w:tcW w:w="1276" w:type="dxa"/>
            <w:vAlign w:val="center"/>
          </w:tcPr>
          <w:p>
            <w:pPr>
              <w:pStyle w:val="单元格样式2"/>
            </w:pPr>
            <w:r>
              <w:t xml:space="preserve">≥95</w:t>
            </w:r>
          </w:p>
        </w:tc>
        <w:tc>
          <w:tcPr>
            <w:tcW w:w="1843" w:type="dxa"/>
            <w:vAlign w:val="center"/>
          </w:tcPr>
          <w:p>
            <w:pPr>
              <w:pStyle w:val="单元格样式2"/>
            </w:pPr>
            <w:r>
              <w:t xml:space="preserve"> 历年经验</w:t>
            </w:r>
          </w:p>
        </w:tc>
      </w:tr>
    </w:tbl>
    <w:p>
      <w:pPr/>
    </w:p>
    <w:sectPr>
      <w:type w:val="nextPage"/>
      <w:pgSz w:w="11900" w:h="16840" w:orient="portrait"/>
      <w:pgMar w:top="1984" w:right="1304" w:bottom="1134" w:left="1304" w:header="720" w:footer="72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/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left"/>
    </w:pPr>
    <w:r>
      <w:fldChar w:fldCharType="begin"/>
    </w:r>
    <w:r>
      <w:instrText xml:space="preserve">PAGE "page number"</w:instrText>
    </w:r>
    <w:r>
      <w:fldChar w:fldCharType="separate"/>
    </w:r>
    <w:r>
      <w:t xml:space="preserve">22</w:t>
    </w:r>
    <w: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>
      <w:fldChar w:fldCharType="begin"/>
    </w:r>
    <w:r>
      <w:instrText xml:space="preserve">PAGE "page number"</w:instrText>
    </w:r>
    <w:r>
      <w:fldChar w:fldCharType="separate"/>
    </w:r>
    <w:r>
      <w:t xml:space="preserve">23</w:t>
    </w:r>
    <w:r>
      <w:fldChar w:fldCharType="end"/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Footer w:val="0"/>
  <w:bordersDoNotSurroundHeader w:val="0"/>
  <w:doNotTrackMoves/>
  <w:defaultTabStop w:val="720.0"/>
  <w:evenAndOddHeaders/>
  <w:characterSpacingControl w:val="doNotCompress"/>
  <w:compat>
    <w:doNotLeaveBackslashAlone/>
    <w:doNotExpandShiftReturn/>
    <w:adjustLineHeightInTable/>
    <w:useFELayout/>
  </w:compat>
  <w:rsids>
    <w:rsidRoot w:val="00000000"/>
  </w:rsids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/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hAnsi="Times New Roman"/>
      <w:sz w:val="24"/>
      <w:szCs w:val="24"/>
      <w:lang w:val="en-US" w:eastAsia="uk-UA" w:bidi="ar-SA"/>
    </w:rPr>
  </w:style>
  <w:style w:type="paragraph" w:styleId="插入文本样式-插入总体目标文件">
    <w:name w:val="插入文本样式-插入总体目标文件"/>
    <w:basedOn w:val="Normal"/>
    <w:qFormat/>
    <w:pPr>
      <w:spacing w:before="0" w:after="0" w:line="500" w:lineRule="exact"/>
      <w:ind w:firstLine="560"/>
      <w:jc w:val="left"/>
      <w:outlineLvl w:val="9"/>
    </w:pPr>
    <w:rPr>
      <w:rFonts w:ascii="Times New Roman" w:eastAsia="方正仿宋_GBK" w:hAnsi="Times New Roman" w:cs="Times New Roman"/>
      <w:b w:val="0"/>
      <w:sz w:val="28"/>
    </w:rPr>
  </w:style>
  <w:style w:type="paragraph" w:styleId="插入文本样式-插入职责分类绩效目标文件">
    <w:name w:val="插入文本样式-插入职责分类绩效目标文件"/>
    <w:basedOn w:val="Normal"/>
    <w:qFormat/>
    <w:pPr>
      <w:spacing w:before="0" w:after="0" w:line="500" w:lineRule="exact"/>
      <w:ind w:firstLine="560"/>
      <w:jc w:val="left"/>
      <w:outlineLvl w:val="9"/>
    </w:pPr>
    <w:rPr>
      <w:rFonts w:ascii="Times New Roman" w:eastAsia="方正仿宋_GBK" w:hAnsi="Times New Roman" w:cs="Times New Roman"/>
      <w:b w:val="0"/>
      <w:sz w:val="28"/>
    </w:rPr>
  </w:style>
  <w:style w:type="paragraph" w:styleId="插入文本样式-插入实现年度发展规划目标的保障措施文件">
    <w:name w:val="插入文本样式-插入实现年度发展规划目标的保障措施文件"/>
    <w:basedOn w:val="Normal"/>
    <w:qFormat/>
    <w:pPr>
      <w:spacing w:before="0" w:after="0" w:line="500" w:lineRule="exact"/>
      <w:ind w:firstLine="560"/>
      <w:jc w:val="left"/>
      <w:outlineLvl w:val="9"/>
    </w:pPr>
    <w:rPr>
      <w:rFonts w:ascii="Times New Roman" w:eastAsia="方正仿宋_GBK" w:hAnsi="Times New Roman" w:cs="Times New Roman"/>
      <w:b w:val="0"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NormalTab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NormalTable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单元格样式4">
    <w:name w:val="单元格样式4"/>
    <w:qFormat/>
    <w:pPr>
      <w:spacing w:before="0" w:after="0"/>
      <w:ind w:firstLine="0"/>
      <w:jc w:val="right"/>
      <w:outlineLvl w:val="9"/>
    </w:pPr>
    <w:rPr>
      <w:rFonts w:ascii="方正书宋_GBK" w:eastAsia="方正书宋_GBK" w:hAnsi="方正书宋_GBK" w:cs="方正书宋_GBK"/>
      <w:sz w:val="21"/>
    </w:rPr>
  </w:style>
  <w:style w:type="paragraph" w:styleId="单元格样式5">
    <w:name w:val="单元格样式5"/>
    <w:qFormat/>
    <w:pPr>
      <w:spacing w:before="0" w:after="0"/>
      <w:ind w:firstLine="0"/>
      <w:jc w:val="left"/>
      <w:outlineLvl w:val="9"/>
    </w:pPr>
    <w:rPr>
      <w:rFonts w:ascii="方正书宋_GBK" w:eastAsia="方正书宋_GBK" w:hAnsi="方正书宋_GBK" w:cs="方正书宋_GBK"/>
      <w:b/>
      <w:sz w:val="21"/>
    </w:rPr>
  </w:style>
  <w:style w:type="paragraph" w:styleId="单元格样式2">
    <w:name w:val="单元格样式2"/>
    <w:qFormat/>
    <w:pPr>
      <w:spacing w:before="0" w:after="0"/>
      <w:ind w:firstLine="0"/>
      <w:jc w:val="left"/>
      <w:outlineLvl w:val="9"/>
    </w:pPr>
    <w:rPr>
      <w:rFonts w:ascii="方正书宋_GBK" w:eastAsia="方正书宋_GBK" w:hAnsi="方正书宋_GBK" w:cs="方正书宋_GBK"/>
      <w:sz w:val="21"/>
    </w:rPr>
  </w:style>
  <w:style w:type="paragraph" w:styleId="单元格样式1">
    <w:name w:val="单元格样式1"/>
    <w:qFormat/>
    <w:pPr>
      <w:spacing w:before="0" w:after="0"/>
      <w:ind w:firstLine="0"/>
      <w:jc w:val="center"/>
      <w:outlineLvl w:val="9"/>
    </w:pPr>
    <w:rPr>
      <w:rFonts w:ascii="方正书宋_GBK" w:eastAsia="方正书宋_GBK" w:hAnsi="方正书宋_GBK" w:cs="方正书宋_GBK"/>
      <w:b/>
      <w:sz w:val="21"/>
    </w:rPr>
  </w:style>
  <w:style w:type="paragraph" w:styleId="单元格样式3">
    <w:name w:val="单元格样式3"/>
    <w:qFormat/>
    <w:pPr>
      <w:spacing w:before="0" w:after="0"/>
      <w:ind w:firstLine="0"/>
      <w:jc w:val="center"/>
      <w:outlineLvl w:val="9"/>
    </w:pPr>
    <w:rPr>
      <w:rFonts w:ascii="方正书宋_GBK" w:eastAsia="方正书宋_GBK" w:hAnsi="方正书宋_GBK" w:cs="方正书宋_GBK"/>
      <w:sz w:val="21"/>
    </w:rPr>
  </w:style>
  <w:style w:type="paragraph" w:styleId="TOC2">
    <w:name w:val="TOC 2"/>
    <w:basedOn w:val="Normal"/>
    <w:qFormat/>
    <w:pPr>
      <w:ind w:left="240"/>
    </w:pPr>
  </w:style>
  <w:style w:type="paragraph" w:styleId="TOC4">
    <w:name w:val="TOC 4"/>
    <w:basedOn w:val="Normal"/>
    <w:qFormat/>
    <w:pPr>
      <w:ind w:left="720"/>
    </w:pPr>
  </w:style>
  <w:style w:type="paragraph" w:styleId="TOC1">
    <w:name w:val="TOC 1"/>
    <w:basedOn w:val="Normal"/>
    <w:qFormat/>
    <w:pPr>
      <w:spacing w:before="120" w:line="240"/>
      <w:ind w:firstLine="0"/>
    </w:pPr>
    <w:rPr>
      <w:rFonts w:ascii="Times New Roman" w:eastAsia="方正仿宋_GBK" w:hAnsi="Times New Roman" w:cs="Times New Roman"/>
      <w:color w:val="000000"/>
      <w:sz w:val="28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oter" Target="footer1.xml" /><Relationship Id="rId4" Type="http://schemas.openxmlformats.org/officeDocument/2006/relationships/footer" Target="footer2.xml" /><Relationship Id="rId5" Type="http://schemas.openxmlformats.org/officeDocument/2006/relationships/theme" Target="theme/theme1.xml" /><Relationship Id="rId6" Type="http://schemas.openxmlformats.org/officeDocument/2006/relationships/styles" Target="styles.xml" /><Relationship Id="rId7" Type="http://schemas.openxmlformats.org/officeDocument/2006/relationships/fontTable" Target="fontTable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Pages>27</Pages>
  <Application>Spire.Doc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1</cp:revision>
  <dcterms:created xsi:type="dcterms:W3CDTF">2026-03-04T15:23:10Z</dcterms:created>
  <dcterms:modified xsi:type="dcterms:W3CDTF">2026-03-04T15:23:10Z</dcterms:modified>
</cp:coreProperties>
</file>