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pPr/>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rPr>
          <w:rFonts w:hint="eastAsia"/>
          <w:lang w:val="en-US" w:eastAsia="zh-CN"/>
        </w:rPr>
        <w:t>2</w:t>
      </w:r>
      <w:r>
        <w:fldChar w:fldCharType="end"/>
      </w:r>
      <w:r>
        <w:fldChar w:fldCharType="end"/>
      </w:r>
      <w:r>
        <w:rPr>
          <w:rFonts w:hint="eastAsia"/>
          <w:lang w:val="en-US" w:eastAsia="zh-CN"/>
        </w:rPr>
        <w:t>0</w:t>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rPr>
          <w:rFonts w:hint="eastAsia"/>
          <w:lang w:val="en-US" w:eastAsia="zh-CN"/>
        </w:rPr>
        <w:t>2</w:t>
      </w:r>
      <w:r>
        <w:fldChar w:fldCharType="end"/>
      </w:r>
      <w:r>
        <w:fldChar w:fldCharType="end"/>
      </w:r>
      <w:r>
        <w:rPr>
          <w:rFonts w:hint="eastAsia"/>
          <w:lang w:val="en-US" w:eastAsia="zh-CN"/>
        </w:rPr>
        <w:t>2</w:t>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2"/>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5</w:t>
      </w:r>
    </w:p>
    <w:p>
      <w:pPr>
        <w:pStyle w:val="2"/>
        <w:tabs>
          <w:tab w:val="right" w:leader="dot" w:pos="14562"/>
        </w:tabs>
        <w:ind w:left="0" w:leftChars="0" w:firstLine="0" w:firstLineChars="0"/>
      </w:pPr>
      <w:r>
        <w:rPr>
          <w:rFonts w:hint="eastAsia"/>
          <w:lang w:val="en-US" w:eastAsia="zh-CN"/>
        </w:rPr>
        <w:t xml:space="preserve">        </w:t>
      </w: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4</w:t>
      </w:r>
      <w:r>
        <w:fldChar w:fldCharType="end"/>
      </w:r>
      <w:r>
        <w:rPr>
          <w:rFonts w:hint="eastAsia"/>
          <w:lang w:val="en-US" w:eastAsia="zh-CN"/>
        </w:rPr>
        <w:t>8</w:t>
      </w:r>
    </w:p>
    <w:p>
      <w:pPr>
        <w:pStyle w:val="2"/>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r>
      <w:r>
        <w:tab/>
      </w:r>
      <w:r>
        <w:rPr>
          <w:rFonts w:hint="eastAsia"/>
          <w:lang w:val="en-US" w:eastAsia="zh-CN"/>
        </w:rPr>
        <w:t>4</w:t>
      </w:r>
      <w:r>
        <w:fldChar w:fldCharType="end"/>
      </w:r>
      <w:r>
        <w:rPr>
          <w:rFonts w:hint="eastAsia"/>
          <w:lang w:val="en-US" w:eastAsia="zh-CN"/>
        </w:rPr>
        <w:t>8</w:t>
      </w:r>
    </w:p>
    <w:p>
      <w:pPr>
        <w:pStyle w:val="2"/>
        <w:tabs>
          <w:tab w:val="right" w:leader="dot" w:pos="14562"/>
        </w:tabs>
      </w:pPr>
      <w:r>
        <w:fldChar w:fldCharType="begin"/>
      </w:r>
      <w:r>
        <w:instrText xml:space="preserve"> HYPERLINK \l "_Toc_3_3_0000000019" </w:instrText>
      </w:r>
      <w:r>
        <w:fldChar w:fldCharType="separate"/>
      </w:r>
      <w:r>
        <w:rPr>
          <w:rFonts w:hint="eastAsia"/>
          <w:lang w:val="en-US" w:eastAsia="zh-CN"/>
        </w:rPr>
        <w:t>八</w:t>
      </w:r>
      <w:r>
        <w:t>、名词解释</w:t>
      </w:r>
      <w:r>
        <w:tab/>
      </w:r>
      <w:r>
        <w:rPr>
          <w:rFonts w:hint="eastAsia"/>
          <w:lang w:val="en-US" w:eastAsia="zh-CN"/>
        </w:rPr>
        <w:t>4</w:t>
      </w:r>
      <w:r>
        <w:fldChar w:fldCharType="end"/>
      </w:r>
      <w:r>
        <w:rPr>
          <w:rFonts w:hint="eastAsia"/>
          <w:lang w:val="en-US" w:eastAsia="zh-CN"/>
        </w:rPr>
        <w:t>8</w:t>
      </w:r>
    </w:p>
    <w:p>
      <w:pPr>
        <w:pStyle w:val="2"/>
        <w:tabs>
          <w:tab w:val="right" w:leader="dot" w:pos="14562"/>
        </w:tabs>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5</w:t>
      </w:r>
      <w:r>
        <w:rPr>
          <w:rFonts w:hint="eastAsia"/>
          <w:lang w:val="en-US" w:eastAsia="zh-CN"/>
        </w:rPr>
        <w:t>0</w:t>
      </w:r>
      <w:r>
        <w:fldChar w:fldCharType="end"/>
      </w:r>
      <w:r>
        <w:fldChar w:fldCharType="end"/>
      </w:r>
    </w:p>
    <w:p>
      <w:pPr>
        <w:pStyle w:val="2"/>
        <w:tabs>
          <w:tab w:val="right" w:leader="dot" w:pos="14562"/>
        </w:tabs>
      </w:pP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一、正定县新城铺镇人民政府本级收支预算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1673.70</w:t>
            </w:r>
          </w:p>
        </w:tc>
        <w:tc>
          <w:tcPr>
            <w:tcW w:w="4535" w:type="dxa"/>
            <w:vAlign w:val="center"/>
          </w:tcPr>
          <w:p>
            <w:pPr>
              <w:pStyle w:val="12"/>
            </w:pPr>
            <w:r>
              <w:t>一、一般公共服务支出</w:t>
            </w:r>
          </w:p>
        </w:tc>
        <w:tc>
          <w:tcPr>
            <w:tcW w:w="2126" w:type="dxa"/>
            <w:vAlign w:val="center"/>
          </w:tcPr>
          <w:p>
            <w:pPr>
              <w:pStyle w:val="11"/>
            </w:pPr>
            <w:r>
              <w:t>1013.68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34.28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449.29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75.66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1107.50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1707.98</w:t>
            </w:r>
          </w:p>
        </w:tc>
        <w:tc>
          <w:tcPr>
            <w:tcW w:w="4535" w:type="dxa"/>
            <w:vAlign w:val="center"/>
          </w:tcPr>
          <w:p>
            <w:pPr>
              <w:pStyle w:val="14"/>
            </w:pPr>
            <w:r>
              <w:t>本年支出合计</w:t>
            </w:r>
          </w:p>
        </w:tc>
        <w:tc>
          <w:tcPr>
            <w:tcW w:w="2126" w:type="dxa"/>
            <w:vAlign w:val="center"/>
          </w:tcPr>
          <w:p>
            <w:pPr>
              <w:pStyle w:val="15"/>
            </w:pPr>
            <w:r>
              <w:t>2909.88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1201.90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2909.88</w:t>
            </w:r>
          </w:p>
        </w:tc>
        <w:tc>
          <w:tcPr>
            <w:tcW w:w="4535" w:type="dxa"/>
            <w:vAlign w:val="center"/>
          </w:tcPr>
          <w:p>
            <w:pPr>
              <w:pStyle w:val="14"/>
            </w:pPr>
            <w:r>
              <w:t>支出总计</w:t>
            </w:r>
          </w:p>
        </w:tc>
        <w:tc>
          <w:tcPr>
            <w:tcW w:w="2126" w:type="dxa"/>
            <w:vAlign w:val="center"/>
          </w:tcPr>
          <w:p>
            <w:pPr>
              <w:pStyle w:val="15"/>
            </w:pPr>
            <w:r>
              <w:t>2909.88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2909.88</w:t>
            </w:r>
          </w:p>
        </w:tc>
        <w:tc>
          <w:tcPr>
            <w:tcW w:w="1134" w:type="dxa"/>
            <w:vAlign w:val="center"/>
          </w:tcPr>
          <w:p>
            <w:pPr>
              <w:pStyle w:val="15"/>
            </w:pPr>
            <w:r>
              <w:t>1707.98</w:t>
            </w:r>
          </w:p>
        </w:tc>
        <w:tc>
          <w:tcPr>
            <w:tcW w:w="1134" w:type="dxa"/>
            <w:vAlign w:val="center"/>
          </w:tcPr>
          <w:p>
            <w:pPr>
              <w:pStyle w:val="15"/>
            </w:pPr>
            <w:r>
              <w:t>1707.98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1201.90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r>
              <w:t>1013.68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164.37</w:t>
            </w:r>
          </w:p>
        </w:tc>
        <w:tc>
          <w:tcPr>
            <w:tcW w:w="1134" w:type="dxa"/>
            <w:vAlign w:val="center"/>
          </w:tcPr>
          <w:p>
            <w:pPr>
              <w:pStyle w:val="11"/>
            </w:pPr>
            <w:r>
              <w:t>164.37</w:t>
            </w:r>
          </w:p>
        </w:tc>
        <w:tc>
          <w:tcPr>
            <w:tcW w:w="1134" w:type="dxa"/>
            <w:vAlign w:val="center"/>
          </w:tcPr>
          <w:p>
            <w:pPr>
              <w:pStyle w:val="11"/>
            </w:pPr>
            <w:r>
              <w:t>164.37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160.05</w:t>
            </w:r>
          </w:p>
        </w:tc>
        <w:tc>
          <w:tcPr>
            <w:tcW w:w="1134" w:type="dxa"/>
            <w:vAlign w:val="center"/>
          </w:tcPr>
          <w:p>
            <w:pPr>
              <w:pStyle w:val="11"/>
            </w:pPr>
            <w:r>
              <w:t>160.05</w:t>
            </w:r>
          </w:p>
        </w:tc>
        <w:tc>
          <w:tcPr>
            <w:tcW w:w="1134" w:type="dxa"/>
            <w:vAlign w:val="center"/>
          </w:tcPr>
          <w:p>
            <w:pPr>
              <w:pStyle w:val="11"/>
            </w:pPr>
            <w:r>
              <w:t>160.05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74.27</w:t>
            </w:r>
          </w:p>
        </w:tc>
        <w:tc>
          <w:tcPr>
            <w:tcW w:w="1134" w:type="dxa"/>
            <w:vAlign w:val="center"/>
          </w:tcPr>
          <w:p>
            <w:pPr>
              <w:pStyle w:val="11"/>
            </w:pPr>
            <w:r>
              <w:t>74.27</w:t>
            </w:r>
          </w:p>
        </w:tc>
        <w:tc>
          <w:tcPr>
            <w:tcW w:w="1134" w:type="dxa"/>
            <w:vAlign w:val="center"/>
          </w:tcPr>
          <w:p>
            <w:pPr>
              <w:pStyle w:val="11"/>
            </w:pPr>
            <w:r>
              <w:t>74.27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85.78</w:t>
            </w:r>
          </w:p>
        </w:tc>
        <w:tc>
          <w:tcPr>
            <w:tcW w:w="1134" w:type="dxa"/>
            <w:vAlign w:val="center"/>
          </w:tcPr>
          <w:p>
            <w:pPr>
              <w:pStyle w:val="11"/>
            </w:pPr>
            <w:r>
              <w:t>85.78</w:t>
            </w:r>
          </w:p>
        </w:tc>
        <w:tc>
          <w:tcPr>
            <w:tcW w:w="1134" w:type="dxa"/>
            <w:vAlign w:val="center"/>
          </w:tcPr>
          <w:p>
            <w:pPr>
              <w:pStyle w:val="11"/>
            </w:pPr>
            <w:r>
              <w:t>85.78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60.10</w:t>
            </w:r>
          </w:p>
        </w:tc>
        <w:tc>
          <w:tcPr>
            <w:tcW w:w="1134" w:type="dxa"/>
            <w:vAlign w:val="center"/>
          </w:tcPr>
          <w:p>
            <w:pPr>
              <w:pStyle w:val="11"/>
            </w:pPr>
            <w:r>
              <w:t>60.10</w:t>
            </w:r>
          </w:p>
        </w:tc>
        <w:tc>
          <w:tcPr>
            <w:tcW w:w="1134" w:type="dxa"/>
            <w:vAlign w:val="center"/>
          </w:tcPr>
          <w:p>
            <w:pPr>
              <w:pStyle w:val="11"/>
            </w:pPr>
            <w:r>
              <w:t>60.10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60.10</w:t>
            </w:r>
          </w:p>
        </w:tc>
        <w:tc>
          <w:tcPr>
            <w:tcW w:w="1134" w:type="dxa"/>
            <w:vAlign w:val="center"/>
          </w:tcPr>
          <w:p>
            <w:pPr>
              <w:pStyle w:val="11"/>
            </w:pPr>
            <w:r>
              <w:t>60.10</w:t>
            </w:r>
          </w:p>
        </w:tc>
        <w:tc>
          <w:tcPr>
            <w:tcW w:w="1134" w:type="dxa"/>
            <w:vAlign w:val="center"/>
          </w:tcPr>
          <w:p>
            <w:pPr>
              <w:pStyle w:val="11"/>
            </w:pPr>
            <w:r>
              <w:t>60.10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32.49</w:t>
            </w:r>
          </w:p>
        </w:tc>
        <w:tc>
          <w:tcPr>
            <w:tcW w:w="1134" w:type="dxa"/>
            <w:vAlign w:val="center"/>
          </w:tcPr>
          <w:p>
            <w:pPr>
              <w:pStyle w:val="11"/>
            </w:pPr>
            <w:r>
              <w:t>32.49</w:t>
            </w:r>
          </w:p>
        </w:tc>
        <w:tc>
          <w:tcPr>
            <w:tcW w:w="1134" w:type="dxa"/>
            <w:vAlign w:val="center"/>
          </w:tcPr>
          <w:p>
            <w:pPr>
              <w:pStyle w:val="11"/>
            </w:pPr>
            <w:r>
              <w:t>32.49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27.61</w:t>
            </w:r>
          </w:p>
        </w:tc>
        <w:tc>
          <w:tcPr>
            <w:tcW w:w="1134" w:type="dxa"/>
            <w:vAlign w:val="center"/>
          </w:tcPr>
          <w:p>
            <w:pPr>
              <w:pStyle w:val="11"/>
            </w:pPr>
            <w:r>
              <w:t>27.61</w:t>
            </w:r>
          </w:p>
        </w:tc>
        <w:tc>
          <w:tcPr>
            <w:tcW w:w="1134" w:type="dxa"/>
            <w:vAlign w:val="center"/>
          </w:tcPr>
          <w:p>
            <w:pPr>
              <w:pStyle w:val="11"/>
            </w:pPr>
            <w:r>
              <w:t>27.61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r>
              <w:t>34.28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449.29</w:t>
            </w:r>
          </w:p>
        </w:tc>
        <w:tc>
          <w:tcPr>
            <w:tcW w:w="1134" w:type="dxa"/>
            <w:vAlign w:val="center"/>
          </w:tcPr>
          <w:p>
            <w:pPr>
              <w:pStyle w:val="11"/>
            </w:pPr>
            <w:r>
              <w:t>354.89</w:t>
            </w:r>
          </w:p>
        </w:tc>
        <w:tc>
          <w:tcPr>
            <w:tcW w:w="1134" w:type="dxa"/>
            <w:vAlign w:val="center"/>
          </w:tcPr>
          <w:p>
            <w:pPr>
              <w:pStyle w:val="11"/>
            </w:pPr>
            <w:r>
              <w:t>354.89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449.29</w:t>
            </w:r>
          </w:p>
        </w:tc>
        <w:tc>
          <w:tcPr>
            <w:tcW w:w="1134" w:type="dxa"/>
            <w:vAlign w:val="center"/>
          </w:tcPr>
          <w:p>
            <w:pPr>
              <w:pStyle w:val="11"/>
            </w:pPr>
            <w:r>
              <w:t>354.89</w:t>
            </w:r>
          </w:p>
        </w:tc>
        <w:tc>
          <w:tcPr>
            <w:tcW w:w="1134" w:type="dxa"/>
            <w:vAlign w:val="center"/>
          </w:tcPr>
          <w:p>
            <w:pPr>
              <w:pStyle w:val="11"/>
            </w:pPr>
            <w:r>
              <w:t>354.89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118.00</w:t>
            </w:r>
          </w:p>
        </w:tc>
        <w:tc>
          <w:tcPr>
            <w:tcW w:w="1134" w:type="dxa"/>
            <w:vAlign w:val="center"/>
          </w:tcPr>
          <w:p>
            <w:pPr>
              <w:pStyle w:val="11"/>
            </w:pPr>
            <w:r>
              <w:t>23.60</w:t>
            </w:r>
          </w:p>
        </w:tc>
        <w:tc>
          <w:tcPr>
            <w:tcW w:w="1134" w:type="dxa"/>
            <w:vAlign w:val="center"/>
          </w:tcPr>
          <w:p>
            <w:pPr>
              <w:pStyle w:val="11"/>
            </w:pPr>
            <w:r>
              <w:t>23.60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331.29</w:t>
            </w:r>
          </w:p>
        </w:tc>
        <w:tc>
          <w:tcPr>
            <w:tcW w:w="1134" w:type="dxa"/>
            <w:vAlign w:val="center"/>
          </w:tcPr>
          <w:p>
            <w:pPr>
              <w:pStyle w:val="11"/>
            </w:pPr>
            <w:r>
              <w:t>331.29</w:t>
            </w:r>
          </w:p>
        </w:tc>
        <w:tc>
          <w:tcPr>
            <w:tcW w:w="1134" w:type="dxa"/>
            <w:vAlign w:val="center"/>
          </w:tcPr>
          <w:p>
            <w:pPr>
              <w:pStyle w:val="11"/>
            </w:pPr>
            <w:r>
              <w:t>331.29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r>
              <w:t>75.66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1107.50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1107.50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1107.50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1107.50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2909.88</w:t>
            </w:r>
          </w:p>
        </w:tc>
        <w:tc>
          <w:tcPr>
            <w:tcW w:w="1361" w:type="dxa"/>
            <w:vAlign w:val="center"/>
          </w:tcPr>
          <w:p>
            <w:pPr>
              <w:pStyle w:val="15"/>
            </w:pPr>
            <w:r>
              <w:t>1220.99</w:t>
            </w:r>
          </w:p>
        </w:tc>
        <w:tc>
          <w:tcPr>
            <w:tcW w:w="1361" w:type="dxa"/>
            <w:vAlign w:val="center"/>
          </w:tcPr>
          <w:p>
            <w:pPr>
              <w:pStyle w:val="15"/>
            </w:pPr>
            <w:r>
              <w:t>1688.89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1013.68</w:t>
            </w:r>
          </w:p>
        </w:tc>
        <w:tc>
          <w:tcPr>
            <w:tcW w:w="1361" w:type="dxa"/>
            <w:vAlign w:val="center"/>
          </w:tcPr>
          <w:p>
            <w:pPr>
              <w:pStyle w:val="11"/>
            </w:pPr>
            <w:r>
              <w:t>925.18</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1013.68</w:t>
            </w:r>
          </w:p>
        </w:tc>
        <w:tc>
          <w:tcPr>
            <w:tcW w:w="1361" w:type="dxa"/>
            <w:vAlign w:val="center"/>
          </w:tcPr>
          <w:p>
            <w:pPr>
              <w:pStyle w:val="11"/>
            </w:pPr>
            <w:r>
              <w:t>925.18</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1013.68</w:t>
            </w:r>
          </w:p>
        </w:tc>
        <w:tc>
          <w:tcPr>
            <w:tcW w:w="1361" w:type="dxa"/>
            <w:vAlign w:val="center"/>
          </w:tcPr>
          <w:p>
            <w:pPr>
              <w:pStyle w:val="11"/>
            </w:pPr>
            <w:r>
              <w:t>925.18</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164.37</w:t>
            </w:r>
          </w:p>
        </w:tc>
        <w:tc>
          <w:tcPr>
            <w:tcW w:w="1361" w:type="dxa"/>
            <w:vAlign w:val="center"/>
          </w:tcPr>
          <w:p>
            <w:pPr>
              <w:pStyle w:val="11"/>
            </w:pPr>
            <w:r>
              <w:t>160.05</w:t>
            </w: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160.05</w:t>
            </w:r>
          </w:p>
        </w:tc>
        <w:tc>
          <w:tcPr>
            <w:tcW w:w="1361" w:type="dxa"/>
            <w:vAlign w:val="center"/>
          </w:tcPr>
          <w:p>
            <w:pPr>
              <w:pStyle w:val="11"/>
            </w:pPr>
            <w:r>
              <w:t>160.05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74.27</w:t>
            </w:r>
          </w:p>
        </w:tc>
        <w:tc>
          <w:tcPr>
            <w:tcW w:w="1361" w:type="dxa"/>
            <w:vAlign w:val="center"/>
          </w:tcPr>
          <w:p>
            <w:pPr>
              <w:pStyle w:val="11"/>
            </w:pPr>
            <w:r>
              <w:t>74.27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85.78</w:t>
            </w:r>
          </w:p>
        </w:tc>
        <w:tc>
          <w:tcPr>
            <w:tcW w:w="1361" w:type="dxa"/>
            <w:vAlign w:val="center"/>
          </w:tcPr>
          <w:p>
            <w:pPr>
              <w:pStyle w:val="11"/>
            </w:pPr>
            <w:r>
              <w:t>85.78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60.10</w:t>
            </w:r>
          </w:p>
        </w:tc>
        <w:tc>
          <w:tcPr>
            <w:tcW w:w="1361" w:type="dxa"/>
            <w:vAlign w:val="center"/>
          </w:tcPr>
          <w:p>
            <w:pPr>
              <w:pStyle w:val="11"/>
            </w:pPr>
            <w:r>
              <w:t>60.10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60.10</w:t>
            </w:r>
          </w:p>
        </w:tc>
        <w:tc>
          <w:tcPr>
            <w:tcW w:w="1361" w:type="dxa"/>
            <w:vAlign w:val="center"/>
          </w:tcPr>
          <w:p>
            <w:pPr>
              <w:pStyle w:val="11"/>
            </w:pPr>
            <w:r>
              <w:t>60.10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32.49</w:t>
            </w:r>
          </w:p>
        </w:tc>
        <w:tc>
          <w:tcPr>
            <w:tcW w:w="1361" w:type="dxa"/>
            <w:vAlign w:val="center"/>
          </w:tcPr>
          <w:p>
            <w:pPr>
              <w:pStyle w:val="11"/>
            </w:pPr>
            <w:r>
              <w:t>32.49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27.61</w:t>
            </w:r>
          </w:p>
        </w:tc>
        <w:tc>
          <w:tcPr>
            <w:tcW w:w="1361" w:type="dxa"/>
            <w:vAlign w:val="center"/>
          </w:tcPr>
          <w:p>
            <w:pPr>
              <w:pStyle w:val="11"/>
            </w:pPr>
            <w:r>
              <w:t>27.61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r>
              <w:t>34.28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449.29</w:t>
            </w:r>
          </w:p>
        </w:tc>
        <w:tc>
          <w:tcPr>
            <w:tcW w:w="1361" w:type="dxa"/>
            <w:vAlign w:val="center"/>
          </w:tcPr>
          <w:p>
            <w:pPr>
              <w:pStyle w:val="11"/>
            </w:pPr>
          </w:p>
        </w:tc>
        <w:tc>
          <w:tcPr>
            <w:tcW w:w="1361" w:type="dxa"/>
            <w:vAlign w:val="center"/>
          </w:tcPr>
          <w:p>
            <w:pPr>
              <w:pStyle w:val="11"/>
            </w:pPr>
            <w:r>
              <w:t>449.29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449.29</w:t>
            </w:r>
          </w:p>
        </w:tc>
        <w:tc>
          <w:tcPr>
            <w:tcW w:w="1361" w:type="dxa"/>
            <w:vAlign w:val="center"/>
          </w:tcPr>
          <w:p>
            <w:pPr>
              <w:pStyle w:val="11"/>
            </w:pPr>
          </w:p>
        </w:tc>
        <w:tc>
          <w:tcPr>
            <w:tcW w:w="1361" w:type="dxa"/>
            <w:vAlign w:val="center"/>
          </w:tcPr>
          <w:p>
            <w:pPr>
              <w:pStyle w:val="11"/>
            </w:pPr>
            <w:r>
              <w:t>449.29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331.29</w:t>
            </w:r>
          </w:p>
        </w:tc>
        <w:tc>
          <w:tcPr>
            <w:tcW w:w="1361" w:type="dxa"/>
            <w:vAlign w:val="center"/>
          </w:tcPr>
          <w:p>
            <w:pPr>
              <w:pStyle w:val="11"/>
            </w:pPr>
          </w:p>
        </w:tc>
        <w:tc>
          <w:tcPr>
            <w:tcW w:w="1361" w:type="dxa"/>
            <w:vAlign w:val="center"/>
          </w:tcPr>
          <w:p>
            <w:pPr>
              <w:pStyle w:val="11"/>
            </w:pPr>
            <w:r>
              <w:t>331.29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75.66</w:t>
            </w:r>
          </w:p>
        </w:tc>
        <w:tc>
          <w:tcPr>
            <w:tcW w:w="1361" w:type="dxa"/>
            <w:vAlign w:val="center"/>
          </w:tcPr>
          <w:p>
            <w:pPr>
              <w:pStyle w:val="11"/>
            </w:pPr>
            <w:r>
              <w:t>75.66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75.66</w:t>
            </w:r>
          </w:p>
        </w:tc>
        <w:tc>
          <w:tcPr>
            <w:tcW w:w="1361" w:type="dxa"/>
            <w:vAlign w:val="center"/>
          </w:tcPr>
          <w:p>
            <w:pPr>
              <w:pStyle w:val="11"/>
            </w:pPr>
            <w:r>
              <w:t>75.66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75.66</w:t>
            </w:r>
          </w:p>
        </w:tc>
        <w:tc>
          <w:tcPr>
            <w:tcW w:w="1361" w:type="dxa"/>
            <w:vAlign w:val="center"/>
          </w:tcPr>
          <w:p>
            <w:pPr>
              <w:pStyle w:val="11"/>
            </w:pPr>
            <w:r>
              <w:t>75.66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r>
              <w:t>1107.50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1673.70</w:t>
            </w:r>
          </w:p>
        </w:tc>
        <w:tc>
          <w:tcPr>
            <w:tcW w:w="3402" w:type="dxa"/>
            <w:vAlign w:val="center"/>
          </w:tcPr>
          <w:p>
            <w:pPr>
              <w:pStyle w:val="12"/>
            </w:pPr>
            <w:r>
              <w:t>一、一般公共服务支出</w:t>
            </w:r>
          </w:p>
        </w:tc>
        <w:tc>
          <w:tcPr>
            <w:tcW w:w="1474" w:type="dxa"/>
            <w:vAlign w:val="center"/>
          </w:tcPr>
          <w:p>
            <w:pPr>
              <w:pStyle w:val="11"/>
            </w:pPr>
            <w:r>
              <w:t>1013.68</w:t>
            </w:r>
          </w:p>
        </w:tc>
        <w:tc>
          <w:tcPr>
            <w:tcW w:w="1474" w:type="dxa"/>
            <w:vAlign w:val="center"/>
          </w:tcPr>
          <w:p>
            <w:pPr>
              <w:pStyle w:val="11"/>
            </w:pPr>
            <w:r>
              <w:t>1013.68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34.28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164.37</w:t>
            </w:r>
          </w:p>
        </w:tc>
        <w:tc>
          <w:tcPr>
            <w:tcW w:w="1474" w:type="dxa"/>
            <w:vAlign w:val="center"/>
          </w:tcPr>
          <w:p>
            <w:pPr>
              <w:pStyle w:val="11"/>
            </w:pPr>
            <w:r>
              <w:t>164.37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60.10</w:t>
            </w:r>
          </w:p>
        </w:tc>
        <w:tc>
          <w:tcPr>
            <w:tcW w:w="1474" w:type="dxa"/>
            <w:vAlign w:val="center"/>
          </w:tcPr>
          <w:p>
            <w:pPr>
              <w:pStyle w:val="11"/>
            </w:pPr>
            <w:r>
              <w:t>60.10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34.28</w:t>
            </w:r>
          </w:p>
        </w:tc>
        <w:tc>
          <w:tcPr>
            <w:tcW w:w="1474" w:type="dxa"/>
            <w:vAlign w:val="center"/>
          </w:tcPr>
          <w:p>
            <w:pPr>
              <w:pStyle w:val="11"/>
            </w:pPr>
          </w:p>
        </w:tc>
        <w:tc>
          <w:tcPr>
            <w:tcW w:w="1474" w:type="dxa"/>
            <w:vAlign w:val="center"/>
          </w:tcPr>
          <w:p>
            <w:pPr>
              <w:pStyle w:val="11"/>
            </w:pPr>
            <w:r>
              <w:t>34.28</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449.29</w:t>
            </w:r>
          </w:p>
        </w:tc>
        <w:tc>
          <w:tcPr>
            <w:tcW w:w="1474" w:type="dxa"/>
            <w:vAlign w:val="center"/>
          </w:tcPr>
          <w:p>
            <w:pPr>
              <w:pStyle w:val="11"/>
            </w:pPr>
            <w:r>
              <w:t>449.29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75.66</w:t>
            </w:r>
          </w:p>
        </w:tc>
        <w:tc>
          <w:tcPr>
            <w:tcW w:w="1474" w:type="dxa"/>
            <w:vAlign w:val="center"/>
          </w:tcPr>
          <w:p>
            <w:pPr>
              <w:pStyle w:val="11"/>
            </w:pPr>
            <w:r>
              <w:t>75.66</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1107.50</w:t>
            </w:r>
          </w:p>
        </w:tc>
        <w:tc>
          <w:tcPr>
            <w:tcW w:w="1474" w:type="dxa"/>
            <w:vAlign w:val="center"/>
          </w:tcPr>
          <w:p>
            <w:pPr>
              <w:pStyle w:val="11"/>
            </w:pPr>
          </w:p>
        </w:tc>
        <w:tc>
          <w:tcPr>
            <w:tcW w:w="1474" w:type="dxa"/>
            <w:vAlign w:val="center"/>
          </w:tcPr>
          <w:p>
            <w:pPr>
              <w:pStyle w:val="11"/>
            </w:pPr>
            <w:r>
              <w:t>1107.50</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1707.98</w:t>
            </w:r>
          </w:p>
        </w:tc>
        <w:tc>
          <w:tcPr>
            <w:tcW w:w="3402" w:type="dxa"/>
            <w:vAlign w:val="center"/>
          </w:tcPr>
          <w:p>
            <w:pPr>
              <w:pStyle w:val="14"/>
            </w:pPr>
            <w:r>
              <w:t>本年支出合计</w:t>
            </w:r>
          </w:p>
        </w:tc>
        <w:tc>
          <w:tcPr>
            <w:tcW w:w="1474" w:type="dxa"/>
            <w:vAlign w:val="center"/>
          </w:tcPr>
          <w:p>
            <w:pPr>
              <w:pStyle w:val="15"/>
            </w:pPr>
            <w:r>
              <w:t>2909.88</w:t>
            </w:r>
          </w:p>
        </w:tc>
        <w:tc>
          <w:tcPr>
            <w:tcW w:w="1474" w:type="dxa"/>
            <w:vAlign w:val="center"/>
          </w:tcPr>
          <w:p>
            <w:pPr>
              <w:pStyle w:val="15"/>
            </w:pPr>
            <w:r>
              <w:t>1768.10</w:t>
            </w:r>
          </w:p>
        </w:tc>
        <w:tc>
          <w:tcPr>
            <w:tcW w:w="1474" w:type="dxa"/>
            <w:vAlign w:val="center"/>
          </w:tcPr>
          <w:p>
            <w:pPr>
              <w:pStyle w:val="15"/>
            </w:pPr>
            <w:r>
              <w:t>1141.78</w:t>
            </w: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1201.90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94.40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1107.50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2909.88</w:t>
            </w:r>
          </w:p>
        </w:tc>
        <w:tc>
          <w:tcPr>
            <w:tcW w:w="3402" w:type="dxa"/>
            <w:vAlign w:val="center"/>
          </w:tcPr>
          <w:p>
            <w:pPr>
              <w:pStyle w:val="14"/>
            </w:pPr>
            <w:r>
              <w:t>支出总计</w:t>
            </w:r>
          </w:p>
        </w:tc>
        <w:tc>
          <w:tcPr>
            <w:tcW w:w="1474" w:type="dxa"/>
            <w:vAlign w:val="center"/>
          </w:tcPr>
          <w:p>
            <w:pPr>
              <w:pStyle w:val="15"/>
            </w:pPr>
            <w:r>
              <w:t>2909.88</w:t>
            </w:r>
          </w:p>
        </w:tc>
        <w:tc>
          <w:tcPr>
            <w:tcW w:w="1474" w:type="dxa"/>
            <w:vAlign w:val="center"/>
          </w:tcPr>
          <w:p>
            <w:pPr>
              <w:pStyle w:val="15"/>
            </w:pPr>
            <w:r>
              <w:t>1768.10</w:t>
            </w:r>
          </w:p>
        </w:tc>
        <w:tc>
          <w:tcPr>
            <w:tcW w:w="1474" w:type="dxa"/>
            <w:vAlign w:val="center"/>
          </w:tcPr>
          <w:p>
            <w:pPr>
              <w:pStyle w:val="15"/>
            </w:pPr>
            <w:r>
              <w:t>1141.78</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1768.10</w:t>
            </w:r>
          </w:p>
        </w:tc>
        <w:tc>
          <w:tcPr>
            <w:tcW w:w="2551" w:type="dxa"/>
            <w:vAlign w:val="center"/>
          </w:tcPr>
          <w:p>
            <w:pPr>
              <w:pStyle w:val="15"/>
            </w:pPr>
            <w:r>
              <w:t>1220.99</w:t>
            </w:r>
          </w:p>
        </w:tc>
        <w:tc>
          <w:tcPr>
            <w:tcW w:w="2551" w:type="dxa"/>
            <w:vAlign w:val="center"/>
          </w:tcPr>
          <w:p>
            <w:pPr>
              <w:pStyle w:val="15"/>
            </w:pPr>
            <w:r>
              <w:t>547.11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1013.68</w:t>
            </w:r>
          </w:p>
        </w:tc>
        <w:tc>
          <w:tcPr>
            <w:tcW w:w="2551" w:type="dxa"/>
            <w:vAlign w:val="center"/>
          </w:tcPr>
          <w:p>
            <w:pPr>
              <w:pStyle w:val="11"/>
            </w:pPr>
            <w:r>
              <w:t>925.18</w:t>
            </w:r>
          </w:p>
        </w:tc>
        <w:tc>
          <w:tcPr>
            <w:tcW w:w="2551" w:type="dxa"/>
            <w:vAlign w:val="center"/>
          </w:tcPr>
          <w:p>
            <w:pPr>
              <w:pStyle w:val="11"/>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1013.68</w:t>
            </w:r>
          </w:p>
        </w:tc>
        <w:tc>
          <w:tcPr>
            <w:tcW w:w="2551" w:type="dxa"/>
            <w:vAlign w:val="center"/>
          </w:tcPr>
          <w:p>
            <w:pPr>
              <w:pStyle w:val="11"/>
            </w:pPr>
            <w:r>
              <w:t>925.18</w:t>
            </w:r>
          </w:p>
        </w:tc>
        <w:tc>
          <w:tcPr>
            <w:tcW w:w="2551" w:type="dxa"/>
            <w:vAlign w:val="center"/>
          </w:tcPr>
          <w:p>
            <w:pPr>
              <w:pStyle w:val="11"/>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1013.68</w:t>
            </w:r>
          </w:p>
        </w:tc>
        <w:tc>
          <w:tcPr>
            <w:tcW w:w="2551" w:type="dxa"/>
            <w:vAlign w:val="center"/>
          </w:tcPr>
          <w:p>
            <w:pPr>
              <w:pStyle w:val="11"/>
            </w:pPr>
            <w:r>
              <w:t>925.18</w:t>
            </w:r>
          </w:p>
        </w:tc>
        <w:tc>
          <w:tcPr>
            <w:tcW w:w="2551" w:type="dxa"/>
            <w:vAlign w:val="center"/>
          </w:tcPr>
          <w:p>
            <w:pPr>
              <w:pStyle w:val="11"/>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164.37</w:t>
            </w:r>
          </w:p>
        </w:tc>
        <w:tc>
          <w:tcPr>
            <w:tcW w:w="2551" w:type="dxa"/>
            <w:vAlign w:val="center"/>
          </w:tcPr>
          <w:p>
            <w:pPr>
              <w:pStyle w:val="11"/>
            </w:pPr>
            <w:r>
              <w:t>160.05</w:t>
            </w: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160.05</w:t>
            </w:r>
          </w:p>
        </w:tc>
        <w:tc>
          <w:tcPr>
            <w:tcW w:w="2551" w:type="dxa"/>
            <w:vAlign w:val="center"/>
          </w:tcPr>
          <w:p>
            <w:pPr>
              <w:pStyle w:val="11"/>
            </w:pPr>
            <w:r>
              <w:t>160.05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74.27</w:t>
            </w:r>
          </w:p>
        </w:tc>
        <w:tc>
          <w:tcPr>
            <w:tcW w:w="2551" w:type="dxa"/>
            <w:vAlign w:val="center"/>
          </w:tcPr>
          <w:p>
            <w:pPr>
              <w:pStyle w:val="11"/>
            </w:pPr>
            <w:r>
              <w:t>74.27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85.78</w:t>
            </w:r>
          </w:p>
        </w:tc>
        <w:tc>
          <w:tcPr>
            <w:tcW w:w="2551" w:type="dxa"/>
            <w:vAlign w:val="center"/>
          </w:tcPr>
          <w:p>
            <w:pPr>
              <w:pStyle w:val="11"/>
            </w:pPr>
            <w:r>
              <w:t>85.78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60.10</w:t>
            </w:r>
          </w:p>
        </w:tc>
        <w:tc>
          <w:tcPr>
            <w:tcW w:w="2551" w:type="dxa"/>
            <w:vAlign w:val="center"/>
          </w:tcPr>
          <w:p>
            <w:pPr>
              <w:pStyle w:val="11"/>
            </w:pPr>
            <w:r>
              <w:t>60.10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60.10</w:t>
            </w:r>
          </w:p>
        </w:tc>
        <w:tc>
          <w:tcPr>
            <w:tcW w:w="2551" w:type="dxa"/>
            <w:vAlign w:val="center"/>
          </w:tcPr>
          <w:p>
            <w:pPr>
              <w:pStyle w:val="11"/>
            </w:pPr>
            <w:r>
              <w:t>60.10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32.49</w:t>
            </w:r>
          </w:p>
        </w:tc>
        <w:tc>
          <w:tcPr>
            <w:tcW w:w="2551" w:type="dxa"/>
            <w:vAlign w:val="center"/>
          </w:tcPr>
          <w:p>
            <w:pPr>
              <w:pStyle w:val="11"/>
            </w:pPr>
            <w:r>
              <w:t>32.49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27.61</w:t>
            </w:r>
          </w:p>
        </w:tc>
        <w:tc>
          <w:tcPr>
            <w:tcW w:w="2551" w:type="dxa"/>
            <w:vAlign w:val="center"/>
          </w:tcPr>
          <w:p>
            <w:pPr>
              <w:pStyle w:val="11"/>
            </w:pPr>
            <w:r>
              <w:t>27.61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449.29</w:t>
            </w:r>
          </w:p>
        </w:tc>
        <w:tc>
          <w:tcPr>
            <w:tcW w:w="2551" w:type="dxa"/>
            <w:vAlign w:val="center"/>
          </w:tcPr>
          <w:p>
            <w:pPr>
              <w:pStyle w:val="11"/>
            </w:pPr>
          </w:p>
        </w:tc>
        <w:tc>
          <w:tcPr>
            <w:tcW w:w="2551" w:type="dxa"/>
            <w:vAlign w:val="center"/>
          </w:tcPr>
          <w:p>
            <w:pPr>
              <w:pStyle w:val="11"/>
            </w:pPr>
            <w:r>
              <w:t>449.29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449.29</w:t>
            </w:r>
          </w:p>
        </w:tc>
        <w:tc>
          <w:tcPr>
            <w:tcW w:w="2551" w:type="dxa"/>
            <w:vAlign w:val="center"/>
          </w:tcPr>
          <w:p>
            <w:pPr>
              <w:pStyle w:val="11"/>
            </w:pPr>
          </w:p>
        </w:tc>
        <w:tc>
          <w:tcPr>
            <w:tcW w:w="2551" w:type="dxa"/>
            <w:vAlign w:val="center"/>
          </w:tcPr>
          <w:p>
            <w:pPr>
              <w:pStyle w:val="11"/>
            </w:pPr>
            <w:r>
              <w:t>449.29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331.29</w:t>
            </w:r>
          </w:p>
        </w:tc>
        <w:tc>
          <w:tcPr>
            <w:tcW w:w="2551" w:type="dxa"/>
            <w:vAlign w:val="center"/>
          </w:tcPr>
          <w:p>
            <w:pPr>
              <w:pStyle w:val="11"/>
            </w:pPr>
          </w:p>
        </w:tc>
        <w:tc>
          <w:tcPr>
            <w:tcW w:w="2551" w:type="dxa"/>
            <w:vAlign w:val="center"/>
          </w:tcPr>
          <w:p>
            <w:pPr>
              <w:pStyle w:val="11"/>
            </w:pPr>
            <w:r>
              <w:t>331.29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75.66</w:t>
            </w:r>
          </w:p>
        </w:tc>
        <w:tc>
          <w:tcPr>
            <w:tcW w:w="2551" w:type="dxa"/>
            <w:vAlign w:val="center"/>
          </w:tcPr>
          <w:p>
            <w:pPr>
              <w:pStyle w:val="11"/>
            </w:pPr>
            <w:r>
              <w:t>75.66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75.66</w:t>
            </w:r>
          </w:p>
        </w:tc>
        <w:tc>
          <w:tcPr>
            <w:tcW w:w="2551" w:type="dxa"/>
            <w:vAlign w:val="center"/>
          </w:tcPr>
          <w:p>
            <w:pPr>
              <w:pStyle w:val="11"/>
            </w:pPr>
            <w:r>
              <w:t>75.66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75.66</w:t>
            </w:r>
          </w:p>
        </w:tc>
        <w:tc>
          <w:tcPr>
            <w:tcW w:w="2551" w:type="dxa"/>
            <w:vAlign w:val="center"/>
          </w:tcPr>
          <w:p>
            <w:pPr>
              <w:pStyle w:val="11"/>
            </w:pPr>
            <w:r>
              <w:t>75.66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1220.99</w:t>
            </w:r>
          </w:p>
        </w:tc>
        <w:tc>
          <w:tcPr>
            <w:tcW w:w="2551" w:type="dxa"/>
            <w:vAlign w:val="center"/>
          </w:tcPr>
          <w:p>
            <w:pPr>
              <w:pStyle w:val="15"/>
            </w:pPr>
            <w:r>
              <w:t>1094.12</w:t>
            </w:r>
          </w:p>
        </w:tc>
        <w:tc>
          <w:tcPr>
            <w:tcW w:w="2551" w:type="dxa"/>
            <w:vAlign w:val="center"/>
          </w:tcPr>
          <w:p>
            <w:pPr>
              <w:pStyle w:val="15"/>
            </w:pPr>
            <w:r>
              <w:t>126.87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1017.73</w:t>
            </w:r>
          </w:p>
        </w:tc>
        <w:tc>
          <w:tcPr>
            <w:tcW w:w="2551" w:type="dxa"/>
            <w:vAlign w:val="center"/>
          </w:tcPr>
          <w:p>
            <w:pPr>
              <w:pStyle w:val="11"/>
            </w:pPr>
            <w:r>
              <w:t>1017.73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233.09</w:t>
            </w:r>
          </w:p>
        </w:tc>
        <w:tc>
          <w:tcPr>
            <w:tcW w:w="2551" w:type="dxa"/>
            <w:vAlign w:val="center"/>
          </w:tcPr>
          <w:p>
            <w:pPr>
              <w:pStyle w:val="11"/>
            </w:pPr>
            <w:r>
              <w:t>233.09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184.97</w:t>
            </w:r>
          </w:p>
        </w:tc>
        <w:tc>
          <w:tcPr>
            <w:tcW w:w="2551" w:type="dxa"/>
            <w:vAlign w:val="center"/>
          </w:tcPr>
          <w:p>
            <w:pPr>
              <w:pStyle w:val="11"/>
            </w:pPr>
            <w:r>
              <w:t>184.97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147.57</w:t>
            </w:r>
          </w:p>
        </w:tc>
        <w:tc>
          <w:tcPr>
            <w:tcW w:w="2551" w:type="dxa"/>
            <w:vAlign w:val="center"/>
          </w:tcPr>
          <w:p>
            <w:pPr>
              <w:pStyle w:val="11"/>
            </w:pPr>
            <w:r>
              <w:t>147.57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158.83</w:t>
            </w:r>
          </w:p>
        </w:tc>
        <w:tc>
          <w:tcPr>
            <w:tcW w:w="2551" w:type="dxa"/>
            <w:vAlign w:val="center"/>
          </w:tcPr>
          <w:p>
            <w:pPr>
              <w:pStyle w:val="11"/>
            </w:pPr>
            <w:r>
              <w:t>158.83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85.78</w:t>
            </w:r>
          </w:p>
        </w:tc>
        <w:tc>
          <w:tcPr>
            <w:tcW w:w="2551" w:type="dxa"/>
            <w:vAlign w:val="center"/>
          </w:tcPr>
          <w:p>
            <w:pPr>
              <w:pStyle w:val="11"/>
            </w:pPr>
            <w:r>
              <w:t>85.78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32.49</w:t>
            </w:r>
          </w:p>
        </w:tc>
        <w:tc>
          <w:tcPr>
            <w:tcW w:w="2551" w:type="dxa"/>
            <w:vAlign w:val="center"/>
          </w:tcPr>
          <w:p>
            <w:pPr>
              <w:pStyle w:val="11"/>
            </w:pPr>
            <w:r>
              <w:t>32.49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27.61</w:t>
            </w:r>
          </w:p>
        </w:tc>
        <w:tc>
          <w:tcPr>
            <w:tcW w:w="2551" w:type="dxa"/>
            <w:vAlign w:val="center"/>
          </w:tcPr>
          <w:p>
            <w:pPr>
              <w:pStyle w:val="11"/>
            </w:pPr>
            <w:r>
              <w:t>27.61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3.21</w:t>
            </w:r>
          </w:p>
        </w:tc>
        <w:tc>
          <w:tcPr>
            <w:tcW w:w="2551" w:type="dxa"/>
            <w:vAlign w:val="center"/>
          </w:tcPr>
          <w:p>
            <w:pPr>
              <w:pStyle w:val="11"/>
            </w:pPr>
            <w:r>
              <w:t>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75.66</w:t>
            </w:r>
          </w:p>
        </w:tc>
        <w:tc>
          <w:tcPr>
            <w:tcW w:w="2551" w:type="dxa"/>
            <w:vAlign w:val="center"/>
          </w:tcPr>
          <w:p>
            <w:pPr>
              <w:pStyle w:val="11"/>
            </w:pPr>
            <w:r>
              <w:t>75.66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68.52</w:t>
            </w:r>
          </w:p>
        </w:tc>
        <w:tc>
          <w:tcPr>
            <w:tcW w:w="2551" w:type="dxa"/>
            <w:vAlign w:val="center"/>
          </w:tcPr>
          <w:p>
            <w:pPr>
              <w:pStyle w:val="11"/>
            </w:pPr>
            <w:r>
              <w:t>68.52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126.87</w:t>
            </w:r>
          </w:p>
        </w:tc>
        <w:tc>
          <w:tcPr>
            <w:tcW w:w="2551" w:type="dxa"/>
            <w:vAlign w:val="center"/>
          </w:tcPr>
          <w:p>
            <w:pPr>
              <w:pStyle w:val="11"/>
            </w:pPr>
          </w:p>
        </w:tc>
        <w:tc>
          <w:tcPr>
            <w:tcW w:w="2551" w:type="dxa"/>
            <w:vAlign w:val="center"/>
          </w:tcPr>
          <w:p>
            <w:pPr>
              <w:pStyle w:val="11"/>
            </w:pPr>
            <w:r>
              <w:t>126.87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17.34</w:t>
            </w:r>
          </w:p>
        </w:tc>
        <w:tc>
          <w:tcPr>
            <w:tcW w:w="2551" w:type="dxa"/>
            <w:vAlign w:val="center"/>
          </w:tcPr>
          <w:p>
            <w:pPr>
              <w:pStyle w:val="11"/>
            </w:pP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8.05</w:t>
            </w:r>
          </w:p>
        </w:tc>
        <w:tc>
          <w:tcPr>
            <w:tcW w:w="2551" w:type="dxa"/>
            <w:vAlign w:val="center"/>
          </w:tcPr>
          <w:p>
            <w:pPr>
              <w:pStyle w:val="11"/>
            </w:pPr>
          </w:p>
        </w:tc>
        <w:tc>
          <w:tcPr>
            <w:tcW w:w="2551" w:type="dxa"/>
            <w:vAlign w:val="center"/>
          </w:tcPr>
          <w:p>
            <w:pPr>
              <w:pStyle w:val="11"/>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29.94</w:t>
            </w:r>
          </w:p>
        </w:tc>
        <w:tc>
          <w:tcPr>
            <w:tcW w:w="2551" w:type="dxa"/>
            <w:vAlign w:val="center"/>
          </w:tcPr>
          <w:p>
            <w:pPr>
              <w:pStyle w:val="11"/>
            </w:pPr>
          </w:p>
        </w:tc>
        <w:tc>
          <w:tcPr>
            <w:tcW w:w="2551" w:type="dxa"/>
            <w:vAlign w:val="center"/>
          </w:tcPr>
          <w:p>
            <w:pPr>
              <w:pStyle w:val="11"/>
            </w:pPr>
            <w:r>
              <w:t>29.94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6.54</w:t>
            </w:r>
          </w:p>
        </w:tc>
        <w:tc>
          <w:tcPr>
            <w:tcW w:w="2551" w:type="dxa"/>
            <w:vAlign w:val="center"/>
          </w:tcPr>
          <w:p>
            <w:pPr>
              <w:pStyle w:val="11"/>
            </w:pPr>
          </w:p>
        </w:tc>
        <w:tc>
          <w:tcPr>
            <w:tcW w:w="2551" w:type="dxa"/>
            <w:vAlign w:val="center"/>
          </w:tcPr>
          <w:p>
            <w:pPr>
              <w:pStyle w:val="11"/>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76.39</w:t>
            </w:r>
          </w:p>
        </w:tc>
        <w:tc>
          <w:tcPr>
            <w:tcW w:w="2551" w:type="dxa"/>
            <w:vAlign w:val="center"/>
          </w:tcPr>
          <w:p>
            <w:pPr>
              <w:pStyle w:val="11"/>
            </w:pPr>
            <w:r>
              <w:t>76.39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74.27</w:t>
            </w:r>
          </w:p>
        </w:tc>
        <w:tc>
          <w:tcPr>
            <w:tcW w:w="2551" w:type="dxa"/>
            <w:vAlign w:val="center"/>
          </w:tcPr>
          <w:p>
            <w:pPr>
              <w:pStyle w:val="11"/>
            </w:pPr>
            <w:r>
              <w:t>74.27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1141.78</w:t>
            </w:r>
          </w:p>
        </w:tc>
        <w:tc>
          <w:tcPr>
            <w:tcW w:w="2551" w:type="dxa"/>
            <w:vAlign w:val="center"/>
          </w:tcPr>
          <w:p>
            <w:pPr>
              <w:pStyle w:val="15"/>
            </w:pPr>
          </w:p>
        </w:tc>
        <w:tc>
          <w:tcPr>
            <w:tcW w:w="2551" w:type="dxa"/>
            <w:vAlign w:val="center"/>
          </w:tcPr>
          <w:p>
            <w:pPr>
              <w:pStyle w:val="15"/>
            </w:pPr>
            <w:r>
              <w:t>1141.78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34.28</w:t>
            </w:r>
          </w:p>
        </w:tc>
        <w:tc>
          <w:tcPr>
            <w:tcW w:w="2551" w:type="dxa"/>
            <w:vAlign w:val="center"/>
          </w:tcPr>
          <w:p>
            <w:pPr>
              <w:pStyle w:val="11"/>
            </w:pPr>
          </w:p>
        </w:tc>
        <w:tc>
          <w:tcPr>
            <w:tcW w:w="2551" w:type="dxa"/>
            <w:vAlign w:val="center"/>
          </w:tcPr>
          <w:p>
            <w:pPr>
              <w:pStyle w:val="11"/>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34.28</w:t>
            </w:r>
          </w:p>
        </w:tc>
        <w:tc>
          <w:tcPr>
            <w:tcW w:w="2551" w:type="dxa"/>
            <w:vAlign w:val="center"/>
          </w:tcPr>
          <w:p>
            <w:pPr>
              <w:pStyle w:val="11"/>
            </w:pPr>
          </w:p>
        </w:tc>
        <w:tc>
          <w:tcPr>
            <w:tcW w:w="2551" w:type="dxa"/>
            <w:vAlign w:val="center"/>
          </w:tcPr>
          <w:p>
            <w:pPr>
              <w:pStyle w:val="11"/>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34.28</w:t>
            </w:r>
          </w:p>
        </w:tc>
        <w:tc>
          <w:tcPr>
            <w:tcW w:w="2551" w:type="dxa"/>
            <w:vAlign w:val="center"/>
          </w:tcPr>
          <w:p>
            <w:pPr>
              <w:pStyle w:val="11"/>
            </w:pPr>
          </w:p>
        </w:tc>
        <w:tc>
          <w:tcPr>
            <w:tcW w:w="2551" w:type="dxa"/>
            <w:vAlign w:val="center"/>
          </w:tcPr>
          <w:p>
            <w:pPr>
              <w:pStyle w:val="11"/>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1107.50</w:t>
            </w:r>
          </w:p>
        </w:tc>
        <w:tc>
          <w:tcPr>
            <w:tcW w:w="2551" w:type="dxa"/>
            <w:vAlign w:val="center"/>
          </w:tcPr>
          <w:p>
            <w:pPr>
              <w:pStyle w:val="11"/>
            </w:pPr>
          </w:p>
        </w:tc>
        <w:tc>
          <w:tcPr>
            <w:tcW w:w="2551" w:type="dxa"/>
            <w:vAlign w:val="center"/>
          </w:tcPr>
          <w:p>
            <w:pPr>
              <w:pStyle w:val="11"/>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1107.50</w:t>
            </w:r>
          </w:p>
        </w:tc>
        <w:tc>
          <w:tcPr>
            <w:tcW w:w="2551" w:type="dxa"/>
            <w:vAlign w:val="center"/>
          </w:tcPr>
          <w:p>
            <w:pPr>
              <w:pStyle w:val="11"/>
            </w:pPr>
          </w:p>
        </w:tc>
        <w:tc>
          <w:tcPr>
            <w:tcW w:w="2551" w:type="dxa"/>
            <w:vAlign w:val="center"/>
          </w:tcPr>
          <w:p>
            <w:pPr>
              <w:pStyle w:val="11"/>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1107.50</w:t>
            </w:r>
          </w:p>
        </w:tc>
        <w:tc>
          <w:tcPr>
            <w:tcW w:w="2551" w:type="dxa"/>
            <w:vAlign w:val="center"/>
          </w:tcPr>
          <w:p>
            <w:pPr>
              <w:pStyle w:val="11"/>
            </w:pPr>
          </w:p>
        </w:tc>
        <w:tc>
          <w:tcPr>
            <w:tcW w:w="2551" w:type="dxa"/>
            <w:vAlign w:val="center"/>
          </w:tcPr>
          <w:p>
            <w:pPr>
              <w:pStyle w:val="11"/>
            </w:pPr>
            <w:r>
              <w:t>1107.50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正定县新城铺镇人民政府本级2026年单位预算信息公开情况说明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按照《中华人民共和国预算法》、《地方预决算公开操作规程》和《关于进一步推进预算公开工作的实施意见》规定，现将正定县新城铺镇人民政府本级2026年单位预算公开如下：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一、党政综合办公室。负责机关日常工作的综合协调和督促检查；负责机关文电、值班、会务、机要、保密、档案、党务政务公开、对外联络、后勤保障等日常运转工作；负责机关和所属单位财务及国有资产管理等工作。</w:t>
      </w:r>
    </w:p>
    <w:p>
      <w:pPr>
        <w:pStyle w:val="22"/>
      </w:pPr>
      <w:r>
        <w:t>二、党建工作办公室（挂人大主席团办公室牌子）。负责基层党的政治建设、组织建设、思想建设、宣传工作、意识形态、精神文明建设、统战工作、民族宗教事务工作、组织人事等工作，统筹推进区域化党建工作，领导辖区内人大工作，以及工会、共青团、妇联等群团工作。</w:t>
      </w:r>
    </w:p>
    <w:p>
      <w:pPr>
        <w:pStyle w:val="22"/>
      </w:pPr>
      <w:r>
        <w:t>三、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开展社区矫正、社区戒毒、社区康复工作，负责刑满释放人员安置帮教工作，负责做好未成年人保护工作。</w:t>
      </w:r>
    </w:p>
    <w:p>
      <w:pPr>
        <w:pStyle w:val="22"/>
      </w:pPr>
      <w:r>
        <w:t>负责应急管理工作，落实应急管理责任，制定突发事件应急预案，组织开展应急演练，负责消防、防汛抗洪、抗旱等防灾减灾相关工作；负责生产经营单位安全生产状况的监督检查，协助上级有关</w:t>
      </w:r>
      <w:r>
        <w:rPr>
          <w:rFonts w:hint="eastAsia"/>
          <w:lang w:eastAsia="zh-CN"/>
        </w:rPr>
        <w:t>单位</w:t>
      </w:r>
      <w:r>
        <w:t>依法履行安全生产监督管理职责；自然灾害救助相关工作，护林和森林草原防火相关工作。</w:t>
      </w:r>
    </w:p>
    <w:p>
      <w:pPr>
        <w:pStyle w:val="22"/>
      </w:pPr>
      <w:r>
        <w:t>四、自然资源和生态环境办公室。负责自然资源保护和监管、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22"/>
      </w:pPr>
      <w:r>
        <w:t>五、综合行政执法队。根据有关法律法规和上级</w:t>
      </w:r>
      <w:r>
        <w:rPr>
          <w:rFonts w:hint="eastAsia"/>
          <w:lang w:eastAsia="zh-CN"/>
        </w:rPr>
        <w:t>单位</w:t>
      </w:r>
      <w:r>
        <w:t>授权、委托，承担城乡建设、生态环境、文化市场、农业农村、安全生产、民族宗教等领域行政执法工作。</w:t>
      </w:r>
    </w:p>
    <w:p>
      <w:pPr>
        <w:pStyle w:val="22"/>
      </w:pPr>
      <w:r>
        <w:t>六、行政综合服务中心（挂综合文化服务站、财政所牌子）。负责行政审批服务事项的受理、办理工作，提供政策和业务咨询；指导村便民服务点建设。</w:t>
      </w:r>
    </w:p>
    <w:p>
      <w:pPr>
        <w:pStyle w:val="22"/>
      </w:pPr>
      <w:r>
        <w:t>负责开展群众文化艺术娱乐、体育活动，负责文化市场进行监督、巡查工作，负责文物普查、保护和开发利用工作，指导村文化室建设、文体设施规划建设。</w:t>
      </w:r>
    </w:p>
    <w:p>
      <w:pPr>
        <w:pStyle w:val="22"/>
      </w:pPr>
      <w:r>
        <w:t>负责编制镇财政预决算，负责镇政府预算单位的财务管理和核算，负责村级资金核拨和监督管理等相关工作。</w:t>
      </w:r>
    </w:p>
    <w:p>
      <w:pPr>
        <w:pStyle w:val="22"/>
      </w:pPr>
      <w:r>
        <w:t>负责指导基层自治和居民区建设工作，负责指导村民委员会建立健全各项自治制度，指导村民委员会的换届选举;负责社区工作者的日常管理工作，指导基层开展社区社会工作实践，收集、反映社情民意;负责物业监督管理，负责调解物业管理纠纷，指导业委会开展工作；负责爱国卫生日常工作，负责领导辖区传染病防治工作，负责健康教育就业服务、人口与计划生育工作，负责社会救助、残疾人保障工作，开展居家养老服务、精神障碍患者康复等工作。</w:t>
      </w:r>
    </w:p>
    <w:p>
      <w:pPr>
        <w:pStyle w:val="22"/>
      </w:pPr>
      <w:r>
        <w:t>七、农业综合服务中心（挂经济发展办公室牌子）。负责农业、畜牧、水利、农机等技术推广和服务工作，负责农产品质量安全监管工作，负责指导农业生产、技术培训和信息咨询服务；负责动植物病虫害及灾情的预报、防治、处置；负责指导新农村建设、乡村振兴、经济发展、人居环境改善、农村体制改革、农村土地承包、扶贫开发、水土保持和综合治理等工作，负责农村环境卫生工作。</w:t>
      </w:r>
    </w:p>
    <w:p>
      <w:pPr>
        <w:pStyle w:val="22"/>
      </w:pPr>
      <w:r>
        <w:t xml:space="preserve">八、退役军人服务站。负责退役军人就业创业扶持、拥军优属、优抚帮扶、走访慰问、信访接待、权益保障等工作；配合武装部做好征兵、民兵、预备役、国防教育、国民经济动员、人民防空、国防交通、国防设施保护等相关工作。 </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正定县新城铺镇人民政府本级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二、单位预算安排的总体情况</w:t>
      </w:r>
    </w:p>
    <w:p>
      <w:pPr>
        <w:pStyle w:val="23"/>
      </w:pPr>
      <w:r>
        <w:t>按照预算管理有关规定，目前我省部门预算的编制实行综合预算管理，即全部收入和支出都反映在预算中。正定县新城铺镇人民政府机关及所属事业单位的收支包含在部门预算中。</w:t>
      </w:r>
    </w:p>
    <w:p>
      <w:pPr>
        <w:pStyle w:val="23"/>
      </w:pPr>
      <w:r>
        <w:t>1、收入说明</w:t>
      </w:r>
    </w:p>
    <w:p>
      <w:pPr>
        <w:pStyle w:val="23"/>
      </w:pPr>
      <w:r>
        <w:t>反应本部门当年全部收入。202</w:t>
      </w:r>
      <w:r>
        <w:rPr>
          <w:rFonts w:hint="eastAsia"/>
          <w:lang w:val="en-US" w:eastAsia="zh-CN"/>
        </w:rPr>
        <w:t>6</w:t>
      </w:r>
      <w:r>
        <w:t>年部门预算收入1673.70万元，其中：一般公共预算收入1013.68万元。</w:t>
      </w:r>
    </w:p>
    <w:p>
      <w:pPr>
        <w:pStyle w:val="23"/>
      </w:pPr>
      <w:r>
        <w:t>2、支出说明</w:t>
      </w:r>
    </w:p>
    <w:p>
      <w:pPr>
        <w:pStyle w:val="23"/>
      </w:pPr>
      <w:r>
        <w:t>收支预算总表支出栏、基本支出表、项目支出表按经济分类和支出功能分类科目编制，反应正定县财政局年度部门预算中支出预算的总体情况。202</w:t>
      </w:r>
      <w:r>
        <w:rPr>
          <w:rFonts w:hint="eastAsia"/>
          <w:lang w:val="en-US" w:eastAsia="zh-CN"/>
        </w:rPr>
        <w:t>6</w:t>
      </w:r>
      <w:r>
        <w:t>年部门支出预算为2909.88万元，其中基本支出1220.99万元，包括人员经费1094.12万元和日常公用经费126.87万元；项目支出1688.89万元，项目支出主要包括：</w:t>
      </w:r>
    </w:p>
    <w:p>
      <w:pPr>
        <w:pStyle w:val="23"/>
      </w:pPr>
      <w:r>
        <w:t>（</w:t>
      </w:r>
      <w:r>
        <w:rPr>
          <w:rFonts w:hint="eastAsia"/>
          <w:lang w:val="en-US" w:eastAsia="zh-CN"/>
        </w:rPr>
        <w:t>一</w:t>
      </w:r>
      <w:r>
        <w:t>）</w:t>
      </w:r>
      <w:r>
        <w:rPr>
          <w:rFonts w:ascii="方正仿宋_GBK" w:hAnsi="方正仿宋_GBK" w:eastAsia="方正仿宋_GBK" w:cs="方正仿宋_GBK"/>
          <w:color w:val="000000"/>
          <w:sz w:val="28"/>
        </w:rPr>
        <w:t>2026年市级公共文化服务体系建设专项资金</w:t>
      </w:r>
      <w:r>
        <w:rPr>
          <w:rFonts w:hint="eastAsia" w:ascii="方正仿宋_GBK" w:hAnsi="方正仿宋_GBK" w:cs="方正仿宋_GBK"/>
          <w:color w:val="000000"/>
          <w:sz w:val="28"/>
          <w:lang w:val="en-US" w:eastAsia="zh-CN"/>
        </w:rPr>
        <w:t>0.5</w:t>
      </w:r>
      <w:r>
        <w:t>万元。</w:t>
      </w:r>
    </w:p>
    <w:p>
      <w:pPr>
        <w:pStyle w:val="23"/>
      </w:pPr>
      <w:r>
        <w:t>（</w:t>
      </w:r>
      <w:r>
        <w:rPr>
          <w:rFonts w:hint="eastAsia"/>
          <w:lang w:val="en-US" w:eastAsia="zh-CN"/>
        </w:rPr>
        <w:t>二</w:t>
      </w:r>
      <w:r>
        <w:t>）</w:t>
      </w:r>
      <w:r>
        <w:rPr>
          <w:rFonts w:ascii="方正仿宋_GBK" w:hAnsi="方正仿宋_GBK" w:eastAsia="方正仿宋_GBK" w:cs="方正仿宋_GBK"/>
          <w:color w:val="000000"/>
          <w:sz w:val="28"/>
        </w:rPr>
        <w:t>2025年度离任村干部补贴</w:t>
      </w:r>
      <w:r>
        <w:rPr>
          <w:rFonts w:hint="eastAsia" w:ascii="方正仿宋_GBK" w:hAnsi="方正仿宋_GBK" w:cs="方正仿宋_GBK"/>
          <w:color w:val="000000"/>
          <w:sz w:val="28"/>
          <w:lang w:val="en-US" w:eastAsia="zh-CN"/>
        </w:rPr>
        <w:t>2.63</w:t>
      </w:r>
      <w:r>
        <w:t>万元。</w:t>
      </w:r>
    </w:p>
    <w:p>
      <w:pPr>
        <w:pStyle w:val="23"/>
      </w:pPr>
      <w:r>
        <w:t>（</w:t>
      </w:r>
      <w:r>
        <w:rPr>
          <w:rFonts w:hint="eastAsia"/>
          <w:lang w:eastAsia="zh-CN"/>
        </w:rPr>
        <w:t>三</w:t>
      </w:r>
      <w:r>
        <w:t>）</w:t>
      </w:r>
      <w:r>
        <w:rPr>
          <w:rFonts w:ascii="方正仿宋_GBK" w:hAnsi="方正仿宋_GBK" w:eastAsia="方正仿宋_GBK" w:cs="方正仿宋_GBK"/>
          <w:color w:val="000000"/>
          <w:sz w:val="28"/>
        </w:rPr>
        <w:t>2025年中央农村公益事业建设财政奖补项目</w:t>
      </w:r>
      <w:r>
        <w:rPr>
          <w:rFonts w:hint="eastAsia" w:ascii="方正仿宋_GBK" w:hAnsi="方正仿宋_GBK" w:cs="方正仿宋_GBK"/>
          <w:color w:val="000000"/>
          <w:sz w:val="28"/>
          <w:lang w:val="en-US" w:eastAsia="zh-CN"/>
        </w:rPr>
        <w:t>94.4</w:t>
      </w:r>
      <w:r>
        <w:t>万元。</w:t>
      </w:r>
    </w:p>
    <w:p>
      <w:pPr>
        <w:pStyle w:val="23"/>
      </w:pPr>
      <w:r>
        <w:t>（</w:t>
      </w:r>
      <w:r>
        <w:rPr>
          <w:rFonts w:hint="eastAsia"/>
          <w:lang w:val="en-US" w:eastAsia="zh-CN"/>
        </w:rPr>
        <w:t>四</w:t>
      </w:r>
      <w:r>
        <w:t>）</w:t>
      </w:r>
      <w:r>
        <w:rPr>
          <w:rFonts w:ascii="方正仿宋_GBK" w:hAnsi="方正仿宋_GBK" w:eastAsia="方正仿宋_GBK" w:cs="方正仿宋_GBK"/>
          <w:color w:val="000000"/>
          <w:sz w:val="28"/>
        </w:rPr>
        <w:t>2025年中央农村公益事业建设财政奖补项目</w:t>
      </w:r>
      <w:r>
        <w:rPr>
          <w:rFonts w:hint="eastAsia" w:ascii="方正仿宋_GBK" w:hAnsi="方正仿宋_GBK" w:cs="方正仿宋_GBK"/>
          <w:color w:val="000000"/>
          <w:sz w:val="28"/>
          <w:lang w:val="en-US" w:eastAsia="zh-CN"/>
        </w:rPr>
        <w:t>23.6</w:t>
      </w:r>
      <w:r>
        <w:t>万元。</w:t>
      </w:r>
    </w:p>
    <w:p>
      <w:pPr>
        <w:pStyle w:val="23"/>
      </w:pPr>
      <w:r>
        <w:t>（</w:t>
      </w:r>
      <w:r>
        <w:rPr>
          <w:rFonts w:hint="eastAsia"/>
          <w:lang w:val="en-US" w:eastAsia="zh-CN"/>
        </w:rPr>
        <w:t>五</w:t>
      </w:r>
      <w:r>
        <w:t>）</w:t>
      </w:r>
      <w:r>
        <w:rPr>
          <w:rFonts w:ascii="方正仿宋_GBK" w:hAnsi="方正仿宋_GBK" w:eastAsia="方正仿宋_GBK" w:cs="方正仿宋_GBK"/>
          <w:color w:val="000000"/>
          <w:sz w:val="28"/>
        </w:rPr>
        <w:t>2026年村党组织活动经费</w:t>
      </w:r>
      <w:r>
        <w:rPr>
          <w:rFonts w:hint="eastAsia" w:ascii="方正仿宋_GBK" w:hAnsi="方正仿宋_GBK" w:cs="方正仿宋_GBK"/>
          <w:color w:val="000000"/>
          <w:sz w:val="28"/>
          <w:lang w:val="en-US" w:eastAsia="zh-CN"/>
        </w:rPr>
        <w:t>35.94</w:t>
      </w:r>
      <w:r>
        <w:t>万元。</w:t>
      </w:r>
    </w:p>
    <w:p>
      <w:pPr>
        <w:pStyle w:val="23"/>
      </w:pPr>
      <w:r>
        <w:t>（</w:t>
      </w:r>
      <w:r>
        <w:rPr>
          <w:rFonts w:hint="eastAsia"/>
          <w:lang w:val="en-US" w:eastAsia="zh-CN"/>
        </w:rPr>
        <w:t>六</w:t>
      </w:r>
      <w:r>
        <w:t>）</w:t>
      </w:r>
      <w:r>
        <w:rPr>
          <w:rFonts w:ascii="方正仿宋_GBK" w:hAnsi="方正仿宋_GBK" w:eastAsia="方正仿宋_GBK" w:cs="方正仿宋_GBK"/>
          <w:color w:val="000000"/>
          <w:sz w:val="28"/>
        </w:rPr>
        <w:t>2026年村党组织书记、村民委员会主任基本报酬</w:t>
      </w:r>
      <w:r>
        <w:rPr>
          <w:rFonts w:hint="eastAsia" w:ascii="方正仿宋_GBK" w:hAnsi="方正仿宋_GBK" w:cs="方正仿宋_GBK"/>
          <w:color w:val="000000"/>
          <w:sz w:val="28"/>
          <w:lang w:val="en-US" w:eastAsia="zh-CN"/>
        </w:rPr>
        <w:t>85.3</w:t>
      </w:r>
      <w:r>
        <w:t>万元。</w:t>
      </w:r>
    </w:p>
    <w:p>
      <w:pPr>
        <w:pStyle w:val="23"/>
      </w:pPr>
      <w:r>
        <w:t>（</w:t>
      </w:r>
      <w:r>
        <w:rPr>
          <w:rFonts w:hint="eastAsia"/>
          <w:lang w:val="en-US" w:eastAsia="zh-CN"/>
        </w:rPr>
        <w:t>七</w:t>
      </w:r>
      <w:r>
        <w:t>）</w:t>
      </w:r>
      <w:r>
        <w:rPr>
          <w:rFonts w:ascii="方正仿宋_GBK" w:hAnsi="方正仿宋_GBK" w:eastAsia="方正仿宋_GBK" w:cs="方正仿宋_GBK"/>
          <w:color w:val="000000"/>
          <w:sz w:val="28"/>
        </w:rPr>
        <w:t>2026年村级组织办公经费</w:t>
      </w:r>
      <w:r>
        <w:rPr>
          <w:rFonts w:hint="eastAsia" w:ascii="方正仿宋_GBK" w:hAnsi="方正仿宋_GBK" w:cs="方正仿宋_GBK"/>
          <w:color w:val="000000"/>
          <w:sz w:val="28"/>
          <w:lang w:val="en-US" w:eastAsia="zh-CN"/>
        </w:rPr>
        <w:t>14</w:t>
      </w:r>
      <w:r>
        <w:t>万元。</w:t>
      </w:r>
    </w:p>
    <w:p>
      <w:pPr>
        <w:pStyle w:val="23"/>
      </w:pPr>
      <w:r>
        <w:t>（</w:t>
      </w:r>
      <w:r>
        <w:rPr>
          <w:rFonts w:hint="eastAsia"/>
          <w:lang w:val="en-US" w:eastAsia="zh-CN"/>
        </w:rPr>
        <w:t>八</w:t>
      </w:r>
      <w:r>
        <w:t>）</w:t>
      </w:r>
      <w:r>
        <w:rPr>
          <w:rFonts w:ascii="方正仿宋_GBK" w:hAnsi="方正仿宋_GBK" w:eastAsia="方正仿宋_GBK" w:cs="方正仿宋_GBK"/>
          <w:color w:val="000000"/>
          <w:sz w:val="28"/>
        </w:rPr>
        <w:t>2026年服务群众专项经费</w:t>
      </w:r>
      <w:r>
        <w:rPr>
          <w:rFonts w:hint="eastAsia" w:ascii="方正仿宋_GBK" w:hAnsi="方正仿宋_GBK" w:cs="方正仿宋_GBK"/>
          <w:color w:val="000000"/>
          <w:sz w:val="28"/>
          <w:lang w:val="en-US" w:eastAsia="zh-CN"/>
        </w:rPr>
        <w:t>70</w:t>
      </w:r>
      <w:r>
        <w:t>万元。</w:t>
      </w:r>
    </w:p>
    <w:p>
      <w:pPr>
        <w:pStyle w:val="23"/>
      </w:pPr>
      <w:r>
        <w:t>（</w:t>
      </w:r>
      <w:r>
        <w:rPr>
          <w:rFonts w:hint="eastAsia"/>
          <w:lang w:val="en-US" w:eastAsia="zh-CN"/>
        </w:rPr>
        <w:t>九</w:t>
      </w:r>
      <w:r>
        <w:t>）</w:t>
      </w:r>
      <w:r>
        <w:rPr>
          <w:rFonts w:ascii="方正仿宋_GBK" w:hAnsi="方正仿宋_GBK" w:eastAsia="方正仿宋_GBK" w:cs="方正仿宋_GBK"/>
          <w:color w:val="000000"/>
          <w:sz w:val="28"/>
        </w:rPr>
        <w:t>2026年精神障碍患者监护人以奖代补项目</w:t>
      </w:r>
      <w:r>
        <w:rPr>
          <w:rFonts w:hint="eastAsia" w:ascii="方正仿宋_GBK" w:hAnsi="方正仿宋_GBK" w:cs="方正仿宋_GBK"/>
          <w:color w:val="000000"/>
          <w:sz w:val="28"/>
          <w:lang w:val="en-US" w:eastAsia="zh-CN"/>
        </w:rPr>
        <w:t>4.32</w:t>
      </w:r>
      <w:r>
        <w:t>万元。</w:t>
      </w:r>
    </w:p>
    <w:p>
      <w:pPr>
        <w:pStyle w:val="23"/>
      </w:pPr>
      <w:r>
        <w:t>（十）</w:t>
      </w:r>
      <w:r>
        <w:rPr>
          <w:rFonts w:ascii="方正仿宋_GBK" w:hAnsi="方正仿宋_GBK" w:eastAsia="方正仿宋_GBK" w:cs="方正仿宋_GBK"/>
          <w:color w:val="000000"/>
          <w:sz w:val="28"/>
        </w:rPr>
        <w:t>2026年离任村干部补贴</w:t>
      </w:r>
      <w:r>
        <w:rPr>
          <w:rFonts w:hint="eastAsia" w:ascii="方正仿宋_GBK" w:hAnsi="方正仿宋_GBK" w:cs="方正仿宋_GBK"/>
          <w:color w:val="000000"/>
          <w:sz w:val="28"/>
          <w:lang w:val="en-US" w:eastAsia="zh-CN"/>
        </w:rPr>
        <w:t>7.65</w:t>
      </w:r>
      <w:r>
        <w:t>万元。</w:t>
      </w:r>
    </w:p>
    <w:p>
      <w:pPr>
        <w:pStyle w:val="23"/>
      </w:pPr>
      <w:r>
        <w:t>（十</w:t>
      </w:r>
      <w:r>
        <w:rPr>
          <w:rFonts w:hint="eastAsia"/>
          <w:lang w:val="en-US" w:eastAsia="zh-CN"/>
        </w:rPr>
        <w:t>一</w:t>
      </w:r>
      <w:r>
        <w:t>）</w:t>
      </w:r>
      <w:r>
        <w:rPr>
          <w:rFonts w:ascii="方正仿宋_GBK" w:hAnsi="方正仿宋_GBK" w:eastAsia="方正仿宋_GBK" w:cs="方正仿宋_GBK"/>
          <w:color w:val="000000"/>
          <w:sz w:val="28"/>
        </w:rPr>
        <w:t>2026年其他村两委基本报酬</w:t>
      </w:r>
      <w:r>
        <w:rPr>
          <w:rFonts w:hint="eastAsia" w:ascii="方正仿宋_GBK" w:hAnsi="方正仿宋_GBK" w:cs="方正仿宋_GBK"/>
          <w:color w:val="000000"/>
          <w:sz w:val="28"/>
          <w:lang w:val="en-US" w:eastAsia="zh-CN"/>
        </w:rPr>
        <w:t>115.77</w:t>
      </w:r>
      <w:r>
        <w:t>万元。</w:t>
      </w:r>
    </w:p>
    <w:p>
      <w:pPr>
        <w:pStyle w:val="23"/>
      </w:pPr>
      <w:r>
        <w:t>（十</w:t>
      </w:r>
      <w:r>
        <w:rPr>
          <w:rFonts w:hint="eastAsia"/>
          <w:lang w:val="en-US" w:eastAsia="zh-CN"/>
        </w:rPr>
        <w:t>二</w:t>
      </w:r>
      <w:r>
        <w:t>）</w:t>
      </w:r>
      <w:r>
        <w:rPr>
          <w:rFonts w:ascii="方正仿宋_GBK" w:hAnsi="方正仿宋_GBK" w:eastAsia="方正仿宋_GBK" w:cs="方正仿宋_GBK"/>
          <w:color w:val="000000"/>
          <w:sz w:val="28"/>
        </w:rPr>
        <w:t>2026年省级基层三馆一站免费开放运行保障经费</w:t>
      </w:r>
      <w:r>
        <w:rPr>
          <w:rFonts w:hint="eastAsia" w:ascii="方正仿宋_GBK" w:hAnsi="方正仿宋_GBK" w:cs="方正仿宋_GBK"/>
          <w:color w:val="000000"/>
          <w:sz w:val="28"/>
          <w:lang w:val="en-US" w:eastAsia="zh-CN"/>
        </w:rPr>
        <w:t>0.5</w:t>
      </w:r>
      <w:r>
        <w:t>万元。</w:t>
      </w:r>
    </w:p>
    <w:p>
      <w:pPr>
        <w:pStyle w:val="23"/>
      </w:pPr>
      <w:r>
        <w:t>（十</w:t>
      </w:r>
      <w:r>
        <w:rPr>
          <w:rFonts w:hint="eastAsia"/>
          <w:lang w:val="en-US" w:eastAsia="zh-CN"/>
        </w:rPr>
        <w:t>三</w:t>
      </w:r>
      <w:r>
        <w:t>）</w:t>
      </w:r>
      <w:r>
        <w:rPr>
          <w:rFonts w:ascii="方正仿宋_GBK" w:hAnsi="方正仿宋_GBK" w:eastAsia="方正仿宋_GBK" w:cs="方正仿宋_GBK"/>
          <w:color w:val="000000"/>
          <w:sz w:val="28"/>
        </w:rPr>
        <w:t>2026年中央支持地方公共文化服务体系建设补助资金</w:t>
      </w:r>
      <w:r>
        <w:rPr>
          <w:rFonts w:hint="eastAsia" w:ascii="方正仿宋_GBK" w:hAnsi="方正仿宋_GBK" w:cs="方正仿宋_GBK"/>
          <w:color w:val="000000"/>
          <w:sz w:val="28"/>
          <w:lang w:val="en-US" w:eastAsia="zh-CN"/>
        </w:rPr>
        <w:t>3</w:t>
      </w:r>
      <w:r>
        <w:t>万元。</w:t>
      </w:r>
    </w:p>
    <w:p>
      <w:pPr>
        <w:pStyle w:val="23"/>
      </w:pPr>
      <w:r>
        <w:t>（十</w:t>
      </w:r>
      <w:r>
        <w:rPr>
          <w:rFonts w:hint="eastAsia"/>
          <w:lang w:val="en-US" w:eastAsia="zh-CN"/>
        </w:rPr>
        <w:t>四</w:t>
      </w:r>
      <w:r>
        <w:t>）</w:t>
      </w:r>
      <w:r>
        <w:rPr>
          <w:rFonts w:ascii="方正仿宋_GBK" w:hAnsi="方正仿宋_GBK" w:eastAsia="方正仿宋_GBK" w:cs="方正仿宋_GBK"/>
          <w:color w:val="000000"/>
          <w:sz w:val="28"/>
        </w:rPr>
        <w:t>编外人员人员经费项目</w:t>
      </w:r>
      <w:r>
        <w:rPr>
          <w:rFonts w:hint="eastAsia" w:ascii="方正仿宋_GBK" w:hAnsi="方正仿宋_GBK" w:cs="方正仿宋_GBK"/>
          <w:color w:val="000000"/>
          <w:sz w:val="28"/>
          <w:lang w:val="en-US" w:eastAsia="zh-CN"/>
        </w:rPr>
        <w:t>88.5</w:t>
      </w:r>
      <w:r>
        <w:t>万元。</w:t>
      </w:r>
    </w:p>
    <w:p>
      <w:pPr>
        <w:pStyle w:val="23"/>
      </w:pPr>
      <w:r>
        <w:t>（十</w:t>
      </w:r>
      <w:r>
        <w:rPr>
          <w:rFonts w:hint="eastAsia"/>
          <w:lang w:val="en-US" w:eastAsia="zh-CN"/>
        </w:rPr>
        <w:t>五</w:t>
      </w:r>
      <w:r>
        <w:t>）</w:t>
      </w:r>
      <w:r>
        <w:rPr>
          <w:rFonts w:ascii="方正仿宋_GBK" w:hAnsi="方正仿宋_GBK" w:eastAsia="方正仿宋_GBK" w:cs="方正仿宋_GBK"/>
          <w:color w:val="000000"/>
          <w:sz w:val="28"/>
        </w:rPr>
        <w:t>机场迎宾路提升改造项目占地费用</w:t>
      </w:r>
      <w:r>
        <w:rPr>
          <w:rFonts w:hint="eastAsia" w:ascii="方正仿宋_GBK" w:hAnsi="方正仿宋_GBK" w:cs="方正仿宋_GBK"/>
          <w:color w:val="000000"/>
          <w:sz w:val="28"/>
          <w:lang w:val="en-US" w:eastAsia="zh-CN"/>
        </w:rPr>
        <w:t>34.28</w:t>
      </w:r>
      <w:r>
        <w:t>万元。</w:t>
      </w:r>
    </w:p>
    <w:p>
      <w:pPr>
        <w:pStyle w:val="23"/>
      </w:pPr>
      <w:r>
        <w:t>（十</w:t>
      </w:r>
      <w:r>
        <w:rPr>
          <w:rFonts w:hint="eastAsia"/>
          <w:lang w:val="en-US" w:eastAsia="zh-CN"/>
        </w:rPr>
        <w:t>六</w:t>
      </w:r>
      <w:r>
        <w:t>）</w:t>
      </w:r>
      <w:r>
        <w:rPr>
          <w:rFonts w:ascii="方正仿宋_GBK" w:hAnsi="方正仿宋_GBK" w:eastAsia="方正仿宋_GBK" w:cs="方正仿宋_GBK"/>
          <w:color w:val="000000"/>
          <w:sz w:val="28"/>
        </w:rPr>
        <w:t>清偿化解拖欠企业账款项目</w:t>
      </w:r>
      <w:r>
        <w:rPr>
          <w:rFonts w:hint="eastAsia" w:ascii="方正仿宋_GBK" w:hAnsi="方正仿宋_GBK" w:cs="方正仿宋_GBK"/>
          <w:color w:val="000000"/>
          <w:sz w:val="28"/>
          <w:lang w:val="en-US" w:eastAsia="zh-CN"/>
        </w:rPr>
        <w:t>1107.5</w:t>
      </w:r>
      <w:r>
        <w:t>万元。</w:t>
      </w:r>
    </w:p>
    <w:p>
      <w:pPr>
        <w:pStyle w:val="23"/>
      </w:pPr>
      <w:r>
        <w:rPr>
          <w:rFonts w:hint="eastAsia"/>
          <w:lang w:eastAsia="zh-CN"/>
        </w:rPr>
        <w:t>（</w:t>
      </w:r>
      <w:r>
        <w:rPr>
          <w:rFonts w:hint="eastAsia"/>
          <w:lang w:val="en-US" w:eastAsia="zh-CN"/>
        </w:rPr>
        <w:t>十七</w:t>
      </w:r>
      <w:r>
        <w:rPr>
          <w:rFonts w:hint="eastAsia"/>
          <w:lang w:eastAsia="zh-CN"/>
        </w:rPr>
        <w:t>）</w:t>
      </w:r>
      <w:r>
        <w:rPr>
          <w:rFonts w:ascii="方正仿宋_GBK" w:hAnsi="方正仿宋_GBK" w:eastAsia="方正仿宋_GBK" w:cs="方正仿宋_GBK"/>
          <w:color w:val="000000"/>
          <w:sz w:val="28"/>
        </w:rPr>
        <w:t>三馆一站免费开放县级配套资金</w:t>
      </w:r>
      <w:r>
        <w:rPr>
          <w:rFonts w:hint="eastAsia" w:ascii="方正仿宋_GBK" w:hAnsi="方正仿宋_GBK" w:eastAsia="方正仿宋_GBK" w:cs="方正仿宋_GBK"/>
          <w:color w:val="000000"/>
          <w:sz w:val="28"/>
          <w:lang w:val="en-US" w:eastAsia="zh-CN"/>
        </w:rPr>
        <w:t>1万元</w:t>
      </w:r>
    </w:p>
    <w:p>
      <w:pPr>
        <w:pStyle w:val="23"/>
        <w:ind w:left="0" w:leftChars="0" w:firstLine="0" w:firstLineChars="0"/>
      </w:pPr>
      <w:r>
        <w:rPr>
          <w:rFonts w:hint="eastAsia"/>
          <w:lang w:val="en-US" w:eastAsia="zh-CN"/>
        </w:rPr>
        <w:t xml:space="preserve">        </w:t>
      </w:r>
      <w:r>
        <w:t>3、比上年增减情况</w:t>
      </w:r>
    </w:p>
    <w:p>
      <w:pPr>
        <w:pStyle w:val="23"/>
      </w:pPr>
      <w:r>
        <w:t>202</w:t>
      </w:r>
      <w:r>
        <w:rPr>
          <w:rFonts w:hint="eastAsia"/>
          <w:lang w:val="en-US" w:eastAsia="zh-CN"/>
        </w:rPr>
        <w:t>6</w:t>
      </w:r>
      <w:r>
        <w:t>年部门预算收支安排2909.88万元，较202</w:t>
      </w:r>
      <w:r>
        <w:rPr>
          <w:rFonts w:hint="eastAsia"/>
          <w:lang w:val="en-US" w:eastAsia="zh-CN"/>
        </w:rPr>
        <w:t>5</w:t>
      </w:r>
      <w:r>
        <w:t>年</w:t>
      </w:r>
      <w:r>
        <w:rPr>
          <w:rFonts w:hint="eastAsia"/>
          <w:lang w:val="en-US" w:eastAsia="zh-CN"/>
        </w:rPr>
        <w:t>减少126.5237</w:t>
      </w:r>
      <w:r>
        <w:t>万元，其中：基本支出增加</w:t>
      </w:r>
      <w:r>
        <w:rPr>
          <w:rFonts w:hint="eastAsia"/>
          <w:lang w:val="en-US" w:eastAsia="zh-CN"/>
        </w:rPr>
        <w:t>118.14</w:t>
      </w:r>
      <w:r>
        <w:t>万元，主要是人员</w:t>
      </w:r>
      <w:r>
        <w:rPr>
          <w:rFonts w:hint="eastAsia"/>
          <w:lang w:val="en-US" w:eastAsia="zh-CN"/>
        </w:rPr>
        <w:t>社保、公积金等较</w:t>
      </w:r>
      <w:r>
        <w:t>上年有所增加；项目支出</w:t>
      </w:r>
      <w:r>
        <w:rPr>
          <w:rFonts w:hint="eastAsia"/>
          <w:lang w:val="en-US" w:eastAsia="zh-CN"/>
        </w:rPr>
        <w:t>减少244.66</w:t>
      </w:r>
      <w:r>
        <w:t>万元， 主要是</w:t>
      </w:r>
      <w:r>
        <w:rPr>
          <w:rFonts w:hint="eastAsia"/>
          <w:lang w:eastAsia="zh-CN"/>
        </w:rPr>
        <w:t>各部门科室</w:t>
      </w:r>
      <w:r>
        <w:rPr>
          <w:rFonts w:hint="eastAsia"/>
          <w:lang w:val="en-US" w:eastAsia="zh-CN"/>
        </w:rPr>
        <w:t>年初预算有所减少。</w:t>
      </w:r>
    </w:p>
    <w:p>
      <w:pPr>
        <w:pStyle w:val="18"/>
      </w:pPr>
    </w:p>
    <w:p>
      <w:p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三、机关运行经费安排情况</w:t>
      </w:r>
    </w:p>
    <w:p>
      <w:pPr>
        <w:pStyle w:val="19"/>
      </w:pPr>
      <w:r>
        <w:t>三、机关运行经费安排情况</w:t>
      </w:r>
    </w:p>
    <w:p>
      <w:pPr>
        <w:pStyle w:val="24"/>
        <w:ind w:left="0" w:leftChars="0" w:firstLine="0" w:firstLineChars="0"/>
      </w:pPr>
      <w:r>
        <w:rPr>
          <w:rFonts w:hint="eastAsia"/>
          <w:lang w:val="en-US" w:eastAsia="zh-CN"/>
        </w:rPr>
        <w:t xml:space="preserve">    </w:t>
      </w:r>
      <w:r>
        <w:t>20</w:t>
      </w:r>
      <w:r>
        <w:rPr>
          <w:rFonts w:hint="eastAsia"/>
          <w:lang w:val="en-US" w:eastAsia="zh-CN"/>
        </w:rPr>
        <w:t>26</w:t>
      </w:r>
      <w:r>
        <w:t>年，我部门机关运行经费共计安排</w:t>
      </w:r>
      <w:r>
        <w:rPr>
          <w:rFonts w:hint="eastAsia"/>
          <w:lang w:val="en-US" w:eastAsia="zh-CN"/>
        </w:rPr>
        <w:t>126.87</w:t>
      </w:r>
      <w:r>
        <w:t>万元，主要用于保证机关正常运转的办公费、邮电费、差旅费、会议费、福利费、专用材料及一般设备购置费、办公用房水电费、办公用房取暖费、日常维修费、公务用车运行维护费等支出。</w:t>
      </w:r>
    </w:p>
    <w:p>
      <w:pPr>
        <w:pStyle w:val="19"/>
      </w:pPr>
    </w:p>
    <w:p>
      <w:p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四、财政拨款“三公”经费预算情况及增减变化原因</w:t>
      </w:r>
    </w:p>
    <w:p>
      <w:pPr>
        <w:pStyle w:val="20"/>
      </w:pPr>
      <w:r>
        <w:t>四、财政拨款“三公”经费预算情况及增减变化原因</w:t>
      </w:r>
    </w:p>
    <w:p>
      <w:pPr>
        <w:pStyle w:val="25"/>
        <w:ind w:left="0" w:leftChars="0" w:firstLine="560" w:firstLineChars="200"/>
        <w:rPr>
          <w:lang w:val="en-US"/>
        </w:rPr>
      </w:pPr>
      <w:r>
        <w:t>202</w:t>
      </w:r>
      <w:r>
        <w:rPr>
          <w:rFonts w:hint="eastAsia"/>
          <w:lang w:val="en-US" w:eastAsia="zh-CN"/>
        </w:rPr>
        <w:t>6</w:t>
      </w:r>
      <w:r>
        <w:t>年，我部门财政拨款“三公”经费预算安排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万元（其中：公务用车购置费0万元，公务用车运行维护费</w:t>
      </w:r>
      <w:r>
        <w:rPr>
          <w:rFonts w:hint="eastAsia"/>
          <w:lang w:val="en-US" w:eastAsia="zh-CN"/>
        </w:rPr>
        <w:t>0</w:t>
      </w:r>
      <w:r>
        <w:t>万元）；公务接待费0万元。“三公”经费</w:t>
      </w:r>
      <w:r>
        <w:rPr>
          <w:rFonts w:hint="eastAsia"/>
          <w:lang w:val="en-US" w:eastAsia="zh-CN"/>
        </w:rPr>
        <w:t>与上年无变化。</w:t>
      </w:r>
    </w:p>
    <w:p>
      <w:pPr>
        <w:pStyle w:val="20"/>
      </w:pPr>
    </w:p>
    <w:p>
      <w:pPr>
        <w:pStyle w:val="20"/>
      </w:pPr>
    </w:p>
    <w:p>
      <w:pPr>
        <w:pStyle w:val="20"/>
      </w:pPr>
    </w:p>
    <w:p>
      <w:pPr>
        <w:pStyle w:val="20"/>
      </w:pP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第一部分 部门整体绩效目标</w:t>
      </w:r>
    </w:p>
    <w:p>
      <w:pPr>
        <w:pStyle w:val="26"/>
      </w:pPr>
      <w:r>
        <w:t>（一）总体绩效目标</w:t>
      </w:r>
    </w:p>
    <w:p>
      <w:pPr>
        <w:pStyle w:val="26"/>
      </w:pPr>
      <w:r>
        <w:t>新城铺镇坚持以科学发展观为指导，紧紧围绕在镇党委、镇政府中心工作和全镇大局，解放思想，开拓创新，强化责任，优化机制，转变作风，提升效能，不断提高新城铺镇工作的科学化、制度化、规范化水平，不断提高服务质量，集中解决事关经济社会发展的重大问题，涉及民生利益的突出问题和群众反映强烈的热点难点问题，切实发挥好镇政府的职能作用，为实现新城铺镇的全面发展提供有力保障。</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p>
    <w:p>
      <w:pPr>
        <w:pStyle w:val="27"/>
      </w:pPr>
      <w:r>
        <w:t>（二）分项绩效目标</w:t>
      </w:r>
    </w:p>
    <w:p>
      <w:pPr>
        <w:pStyle w:val="27"/>
      </w:pPr>
      <w:r>
        <w:t>（一）宣传贯彻执行党的路线、方针、政策和国家的法律法规，执行本级人民代表会议的决议和上级国家行政机关的决定和命令；做好党建和党支部组织建设工作。</w:t>
      </w:r>
    </w:p>
    <w:p>
      <w:pPr>
        <w:pStyle w:val="27"/>
      </w:pPr>
      <w:r>
        <w:t>（二）负责本乡镇产业发展规划，引导农民立足自身资源和区位条件，发挥优势，大力发展区域特色经济，为农民提供政策、信息等服务，促进农民脱贫致富。</w:t>
      </w:r>
    </w:p>
    <w:p>
      <w:pPr>
        <w:pStyle w:val="27"/>
      </w:pPr>
      <w:r>
        <w:t>（三）加强工业经济管理，为招商引资营造良好环境（投资环境、社会环境），大力发展第二、第三产业，加快城镇化进程；做好培育和发展农村经济合作组织工作，为农民提供致富信息、技术服务，畅通购销渠道。</w:t>
      </w:r>
    </w:p>
    <w:p>
      <w:pPr>
        <w:pStyle w:val="27"/>
      </w:pPr>
      <w:r>
        <w:t>（四）依法管理镇财政，执行本级预算；加强乡村财政资金监督管理、农村合作管理及农民减负工作，做好乡镇统计、审计等工作。</w:t>
      </w:r>
    </w:p>
    <w:p>
      <w:pPr>
        <w:pStyle w:val="27"/>
      </w:pPr>
      <w:r>
        <w:t>（五）做好人口和计划生育管理及计划生育协会工作，加强流动人口生育管理和计划生育技术服务等工作。</w:t>
      </w:r>
    </w:p>
    <w:p>
      <w:pPr>
        <w:pStyle w:val="27"/>
      </w:pPr>
      <w:r>
        <w:t>（六）做好农村民主政治建设和农民自治工作，加强农村基层组织建设，为实现公民在选举、决策、管理等方面的民主权利创造条件；加强农村精神文明建设和生态文明村建设，制定构建和谐社会的具体措施，并抓好组织实施；做好兵役事项及民兵工作；组织乡村公共基础设施建设、搞好九年义务教育，普及科学技术，丰富农村文化生活，开展全民健身运动。</w:t>
      </w:r>
    </w:p>
    <w:p>
      <w:pPr>
        <w:pStyle w:val="27"/>
      </w:pPr>
      <w:r>
        <w:t>（七）负责做好群众来信来访，妥善处理突发性群体事件，维护社会稳定，做好社会治安综合治理工作；疏导各类纠纷，协调解决疑难问题，预防违法犯罪。</w:t>
      </w:r>
    </w:p>
    <w:p>
      <w:pPr>
        <w:pStyle w:val="27"/>
      </w:pPr>
      <w:r>
        <w:t>（八）配合城建、土地、环保部门做好镇村建设规划、保护耕地、保护环境工作，提高资源利用率；配合安全生产监督管理部门做好安全生产监督管理工作。</w:t>
      </w:r>
    </w:p>
    <w:p>
      <w:pPr>
        <w:pStyle w:val="27"/>
      </w:pPr>
      <w:r>
        <w:t>（九）配合农业各部门做好农业技术服务和技术推广，动物防疫工作，加强农田水利基本建设，增强农业抗御自然灾害的能力。</w:t>
      </w:r>
    </w:p>
    <w:p>
      <w:pPr>
        <w:pStyle w:val="27"/>
      </w:pPr>
      <w:r>
        <w:t>（十）配合民政、残联部门做好农村扶贫、低保、特困户救助、残疾人服务和民族宗教工作；配合劳动部门做好农村劳动力职业技能培训、劳动力输出、农村养老保险、社会保障工作。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（三）工作保障措施</w:t>
      </w:r>
    </w:p>
    <w:p>
      <w:pPr>
        <w:pStyle w:val="28"/>
      </w:pPr>
      <w:r>
        <w:t>（一）执行好党的路线、方针、政策和国家的法律法规，本级人民代表会议的决议和上级国家行政机关的决定和命令；做好党建和党支部组织建设工作。</w:t>
      </w:r>
    </w:p>
    <w:p>
      <w:pPr>
        <w:pStyle w:val="28"/>
      </w:pPr>
      <w:r>
        <w:t>（二）引导农民立足自身资源和区位条件，发挥优势，大力发展区域特色经济，为农民提供政策、信息等服务，促进农民脱贫致富。</w:t>
      </w:r>
    </w:p>
    <w:p>
      <w:pPr>
        <w:pStyle w:val="28"/>
      </w:pPr>
      <w:r>
        <w:t>（三）做好招商引资，加快城镇化进程；做好培育和发展农村经济合作组织工作。</w:t>
      </w:r>
    </w:p>
    <w:p>
      <w:pPr>
        <w:pStyle w:val="28"/>
      </w:pPr>
      <w:r>
        <w:t>（四）依法管理镇财政，执行本级预算；对乡村财政资金进行监督管理，做好乡镇统计、审计等工作。</w:t>
      </w:r>
    </w:p>
    <w:p>
      <w:pPr>
        <w:pStyle w:val="28"/>
      </w:pPr>
      <w:r>
        <w:t>（五）做好人口和计划生育管理及计划生育协会工作，加强流动人口生育管理和计划生育技术服务等工作。</w:t>
      </w:r>
    </w:p>
    <w:p>
      <w:pPr>
        <w:pStyle w:val="28"/>
      </w:pPr>
      <w:r>
        <w:t>（六）做好农村民主政治建设和农民自治工作，加强农村基层组织建设；做好农村精神文明建设和生态文明村建设；做好兵役事项及民兵工作；做好乡村公共基础设施建设、搞好九年义务教育，开展全民健身运动。</w:t>
      </w:r>
    </w:p>
    <w:p>
      <w:pPr>
        <w:pStyle w:val="28"/>
      </w:pPr>
      <w:r>
        <w:t>（七）做好群众来信来访，妥善处理突发性群体事件，维护社会稳定，做好社会治安综合治理工作；疏导各类纠纷，协调解决疑难问题，预防违法犯罪。</w:t>
      </w:r>
    </w:p>
    <w:p>
      <w:pPr>
        <w:pStyle w:val="28"/>
      </w:pPr>
      <w:r>
        <w:t>（八）做好镇村建设规划、保护耕地、保护环境工作；做好安全生产监督管理工作。</w:t>
      </w:r>
    </w:p>
    <w:p>
      <w:pPr>
        <w:pStyle w:val="28"/>
      </w:pPr>
      <w:r>
        <w:t>（九）做好农业技术服务和技术推广，动物防疫工作，加强农田水利基本建设，增强农业抗御自然灾害的能力。</w:t>
      </w:r>
    </w:p>
    <w:p>
      <w:pPr>
        <w:numPr>
          <w:ilvl w:val="0"/>
          <w:numId w:val="0"/>
        </w:numPr>
        <w:spacing w:before="10" w:after="10" w:line="240" w:lineRule="auto"/>
        <w:jc w:val="left"/>
        <w:outlineLvl w:val="5"/>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sectPr>
      </w:pPr>
      <w:r>
        <w:rPr>
          <w:rFonts w:ascii="Times New Roman" w:hAnsi="Times New Roman" w:eastAsia="方正仿宋_GBK" w:cs="Times New Roman"/>
          <w:sz w:val="28"/>
          <w:szCs w:val="24"/>
          <w:lang w:val="en-US" w:eastAsia="uk-UA" w:bidi="ar-SA"/>
        </w:rPr>
        <w:t>（十）做好农村扶贫、低保、特困户救助、残疾人服务和民族宗教工作；做好农村劳动力职业技能培训、劳动力输出、农村养老保险、社会保障工作。</w:t>
      </w:r>
    </w:p>
    <w:p>
      <w:pPr>
        <w:spacing w:before="0" w:after="0"/>
        <w:ind w:firstLine="560"/>
        <w:jc w:val="left"/>
        <w:outlineLvl w:val="9"/>
      </w:pPr>
      <w:r>
        <w:rPr>
          <w:rFonts w:ascii="方正仿宋_GBK" w:hAnsi="方正仿宋_GBK" w:eastAsia="方正仿宋_GBK" w:cs="方正仿宋_GBK"/>
          <w:b/>
          <w:color w:val="000000"/>
          <w:sz w:val="28"/>
        </w:rPr>
        <w:t>1、 2026年市级公共文化服务体系建设专项资金 石财教[2025]10号绩效目标表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13012326P000029100767</w:t>
            </w:r>
          </w:p>
        </w:tc>
        <w:tc>
          <w:tcPr>
            <w:tcW w:w="2835" w:type="dxa"/>
            <w:vAlign w:val="center"/>
          </w:tcPr>
          <w:p>
            <w:pPr>
              <w:pStyle w:val="10"/>
            </w:pPr>
            <w:r>
              <w:t>项目名称</w:t>
            </w:r>
          </w:p>
        </w:tc>
        <w:tc>
          <w:tcPr>
            <w:tcW w:w="6095" w:type="dxa"/>
            <w:gridSpan w:val="3"/>
            <w:vAlign w:val="center"/>
          </w:tcPr>
          <w:p>
            <w:pPr>
              <w:pStyle w:val="12"/>
            </w:pPr>
            <w:r>
              <w:t xml:space="preserve"> 2026年市级公共文化服务体系建设专项资金 石财教[2025]10号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保障2026年市级公共文化服务体系建设专项资金及时到位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1.保障2026年市级公共文化服务体系建设专项资金及时到位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免费开放比例</w:t>
            </w:r>
          </w:p>
        </w:tc>
        <w:tc>
          <w:tcPr>
            <w:tcW w:w="5386" w:type="dxa"/>
            <w:vAlign w:val="center"/>
          </w:tcPr>
          <w:p>
            <w:pPr>
              <w:pStyle w:val="12"/>
            </w:pPr>
            <w:r>
              <w:t xml:space="preserve"> 免费开放比例</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群众文化服务参与情况</w:t>
            </w:r>
          </w:p>
        </w:tc>
        <w:tc>
          <w:tcPr>
            <w:tcW w:w="5386" w:type="dxa"/>
            <w:vAlign w:val="center"/>
          </w:tcPr>
          <w:p>
            <w:pPr>
              <w:pStyle w:val="12"/>
            </w:pPr>
            <w:r>
              <w:t xml:space="preserve"> 群众文化服务参与情况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各项工作完成时间</w:t>
            </w:r>
          </w:p>
        </w:tc>
        <w:tc>
          <w:tcPr>
            <w:tcW w:w="5386" w:type="dxa"/>
            <w:vAlign w:val="center"/>
          </w:tcPr>
          <w:p>
            <w:pPr>
              <w:pStyle w:val="12"/>
            </w:pPr>
            <w:r>
              <w:t xml:space="preserve"> 各项工作完成时间</w:t>
            </w:r>
          </w:p>
        </w:tc>
        <w:tc>
          <w:tcPr>
            <w:tcW w:w="2268" w:type="dxa"/>
            <w:vAlign w:val="center"/>
          </w:tcPr>
          <w:p>
            <w:pPr>
              <w:pStyle w:val="12"/>
            </w:pPr>
            <w:r>
              <w:t xml:space="preserve"> 2026年12月</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预算资金完成率</w:t>
            </w:r>
          </w:p>
        </w:tc>
        <w:tc>
          <w:tcPr>
            <w:tcW w:w="5386" w:type="dxa"/>
            <w:vAlign w:val="center"/>
          </w:tcPr>
          <w:p>
            <w:pPr>
              <w:pStyle w:val="12"/>
            </w:pPr>
            <w:r>
              <w:t xml:space="preserve"> 预算资金完成率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免费开放服务水平</w:t>
            </w:r>
          </w:p>
        </w:tc>
        <w:tc>
          <w:tcPr>
            <w:tcW w:w="5386" w:type="dxa"/>
            <w:vAlign w:val="center"/>
          </w:tcPr>
          <w:p>
            <w:pPr>
              <w:pStyle w:val="12"/>
            </w:pPr>
            <w:r>
              <w:t xml:space="preserve"> 免费开放服务水平</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带动相关消费情况</w:t>
            </w:r>
          </w:p>
        </w:tc>
        <w:tc>
          <w:tcPr>
            <w:tcW w:w="5386" w:type="dxa"/>
            <w:vAlign w:val="center"/>
          </w:tcPr>
          <w:p>
            <w:pPr>
              <w:pStyle w:val="12"/>
            </w:pPr>
            <w:r>
              <w:t xml:space="preserve"> 带动相关消费情况</w:t>
            </w:r>
          </w:p>
        </w:tc>
        <w:tc>
          <w:tcPr>
            <w:tcW w:w="2268" w:type="dxa"/>
            <w:vAlign w:val="center"/>
          </w:tcPr>
          <w:p>
            <w:pPr>
              <w:pStyle w:val="12"/>
            </w:pPr>
            <w:r>
              <w:t xml:space="preserve"> 带动</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 xml:space="preserve"> 生态效益指标</w:t>
            </w:r>
          </w:p>
        </w:tc>
        <w:tc>
          <w:tcPr>
            <w:tcW w:w="5386" w:type="dxa"/>
            <w:vAlign w:val="center"/>
          </w:tcPr>
          <w:p>
            <w:pPr>
              <w:pStyle w:val="12"/>
            </w:pPr>
            <w:r>
              <w:t xml:space="preserve"> 生态效益指标</w:t>
            </w:r>
          </w:p>
        </w:tc>
        <w:tc>
          <w:tcPr>
            <w:tcW w:w="2268" w:type="dxa"/>
            <w:vAlign w:val="center"/>
          </w:tcPr>
          <w:p>
            <w:pPr>
              <w:pStyle w:val="12"/>
            </w:pPr>
            <w:r>
              <w:t xml:space="preserve"> 增长</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 xml:space="preserve"> 维持文化站免费开放</w:t>
            </w:r>
          </w:p>
        </w:tc>
        <w:tc>
          <w:tcPr>
            <w:tcW w:w="5386" w:type="dxa"/>
            <w:vAlign w:val="center"/>
          </w:tcPr>
          <w:p>
            <w:pPr>
              <w:pStyle w:val="12"/>
            </w:pPr>
            <w:r>
              <w:t xml:space="preserve"> 维持文化站免费开放</w:t>
            </w:r>
          </w:p>
        </w:tc>
        <w:tc>
          <w:tcPr>
            <w:tcW w:w="2268" w:type="dxa"/>
            <w:vAlign w:val="center"/>
          </w:tcPr>
          <w:p>
            <w:pPr>
              <w:pStyle w:val="12"/>
            </w:pPr>
            <w:r>
              <w:t xml:space="preserve"> 维持</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2、2025年度离任村干部补贴绩效目标表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13012326P00000810166G</w:t>
            </w:r>
          </w:p>
        </w:tc>
        <w:tc>
          <w:tcPr>
            <w:tcW w:w="2835" w:type="dxa"/>
            <w:vAlign w:val="center"/>
          </w:tcPr>
          <w:p>
            <w:pPr>
              <w:pStyle w:val="10"/>
            </w:pPr>
            <w:r>
              <w:t>项目名称</w:t>
            </w:r>
          </w:p>
        </w:tc>
        <w:tc>
          <w:tcPr>
            <w:tcW w:w="6095" w:type="dxa"/>
            <w:gridSpan w:val="3"/>
            <w:vAlign w:val="center"/>
          </w:tcPr>
          <w:p>
            <w:pPr>
              <w:pStyle w:val="12"/>
            </w:pPr>
            <w:r>
              <w:t>2025年度离任村干部补贴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w:t>
            </w:r>
          </w:p>
        </w:tc>
        <w:tc>
          <w:tcPr>
            <w:tcW w:w="2835" w:type="dxa"/>
            <w:vAlign w:val="center"/>
          </w:tcPr>
          <w:p>
            <w:pPr>
              <w:pStyle w:val="10"/>
            </w:pPr>
            <w:r>
              <w:t>其中：财政    资金</w:t>
            </w:r>
          </w:p>
        </w:tc>
        <w:tc>
          <w:tcPr>
            <w:tcW w:w="2551" w:type="dxa"/>
            <w:vAlign w:val="center"/>
          </w:tcPr>
          <w:p>
            <w:pPr>
              <w:pStyle w:val="12"/>
            </w:pPr>
            <w:r>
              <w:t>2.63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足额发放离任村干部补贴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足额发放离任村干部补贴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按照离任村干部人数足额发放</w:t>
            </w:r>
          </w:p>
        </w:tc>
        <w:tc>
          <w:tcPr>
            <w:tcW w:w="5386" w:type="dxa"/>
            <w:vAlign w:val="center"/>
          </w:tcPr>
          <w:p>
            <w:pPr>
              <w:pStyle w:val="12"/>
            </w:pPr>
            <w:r>
              <w:t xml:space="preserve"> 按照离任村干部人数足额发放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是否按人实发到位</w:t>
            </w:r>
          </w:p>
        </w:tc>
        <w:tc>
          <w:tcPr>
            <w:tcW w:w="5386" w:type="dxa"/>
            <w:vAlign w:val="center"/>
          </w:tcPr>
          <w:p>
            <w:pPr>
              <w:pStyle w:val="12"/>
            </w:pPr>
            <w:r>
              <w:t xml:space="preserve"> 是否按人实发到位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及时发放</w:t>
            </w:r>
          </w:p>
        </w:tc>
        <w:tc>
          <w:tcPr>
            <w:tcW w:w="5386" w:type="dxa"/>
            <w:vAlign w:val="center"/>
          </w:tcPr>
          <w:p>
            <w:pPr>
              <w:pStyle w:val="12"/>
            </w:pPr>
            <w:r>
              <w:t xml:space="preserve"> 及时发放</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预算成本控制数</w:t>
            </w:r>
          </w:p>
        </w:tc>
        <w:tc>
          <w:tcPr>
            <w:tcW w:w="5386" w:type="dxa"/>
            <w:vAlign w:val="center"/>
          </w:tcPr>
          <w:p>
            <w:pPr>
              <w:pStyle w:val="12"/>
            </w:pPr>
            <w:r>
              <w:t xml:space="preserve"> 预算成本控制数</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资金使用率</w:t>
            </w:r>
          </w:p>
        </w:tc>
        <w:tc>
          <w:tcPr>
            <w:tcW w:w="5386" w:type="dxa"/>
            <w:vAlign w:val="center"/>
          </w:tcPr>
          <w:p>
            <w:pPr>
              <w:pStyle w:val="12"/>
            </w:pPr>
            <w:r>
              <w:t xml:space="preserve"> 资金使用率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满意率</w:t>
            </w:r>
          </w:p>
        </w:tc>
        <w:tc>
          <w:tcPr>
            <w:tcW w:w="5386" w:type="dxa"/>
            <w:vAlign w:val="center"/>
          </w:tcPr>
          <w:p>
            <w:pPr>
              <w:pStyle w:val="12"/>
            </w:pPr>
            <w:r>
              <w:t xml:space="preserve"> 满意率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3、2025年中央农村公益事业建设财政奖补项目（石财农[2024]53号）绩效目标表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13012325P00003610050H</w:t>
            </w:r>
          </w:p>
        </w:tc>
        <w:tc>
          <w:tcPr>
            <w:tcW w:w="2835" w:type="dxa"/>
            <w:vAlign w:val="center"/>
          </w:tcPr>
          <w:p>
            <w:pPr>
              <w:pStyle w:val="10"/>
            </w:pPr>
            <w:r>
              <w:t>项目名称</w:t>
            </w:r>
          </w:p>
        </w:tc>
        <w:tc>
          <w:tcPr>
            <w:tcW w:w="6095" w:type="dxa"/>
            <w:gridSpan w:val="3"/>
            <w:vAlign w:val="center"/>
          </w:tcPr>
          <w:p>
            <w:pPr>
              <w:pStyle w:val="12"/>
            </w:pPr>
            <w:r>
              <w:t>2025年中央农村公益事业建设财政奖补项目（石财农[2024]53号）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94.40</w:t>
            </w:r>
          </w:p>
        </w:tc>
        <w:tc>
          <w:tcPr>
            <w:tcW w:w="2835" w:type="dxa"/>
            <w:vAlign w:val="center"/>
          </w:tcPr>
          <w:p>
            <w:pPr>
              <w:pStyle w:val="10"/>
            </w:pPr>
            <w:r>
              <w:t>其中：财政    资金</w:t>
            </w:r>
          </w:p>
        </w:tc>
        <w:tc>
          <w:tcPr>
            <w:tcW w:w="2551" w:type="dxa"/>
            <w:vAlign w:val="center"/>
          </w:tcPr>
          <w:p>
            <w:pPr>
              <w:pStyle w:val="12"/>
            </w:pPr>
            <w:r>
              <w:t>94.40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满足2025年中央农村公益事业建设财政奖补项目资金及时到位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1.满足2025年中央农村公益事业建设财政奖补项目资金及时到位</w:t>
            </w:r>
          </w:p>
          <w:p>
            <w:pPr>
              <w:pStyle w:val="12"/>
            </w:pPr>
            <w:r>
              <w:t>2. 满足2025年中央农村公益事业建设财政奖补项目资金及时到位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资金使用效率</w:t>
            </w:r>
          </w:p>
        </w:tc>
        <w:tc>
          <w:tcPr>
            <w:tcW w:w="5386" w:type="dxa"/>
            <w:vAlign w:val="center"/>
          </w:tcPr>
          <w:p>
            <w:pPr>
              <w:pStyle w:val="12"/>
            </w:pPr>
            <w:r>
              <w:t xml:space="preserve">  资金使用效率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4、2025年中央农村公益事业建设财政奖补项目（石财农[2024]53号）绩效目标表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13012326P00003610082T</w:t>
            </w:r>
          </w:p>
        </w:tc>
        <w:tc>
          <w:tcPr>
            <w:tcW w:w="2835" w:type="dxa"/>
            <w:vAlign w:val="center"/>
          </w:tcPr>
          <w:p>
            <w:pPr>
              <w:pStyle w:val="10"/>
            </w:pPr>
            <w:r>
              <w:t>项目名称</w:t>
            </w:r>
          </w:p>
        </w:tc>
        <w:tc>
          <w:tcPr>
            <w:tcW w:w="6095" w:type="dxa"/>
            <w:gridSpan w:val="3"/>
            <w:vAlign w:val="center"/>
          </w:tcPr>
          <w:p>
            <w:pPr>
              <w:pStyle w:val="12"/>
            </w:pPr>
            <w:r>
              <w:t>2025年中央农村公益事业建设财政奖补项目（石财农[2024]53号）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23.60</w:t>
            </w:r>
          </w:p>
        </w:tc>
        <w:tc>
          <w:tcPr>
            <w:tcW w:w="2835" w:type="dxa"/>
            <w:vAlign w:val="center"/>
          </w:tcPr>
          <w:p>
            <w:pPr>
              <w:pStyle w:val="10"/>
            </w:pPr>
            <w:r>
              <w:t>其中：财政    资金</w:t>
            </w:r>
          </w:p>
        </w:tc>
        <w:tc>
          <w:tcPr>
            <w:tcW w:w="2551" w:type="dxa"/>
            <w:vAlign w:val="center"/>
          </w:tcPr>
          <w:p>
            <w:pPr>
              <w:pStyle w:val="12"/>
            </w:pPr>
            <w:r>
              <w:t>23.60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保障2025年中央农村公益事业建设财政奖补项目资金及时到位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保障2025年中央农村公益事业建设财政奖补项目资金及时到位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预算控制在成本内</w:t>
            </w:r>
          </w:p>
        </w:tc>
        <w:tc>
          <w:tcPr>
            <w:tcW w:w="5386" w:type="dxa"/>
            <w:vAlign w:val="center"/>
          </w:tcPr>
          <w:p>
            <w:pPr>
              <w:pStyle w:val="12"/>
            </w:pPr>
            <w:r>
              <w:t>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资金使用效率</w:t>
            </w:r>
          </w:p>
        </w:tc>
        <w:tc>
          <w:tcPr>
            <w:tcW w:w="5386" w:type="dxa"/>
            <w:vAlign w:val="center"/>
          </w:tcPr>
          <w:p>
            <w:pPr>
              <w:pStyle w:val="12"/>
            </w:pPr>
            <w:r>
              <w:t xml:space="preserve"> 资金使用效率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13012326P00000810110F</w:t>
            </w:r>
          </w:p>
        </w:tc>
        <w:tc>
          <w:tcPr>
            <w:tcW w:w="2835" w:type="dxa"/>
            <w:vAlign w:val="center"/>
          </w:tcPr>
          <w:p>
            <w:pPr>
              <w:pStyle w:val="10"/>
            </w:pPr>
            <w:r>
              <w:t>项目名称</w:t>
            </w:r>
          </w:p>
        </w:tc>
        <w:tc>
          <w:tcPr>
            <w:tcW w:w="6095" w:type="dxa"/>
            <w:gridSpan w:val="3"/>
            <w:vAlign w:val="center"/>
          </w:tcPr>
          <w:p>
            <w:pPr>
              <w:pStyle w:val="12"/>
            </w:pPr>
            <w:r>
              <w:t>2026年村党组织活动经费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35.94</w:t>
            </w:r>
          </w:p>
        </w:tc>
        <w:tc>
          <w:tcPr>
            <w:tcW w:w="2835" w:type="dxa"/>
            <w:vAlign w:val="center"/>
          </w:tcPr>
          <w:p>
            <w:pPr>
              <w:pStyle w:val="10"/>
            </w:pPr>
            <w:r>
              <w:t>其中：财政    资金</w:t>
            </w:r>
          </w:p>
        </w:tc>
        <w:tc>
          <w:tcPr>
            <w:tcW w:w="2551" w:type="dxa"/>
            <w:vAlign w:val="center"/>
          </w:tcPr>
          <w:p>
            <w:pPr>
              <w:pStyle w:val="12"/>
            </w:pPr>
            <w:r>
              <w:t>35.94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保障2026年村党组织活动经费足额发放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1.保障2026年村党组织活动经费足额发放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按照党员人数合理发放资金</w:t>
            </w:r>
          </w:p>
        </w:tc>
        <w:tc>
          <w:tcPr>
            <w:tcW w:w="5386" w:type="dxa"/>
            <w:vAlign w:val="center"/>
          </w:tcPr>
          <w:p>
            <w:pPr>
              <w:pStyle w:val="12"/>
            </w:pPr>
            <w:r>
              <w:t xml:space="preserve">  按照党员人数合理发放资金</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正常开展党组织活动</w:t>
            </w:r>
          </w:p>
        </w:tc>
        <w:tc>
          <w:tcPr>
            <w:tcW w:w="5386" w:type="dxa"/>
            <w:vAlign w:val="center"/>
          </w:tcPr>
          <w:p>
            <w:pPr>
              <w:pStyle w:val="12"/>
            </w:pPr>
            <w:r>
              <w:t xml:space="preserve">  正常开展党组织活动</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及时发放</w:t>
            </w:r>
          </w:p>
        </w:tc>
        <w:tc>
          <w:tcPr>
            <w:tcW w:w="5386" w:type="dxa"/>
            <w:vAlign w:val="center"/>
          </w:tcPr>
          <w:p>
            <w:pPr>
              <w:pStyle w:val="12"/>
            </w:pPr>
            <w:r>
              <w:t xml:space="preserve">  及时发放</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资金使用率</w:t>
            </w:r>
          </w:p>
        </w:tc>
        <w:tc>
          <w:tcPr>
            <w:tcW w:w="5386" w:type="dxa"/>
            <w:vAlign w:val="center"/>
          </w:tcPr>
          <w:p>
            <w:pPr>
              <w:pStyle w:val="12"/>
            </w:pPr>
            <w:r>
              <w:t xml:space="preserve">  资金使用率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满意度</w:t>
            </w:r>
          </w:p>
        </w:tc>
        <w:tc>
          <w:tcPr>
            <w:tcW w:w="5386" w:type="dxa"/>
            <w:vAlign w:val="center"/>
          </w:tcPr>
          <w:p>
            <w:pPr>
              <w:pStyle w:val="12"/>
            </w:pPr>
            <w:r>
              <w:t xml:space="preserve">  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6、2026年村党组织书记、村民委员会主任基本报酬绩效目标表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13012326P00000810107W</w:t>
            </w:r>
          </w:p>
        </w:tc>
        <w:tc>
          <w:tcPr>
            <w:tcW w:w="2835" w:type="dxa"/>
            <w:vAlign w:val="center"/>
          </w:tcPr>
          <w:p>
            <w:pPr>
              <w:pStyle w:val="10"/>
            </w:pPr>
            <w:r>
              <w:t>项目名称</w:t>
            </w:r>
          </w:p>
        </w:tc>
        <w:tc>
          <w:tcPr>
            <w:tcW w:w="6095" w:type="dxa"/>
            <w:gridSpan w:val="3"/>
            <w:vAlign w:val="center"/>
          </w:tcPr>
          <w:p>
            <w:pPr>
              <w:pStyle w:val="12"/>
            </w:pPr>
            <w:r>
              <w:t>2026年村党组织书记、村民委员会主任基本报酬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85.30</w:t>
            </w:r>
          </w:p>
        </w:tc>
        <w:tc>
          <w:tcPr>
            <w:tcW w:w="2835" w:type="dxa"/>
            <w:vAlign w:val="center"/>
          </w:tcPr>
          <w:p>
            <w:pPr>
              <w:pStyle w:val="10"/>
            </w:pPr>
            <w:r>
              <w:t>其中：财政    资金</w:t>
            </w:r>
          </w:p>
        </w:tc>
        <w:tc>
          <w:tcPr>
            <w:tcW w:w="2551" w:type="dxa"/>
            <w:vAlign w:val="center"/>
          </w:tcPr>
          <w:p>
            <w:pPr>
              <w:pStyle w:val="12"/>
            </w:pPr>
            <w:r>
              <w:t>85.30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保障2026年村党组织书记、村民委员会主任基本报酬足额发放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保障2026年村党组织书记、村民委员会主任基本报酬足额发放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及时性</w:t>
            </w:r>
          </w:p>
        </w:tc>
        <w:tc>
          <w:tcPr>
            <w:tcW w:w="5386" w:type="dxa"/>
            <w:vAlign w:val="center"/>
          </w:tcPr>
          <w:p>
            <w:pPr>
              <w:pStyle w:val="12"/>
            </w:pPr>
            <w:r>
              <w:t xml:space="preserve">  及时性</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资金的使用率</w:t>
            </w:r>
          </w:p>
        </w:tc>
        <w:tc>
          <w:tcPr>
            <w:tcW w:w="5386" w:type="dxa"/>
            <w:vAlign w:val="center"/>
          </w:tcPr>
          <w:p>
            <w:pPr>
              <w:pStyle w:val="12"/>
            </w:pPr>
            <w:r>
              <w:t xml:space="preserve">  资金的使用率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满意度指标</w:t>
            </w:r>
          </w:p>
        </w:tc>
        <w:tc>
          <w:tcPr>
            <w:tcW w:w="5386" w:type="dxa"/>
            <w:vAlign w:val="center"/>
          </w:tcPr>
          <w:p>
            <w:pPr>
              <w:pStyle w:val="12"/>
            </w:pPr>
            <w:r>
              <w:t xml:space="preserve"> 满意度指标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7、2026年村级组织办公经费绩效目标表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13012326P000008101094</w:t>
            </w:r>
          </w:p>
        </w:tc>
        <w:tc>
          <w:tcPr>
            <w:tcW w:w="2835" w:type="dxa"/>
            <w:vAlign w:val="center"/>
          </w:tcPr>
          <w:p>
            <w:pPr>
              <w:pStyle w:val="10"/>
            </w:pPr>
            <w:r>
              <w:t>项目名称</w:t>
            </w:r>
          </w:p>
        </w:tc>
        <w:tc>
          <w:tcPr>
            <w:tcW w:w="6095" w:type="dxa"/>
            <w:gridSpan w:val="3"/>
            <w:vAlign w:val="center"/>
          </w:tcPr>
          <w:p>
            <w:pPr>
              <w:pStyle w:val="12"/>
            </w:pPr>
            <w:r>
              <w:t>2026年村级组织办公经费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保障村级组织办公经费足额发放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保障村级组织办公经费足额发放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按照行政村数量足额发放</w:t>
            </w:r>
          </w:p>
        </w:tc>
        <w:tc>
          <w:tcPr>
            <w:tcW w:w="5386" w:type="dxa"/>
            <w:vAlign w:val="center"/>
          </w:tcPr>
          <w:p>
            <w:pPr>
              <w:pStyle w:val="12"/>
            </w:pPr>
            <w:r>
              <w:t xml:space="preserve">  按照行政村数量足额发放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正常开展村内事务活动</w:t>
            </w:r>
          </w:p>
        </w:tc>
        <w:tc>
          <w:tcPr>
            <w:tcW w:w="5386" w:type="dxa"/>
            <w:vAlign w:val="center"/>
          </w:tcPr>
          <w:p>
            <w:pPr>
              <w:pStyle w:val="12"/>
            </w:pPr>
            <w:r>
              <w:t xml:space="preserve">  正常开展村内事务活动</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及时发放</w:t>
            </w:r>
          </w:p>
        </w:tc>
        <w:tc>
          <w:tcPr>
            <w:tcW w:w="5386" w:type="dxa"/>
            <w:vAlign w:val="center"/>
          </w:tcPr>
          <w:p>
            <w:pPr>
              <w:pStyle w:val="12"/>
            </w:pPr>
            <w:r>
              <w:t xml:space="preserve">  及时发放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资金使用率</w:t>
            </w:r>
          </w:p>
        </w:tc>
        <w:tc>
          <w:tcPr>
            <w:tcW w:w="5386" w:type="dxa"/>
            <w:vAlign w:val="center"/>
          </w:tcPr>
          <w:p>
            <w:pPr>
              <w:pStyle w:val="12"/>
            </w:pPr>
            <w:r>
              <w:t xml:space="preserve">  资金使用率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服务期限</w:t>
            </w:r>
          </w:p>
        </w:tc>
        <w:tc>
          <w:tcPr>
            <w:tcW w:w="5386" w:type="dxa"/>
            <w:vAlign w:val="center"/>
          </w:tcPr>
          <w:p>
            <w:pPr>
              <w:pStyle w:val="12"/>
            </w:pPr>
            <w:r>
              <w:t>服务期限</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满意率</w:t>
            </w:r>
          </w:p>
        </w:tc>
        <w:tc>
          <w:tcPr>
            <w:tcW w:w="5386" w:type="dxa"/>
            <w:vAlign w:val="center"/>
          </w:tcPr>
          <w:p>
            <w:pPr>
              <w:pStyle w:val="12"/>
            </w:pPr>
            <w:r>
              <w:t xml:space="preserve">  满意率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13012326P000008101113</w:t>
            </w:r>
          </w:p>
        </w:tc>
        <w:tc>
          <w:tcPr>
            <w:tcW w:w="2835" w:type="dxa"/>
            <w:vAlign w:val="center"/>
          </w:tcPr>
          <w:p>
            <w:pPr>
              <w:pStyle w:val="10"/>
            </w:pPr>
            <w:r>
              <w:t>项目名称</w:t>
            </w:r>
          </w:p>
        </w:tc>
        <w:tc>
          <w:tcPr>
            <w:tcW w:w="6095" w:type="dxa"/>
            <w:gridSpan w:val="3"/>
            <w:vAlign w:val="center"/>
          </w:tcPr>
          <w:p>
            <w:pPr>
              <w:pStyle w:val="12"/>
            </w:pPr>
            <w:r>
              <w:t>2026年服务群众专项经费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保障2026年服务群众专项经费足额发放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保障2026年服务群众专项经费足额发放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按照行政村数量足额发放</w:t>
            </w:r>
          </w:p>
        </w:tc>
        <w:tc>
          <w:tcPr>
            <w:tcW w:w="5386" w:type="dxa"/>
            <w:vAlign w:val="center"/>
          </w:tcPr>
          <w:p>
            <w:pPr>
              <w:pStyle w:val="12"/>
            </w:pPr>
            <w:r>
              <w:t xml:space="preserve"> 按照行政村数量足额发放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正常开展村内事务</w:t>
            </w:r>
          </w:p>
        </w:tc>
        <w:tc>
          <w:tcPr>
            <w:tcW w:w="5386" w:type="dxa"/>
            <w:vAlign w:val="center"/>
          </w:tcPr>
          <w:p>
            <w:pPr>
              <w:pStyle w:val="12"/>
            </w:pPr>
            <w:r>
              <w:t xml:space="preserve">  正常开展村内事务</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及时发放</w:t>
            </w:r>
          </w:p>
        </w:tc>
        <w:tc>
          <w:tcPr>
            <w:tcW w:w="5386" w:type="dxa"/>
            <w:vAlign w:val="center"/>
          </w:tcPr>
          <w:p>
            <w:pPr>
              <w:pStyle w:val="12"/>
            </w:pPr>
            <w:r>
              <w:t xml:space="preserve"> 及时发放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资金使用率</w:t>
            </w:r>
          </w:p>
        </w:tc>
        <w:tc>
          <w:tcPr>
            <w:tcW w:w="5386" w:type="dxa"/>
            <w:vAlign w:val="center"/>
          </w:tcPr>
          <w:p>
            <w:pPr>
              <w:pStyle w:val="12"/>
            </w:pPr>
            <w:r>
              <w:t xml:space="preserve">  资金使用率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满意率</w:t>
            </w:r>
          </w:p>
        </w:tc>
        <w:tc>
          <w:tcPr>
            <w:tcW w:w="5386" w:type="dxa"/>
            <w:vAlign w:val="center"/>
          </w:tcPr>
          <w:p>
            <w:pPr>
              <w:pStyle w:val="12"/>
            </w:pPr>
            <w:r>
              <w:t xml:space="preserve">  满意率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9、2026年精神障碍患者监护人以奖代补项目绩效目标表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13012326P00002810018H</w:t>
            </w:r>
          </w:p>
        </w:tc>
        <w:tc>
          <w:tcPr>
            <w:tcW w:w="2835" w:type="dxa"/>
            <w:vAlign w:val="center"/>
          </w:tcPr>
          <w:p>
            <w:pPr>
              <w:pStyle w:val="10"/>
            </w:pPr>
            <w:r>
              <w:t>项目名称</w:t>
            </w:r>
          </w:p>
        </w:tc>
        <w:tc>
          <w:tcPr>
            <w:tcW w:w="6095" w:type="dxa"/>
            <w:gridSpan w:val="3"/>
            <w:vAlign w:val="center"/>
          </w:tcPr>
          <w:p>
            <w:pPr>
              <w:pStyle w:val="12"/>
            </w:pPr>
            <w:r>
              <w:t>2026年精神障碍患者监护人以奖代补项目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    资金</w:t>
            </w:r>
          </w:p>
        </w:tc>
        <w:tc>
          <w:tcPr>
            <w:tcW w:w="2551" w:type="dxa"/>
            <w:vAlign w:val="center"/>
          </w:tcPr>
          <w:p>
            <w:pPr>
              <w:pStyle w:val="12"/>
            </w:pPr>
            <w:r>
              <w:t>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保障2026年精神障碍患者监护人以奖代补项目资金及时到位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保障2026年精神障碍患者监护人以奖代补项目资金及时到位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及时性</w:t>
            </w:r>
          </w:p>
        </w:tc>
        <w:tc>
          <w:tcPr>
            <w:tcW w:w="5386" w:type="dxa"/>
            <w:vAlign w:val="center"/>
          </w:tcPr>
          <w:p>
            <w:pPr>
              <w:pStyle w:val="12"/>
            </w:pPr>
            <w:r>
              <w:t xml:space="preserve"> 及时性</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项目预算控制在成本内</w:t>
            </w:r>
          </w:p>
        </w:tc>
        <w:tc>
          <w:tcPr>
            <w:tcW w:w="5386" w:type="dxa"/>
            <w:vAlign w:val="center"/>
          </w:tcPr>
          <w:p>
            <w:pPr>
              <w:pStyle w:val="12"/>
            </w:pPr>
            <w:r>
              <w:t xml:space="preserve"> 项目预算控制在成本内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资金的使用效率</w:t>
            </w:r>
          </w:p>
        </w:tc>
        <w:tc>
          <w:tcPr>
            <w:tcW w:w="5386" w:type="dxa"/>
            <w:vAlign w:val="center"/>
          </w:tcPr>
          <w:p>
            <w:pPr>
              <w:pStyle w:val="12"/>
            </w:pPr>
            <w:r>
              <w:t xml:space="preserve"> 资金的使用效率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 xml:space="preserve">≥95 百分比 </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10、2026年离任村干部补贴绩效目标表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13012326P00000810112N</w:t>
            </w:r>
          </w:p>
        </w:tc>
        <w:tc>
          <w:tcPr>
            <w:tcW w:w="2835" w:type="dxa"/>
            <w:vAlign w:val="center"/>
          </w:tcPr>
          <w:p>
            <w:pPr>
              <w:pStyle w:val="10"/>
            </w:pPr>
            <w:r>
              <w:t>项目名称</w:t>
            </w:r>
          </w:p>
        </w:tc>
        <w:tc>
          <w:tcPr>
            <w:tcW w:w="6095" w:type="dxa"/>
            <w:gridSpan w:val="3"/>
            <w:vAlign w:val="center"/>
          </w:tcPr>
          <w:p>
            <w:pPr>
              <w:pStyle w:val="12"/>
            </w:pPr>
            <w:r>
              <w:t>2026年离任村干部补贴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w:t>
            </w:r>
          </w:p>
        </w:tc>
        <w:tc>
          <w:tcPr>
            <w:tcW w:w="2835" w:type="dxa"/>
            <w:vAlign w:val="center"/>
          </w:tcPr>
          <w:p>
            <w:pPr>
              <w:pStyle w:val="10"/>
            </w:pPr>
            <w:r>
              <w:t>其中：财政    资金</w:t>
            </w:r>
          </w:p>
        </w:tc>
        <w:tc>
          <w:tcPr>
            <w:tcW w:w="2551" w:type="dxa"/>
            <w:vAlign w:val="center"/>
          </w:tcPr>
          <w:p>
            <w:pPr>
              <w:pStyle w:val="12"/>
            </w:pPr>
            <w:r>
              <w:t>7.65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保障2026年离任村干部补贴足额发放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1.保障2026年离任村干部补贴足额发放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按照离任村干部人数足额发放</w:t>
            </w:r>
          </w:p>
        </w:tc>
        <w:tc>
          <w:tcPr>
            <w:tcW w:w="5386" w:type="dxa"/>
            <w:vAlign w:val="center"/>
          </w:tcPr>
          <w:p>
            <w:pPr>
              <w:pStyle w:val="12"/>
            </w:pPr>
            <w:r>
              <w:t xml:space="preserve">  按照离任村干部人数足额发放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是否发放到位</w:t>
            </w:r>
          </w:p>
        </w:tc>
        <w:tc>
          <w:tcPr>
            <w:tcW w:w="5386" w:type="dxa"/>
            <w:vAlign w:val="center"/>
          </w:tcPr>
          <w:p>
            <w:pPr>
              <w:pStyle w:val="12"/>
            </w:pPr>
            <w:r>
              <w:t xml:space="preserve">  是否发放到位</w:t>
            </w:r>
          </w:p>
        </w:tc>
        <w:tc>
          <w:tcPr>
            <w:tcW w:w="2268" w:type="dxa"/>
            <w:vAlign w:val="center"/>
          </w:tcPr>
          <w:p>
            <w:pPr>
              <w:pStyle w:val="12"/>
            </w:pPr>
            <w:r>
              <w:t>≥95 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及时发放</w:t>
            </w:r>
          </w:p>
        </w:tc>
        <w:tc>
          <w:tcPr>
            <w:tcW w:w="5386" w:type="dxa"/>
            <w:vAlign w:val="center"/>
          </w:tcPr>
          <w:p>
            <w:pPr>
              <w:pStyle w:val="12"/>
            </w:pPr>
            <w:r>
              <w:t xml:space="preserve">  及时发放</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100 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资金使用效率</w:t>
            </w:r>
          </w:p>
        </w:tc>
        <w:tc>
          <w:tcPr>
            <w:tcW w:w="5386" w:type="dxa"/>
            <w:vAlign w:val="center"/>
          </w:tcPr>
          <w:p>
            <w:pPr>
              <w:pStyle w:val="12"/>
            </w:pPr>
            <w:r>
              <w:t xml:space="preserve">  资金使用效率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11、2026年其他村两委基本报酬绩效目标表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13012326P00000810108G</w:t>
            </w:r>
          </w:p>
        </w:tc>
        <w:tc>
          <w:tcPr>
            <w:tcW w:w="2835" w:type="dxa"/>
            <w:vAlign w:val="center"/>
          </w:tcPr>
          <w:p>
            <w:pPr>
              <w:pStyle w:val="10"/>
            </w:pPr>
            <w:r>
              <w:t>项目名称</w:t>
            </w:r>
          </w:p>
        </w:tc>
        <w:tc>
          <w:tcPr>
            <w:tcW w:w="6095" w:type="dxa"/>
            <w:gridSpan w:val="3"/>
            <w:vAlign w:val="center"/>
          </w:tcPr>
          <w:p>
            <w:pPr>
              <w:pStyle w:val="12"/>
            </w:pPr>
            <w:r>
              <w:t>2026年其他村两委基本报酬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115.77</w:t>
            </w:r>
          </w:p>
        </w:tc>
        <w:tc>
          <w:tcPr>
            <w:tcW w:w="2835" w:type="dxa"/>
            <w:vAlign w:val="center"/>
          </w:tcPr>
          <w:p>
            <w:pPr>
              <w:pStyle w:val="10"/>
            </w:pPr>
            <w:r>
              <w:t>其中：财政    资金</w:t>
            </w:r>
          </w:p>
        </w:tc>
        <w:tc>
          <w:tcPr>
            <w:tcW w:w="2551" w:type="dxa"/>
            <w:vAlign w:val="center"/>
          </w:tcPr>
          <w:p>
            <w:pPr>
              <w:pStyle w:val="12"/>
            </w:pPr>
            <w:r>
              <w:t>115.77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保障2026年其他村两委基本报酬发放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保障2026年其他村两委基本报酬发放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p>
            <w:pPr>
              <w:pStyle w:val="12"/>
            </w:pP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及时性</w:t>
            </w:r>
          </w:p>
        </w:tc>
        <w:tc>
          <w:tcPr>
            <w:tcW w:w="5386" w:type="dxa"/>
            <w:vAlign w:val="center"/>
          </w:tcPr>
          <w:p>
            <w:pPr>
              <w:pStyle w:val="12"/>
            </w:pPr>
            <w:r>
              <w:t xml:space="preserve"> 及时性</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项目控制在成本内</w:t>
            </w:r>
          </w:p>
        </w:tc>
        <w:tc>
          <w:tcPr>
            <w:tcW w:w="5386" w:type="dxa"/>
            <w:vAlign w:val="center"/>
          </w:tcPr>
          <w:p>
            <w:pPr>
              <w:pStyle w:val="12"/>
            </w:pPr>
            <w:r>
              <w:t xml:space="preserve"> 项目控制在成本内</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资金的使用效率</w:t>
            </w:r>
          </w:p>
        </w:tc>
        <w:tc>
          <w:tcPr>
            <w:tcW w:w="5386" w:type="dxa"/>
            <w:vAlign w:val="center"/>
          </w:tcPr>
          <w:p>
            <w:pPr>
              <w:pStyle w:val="12"/>
            </w:pPr>
            <w:r>
              <w:t xml:space="preserve"> 资金的使用效率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服务对象满意度指标</w:t>
            </w:r>
          </w:p>
        </w:tc>
        <w:tc>
          <w:tcPr>
            <w:tcW w:w="5386" w:type="dxa"/>
            <w:vAlign w:val="center"/>
          </w:tcPr>
          <w:p>
            <w:pPr>
              <w:pStyle w:val="12"/>
            </w:pPr>
            <w:r>
              <w:t xml:space="preserve"> 服务对象满意度指标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12、2026年省级基层三馆一站免费开放运行保障经费 石财教[2025]87号绩效目标表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13012326P000029100740</w:t>
            </w:r>
          </w:p>
        </w:tc>
        <w:tc>
          <w:tcPr>
            <w:tcW w:w="2835" w:type="dxa"/>
            <w:vAlign w:val="center"/>
          </w:tcPr>
          <w:p>
            <w:pPr>
              <w:pStyle w:val="10"/>
            </w:pPr>
            <w:r>
              <w:t>项目名称</w:t>
            </w:r>
          </w:p>
        </w:tc>
        <w:tc>
          <w:tcPr>
            <w:tcW w:w="6095" w:type="dxa"/>
            <w:gridSpan w:val="3"/>
            <w:vAlign w:val="center"/>
          </w:tcPr>
          <w:p>
            <w:pPr>
              <w:pStyle w:val="12"/>
            </w:pPr>
            <w:r>
              <w:t>2026年省级基层三馆一站免费开放运行保障经费 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保障2026年省级基层三馆一站免费开放运行保障经费及时到位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保障2026年省级基层三馆一站免费开放运行保障经费及时到位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免费开放比例</w:t>
            </w:r>
          </w:p>
        </w:tc>
        <w:tc>
          <w:tcPr>
            <w:tcW w:w="5386" w:type="dxa"/>
            <w:vAlign w:val="center"/>
          </w:tcPr>
          <w:p>
            <w:pPr>
              <w:pStyle w:val="12"/>
            </w:pPr>
            <w:r>
              <w:t xml:space="preserve"> 免费开放比例</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群众文化服务参与情况</w:t>
            </w:r>
          </w:p>
        </w:tc>
        <w:tc>
          <w:tcPr>
            <w:tcW w:w="5386" w:type="dxa"/>
            <w:vAlign w:val="center"/>
          </w:tcPr>
          <w:p>
            <w:pPr>
              <w:pStyle w:val="12"/>
            </w:pPr>
            <w:r>
              <w:t xml:space="preserve"> 群众文化服务参与情况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各项工作任务完成时间</w:t>
            </w:r>
          </w:p>
        </w:tc>
        <w:tc>
          <w:tcPr>
            <w:tcW w:w="5386" w:type="dxa"/>
            <w:vAlign w:val="center"/>
          </w:tcPr>
          <w:p>
            <w:pPr>
              <w:pStyle w:val="12"/>
            </w:pPr>
            <w:r>
              <w:t xml:space="preserve"> 各项工作任务完成时间</w:t>
            </w:r>
          </w:p>
        </w:tc>
        <w:tc>
          <w:tcPr>
            <w:tcW w:w="2268" w:type="dxa"/>
            <w:vAlign w:val="center"/>
          </w:tcPr>
          <w:p>
            <w:pPr>
              <w:pStyle w:val="12"/>
            </w:pPr>
            <w:r>
              <w:t xml:space="preserve"> 2026年12月</w:t>
            </w:r>
          </w:p>
        </w:tc>
        <w:tc>
          <w:tcPr>
            <w:tcW w:w="1276" w:type="dxa"/>
            <w:vAlign w:val="center"/>
          </w:tcPr>
          <w:p>
            <w:pPr>
              <w:pStyle w:val="12"/>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预算资金完成率</w:t>
            </w:r>
          </w:p>
        </w:tc>
        <w:tc>
          <w:tcPr>
            <w:tcW w:w="5386" w:type="dxa"/>
            <w:vAlign w:val="center"/>
          </w:tcPr>
          <w:p>
            <w:pPr>
              <w:pStyle w:val="12"/>
            </w:pPr>
            <w:r>
              <w:t xml:space="preserve"> 预算资金完成率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免费开放程度</w:t>
            </w:r>
          </w:p>
        </w:tc>
        <w:tc>
          <w:tcPr>
            <w:tcW w:w="5386" w:type="dxa"/>
            <w:vAlign w:val="center"/>
          </w:tcPr>
          <w:p>
            <w:pPr>
              <w:pStyle w:val="12"/>
            </w:pPr>
            <w:r>
              <w:t xml:space="preserve"> 免费开放程度</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带动相关消费情况</w:t>
            </w:r>
          </w:p>
        </w:tc>
        <w:tc>
          <w:tcPr>
            <w:tcW w:w="5386" w:type="dxa"/>
            <w:vAlign w:val="center"/>
          </w:tcPr>
          <w:p>
            <w:pPr>
              <w:pStyle w:val="12"/>
            </w:pPr>
            <w:r>
              <w:t xml:space="preserve"> 带动相关消费情况</w:t>
            </w:r>
          </w:p>
        </w:tc>
        <w:tc>
          <w:tcPr>
            <w:tcW w:w="2268" w:type="dxa"/>
            <w:vAlign w:val="center"/>
          </w:tcPr>
          <w:p>
            <w:pPr>
              <w:pStyle w:val="12"/>
            </w:pPr>
            <w:r>
              <w:t xml:space="preserve"> 带动</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 xml:space="preserve"> 生态效益指标</w:t>
            </w:r>
          </w:p>
        </w:tc>
        <w:tc>
          <w:tcPr>
            <w:tcW w:w="5386" w:type="dxa"/>
            <w:vAlign w:val="center"/>
          </w:tcPr>
          <w:p>
            <w:pPr>
              <w:pStyle w:val="12"/>
            </w:pPr>
            <w:r>
              <w:t xml:space="preserve"> 生态效益指标</w:t>
            </w:r>
          </w:p>
        </w:tc>
        <w:tc>
          <w:tcPr>
            <w:tcW w:w="2268" w:type="dxa"/>
            <w:vAlign w:val="center"/>
          </w:tcPr>
          <w:p>
            <w:pPr>
              <w:pStyle w:val="12"/>
            </w:pPr>
            <w:r>
              <w:t xml:space="preserve"> 增加</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 xml:space="preserve"> 维持文化馆免费开放</w:t>
            </w:r>
          </w:p>
        </w:tc>
        <w:tc>
          <w:tcPr>
            <w:tcW w:w="5386" w:type="dxa"/>
            <w:vAlign w:val="center"/>
          </w:tcPr>
          <w:p>
            <w:pPr>
              <w:pStyle w:val="12"/>
            </w:pPr>
            <w:r>
              <w:t xml:space="preserve"> 维持文化馆免费开放</w:t>
            </w:r>
          </w:p>
        </w:tc>
        <w:tc>
          <w:tcPr>
            <w:tcW w:w="2268" w:type="dxa"/>
            <w:vAlign w:val="center"/>
          </w:tcPr>
          <w:p>
            <w:pPr>
              <w:pStyle w:val="12"/>
            </w:pPr>
            <w:r>
              <w:t xml:space="preserve"> 维持</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13、2026年中央支持地方公共文化服务体系建设补助资金 石财教[2025]82号绩效目标表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13012326P00002910075K</w:t>
            </w:r>
          </w:p>
        </w:tc>
        <w:tc>
          <w:tcPr>
            <w:tcW w:w="2835" w:type="dxa"/>
            <w:vAlign w:val="center"/>
          </w:tcPr>
          <w:p>
            <w:pPr>
              <w:pStyle w:val="10"/>
            </w:pPr>
            <w:r>
              <w:t>项目名称</w:t>
            </w:r>
          </w:p>
        </w:tc>
        <w:tc>
          <w:tcPr>
            <w:tcW w:w="6095" w:type="dxa"/>
            <w:gridSpan w:val="3"/>
            <w:vAlign w:val="center"/>
          </w:tcPr>
          <w:p>
            <w:pPr>
              <w:pStyle w:val="12"/>
            </w:pPr>
            <w:r>
              <w:t>2026年中央支持地方公共文化服务体系建设补助资金 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保障2026年中央支持地方公共文化服务体系建设补助资金及时到位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保障2026年中央支持地方公共文化服务体系建设补助资金及时到位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免费开放比例</w:t>
            </w:r>
          </w:p>
        </w:tc>
        <w:tc>
          <w:tcPr>
            <w:tcW w:w="5386" w:type="dxa"/>
            <w:vAlign w:val="center"/>
          </w:tcPr>
          <w:p>
            <w:pPr>
              <w:pStyle w:val="12"/>
            </w:pPr>
            <w:r>
              <w:t xml:space="preserve"> 免费开放比例</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群众文化服务参与情况</w:t>
            </w:r>
          </w:p>
        </w:tc>
        <w:tc>
          <w:tcPr>
            <w:tcW w:w="5386" w:type="dxa"/>
            <w:vAlign w:val="center"/>
          </w:tcPr>
          <w:p>
            <w:pPr>
              <w:pStyle w:val="12"/>
            </w:pPr>
            <w:r>
              <w:t xml:space="preserve"> 群众文化服务参与情况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各项工作任务完成时间</w:t>
            </w:r>
          </w:p>
        </w:tc>
        <w:tc>
          <w:tcPr>
            <w:tcW w:w="5386" w:type="dxa"/>
            <w:vAlign w:val="center"/>
          </w:tcPr>
          <w:p>
            <w:pPr>
              <w:pStyle w:val="12"/>
            </w:pPr>
            <w:r>
              <w:t xml:space="preserve"> 各项工作任务完成时间</w:t>
            </w:r>
          </w:p>
        </w:tc>
        <w:tc>
          <w:tcPr>
            <w:tcW w:w="2268" w:type="dxa"/>
            <w:vAlign w:val="center"/>
          </w:tcPr>
          <w:p>
            <w:pPr>
              <w:pStyle w:val="12"/>
            </w:pPr>
            <w:r>
              <w:t xml:space="preserve"> 2026年12月</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预算资金完成率</w:t>
            </w:r>
          </w:p>
        </w:tc>
        <w:tc>
          <w:tcPr>
            <w:tcW w:w="5386" w:type="dxa"/>
            <w:vAlign w:val="center"/>
          </w:tcPr>
          <w:p>
            <w:pPr>
              <w:pStyle w:val="12"/>
            </w:pPr>
            <w:r>
              <w:t xml:space="preserve"> 预算资金完成率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免费开放服务水平提升情况</w:t>
            </w:r>
          </w:p>
        </w:tc>
        <w:tc>
          <w:tcPr>
            <w:tcW w:w="5386" w:type="dxa"/>
            <w:vAlign w:val="center"/>
          </w:tcPr>
          <w:p>
            <w:pPr>
              <w:pStyle w:val="12"/>
            </w:pPr>
            <w:r>
              <w:t xml:space="preserve"> 免费开放服务水平提升情况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带动相关消费情况</w:t>
            </w:r>
          </w:p>
        </w:tc>
        <w:tc>
          <w:tcPr>
            <w:tcW w:w="5386" w:type="dxa"/>
            <w:vAlign w:val="center"/>
          </w:tcPr>
          <w:p>
            <w:pPr>
              <w:pStyle w:val="12"/>
            </w:pPr>
            <w:r>
              <w:t xml:space="preserve"> 带动相关消费情况</w:t>
            </w:r>
          </w:p>
        </w:tc>
        <w:tc>
          <w:tcPr>
            <w:tcW w:w="2268" w:type="dxa"/>
            <w:vAlign w:val="center"/>
          </w:tcPr>
          <w:p>
            <w:pPr>
              <w:pStyle w:val="12"/>
            </w:pPr>
            <w:r>
              <w:t xml:space="preserve"> 带动</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 xml:space="preserve"> 生态效益指标</w:t>
            </w:r>
          </w:p>
        </w:tc>
        <w:tc>
          <w:tcPr>
            <w:tcW w:w="5386" w:type="dxa"/>
            <w:vAlign w:val="center"/>
          </w:tcPr>
          <w:p>
            <w:pPr>
              <w:pStyle w:val="12"/>
            </w:pPr>
            <w:r>
              <w:t xml:space="preserve"> 生态效益指标</w:t>
            </w:r>
          </w:p>
        </w:tc>
        <w:tc>
          <w:tcPr>
            <w:tcW w:w="2268" w:type="dxa"/>
            <w:vAlign w:val="center"/>
          </w:tcPr>
          <w:p>
            <w:pPr>
              <w:pStyle w:val="12"/>
            </w:pPr>
            <w:r>
              <w:t xml:space="preserve"> 增长</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 xml:space="preserve"> 维持文化站开放程度</w:t>
            </w:r>
          </w:p>
        </w:tc>
        <w:tc>
          <w:tcPr>
            <w:tcW w:w="5386" w:type="dxa"/>
            <w:vAlign w:val="center"/>
          </w:tcPr>
          <w:p>
            <w:pPr>
              <w:pStyle w:val="12"/>
            </w:pPr>
            <w:r>
              <w:t xml:space="preserve"> 维持文化站开放程度</w:t>
            </w:r>
          </w:p>
        </w:tc>
        <w:tc>
          <w:tcPr>
            <w:tcW w:w="2268" w:type="dxa"/>
            <w:vAlign w:val="center"/>
          </w:tcPr>
          <w:p>
            <w:pPr>
              <w:pStyle w:val="12"/>
            </w:pPr>
            <w:r>
              <w:t xml:space="preserve"> 维持</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14、编外人员人员经费项目绩效目标表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13012326P00000212355P</w:t>
            </w:r>
          </w:p>
        </w:tc>
        <w:tc>
          <w:tcPr>
            <w:tcW w:w="2835" w:type="dxa"/>
            <w:vAlign w:val="center"/>
          </w:tcPr>
          <w:p>
            <w:pPr>
              <w:pStyle w:val="10"/>
            </w:pPr>
            <w:r>
              <w:t>项目名称</w:t>
            </w:r>
          </w:p>
        </w:tc>
        <w:tc>
          <w:tcPr>
            <w:tcW w:w="6095" w:type="dxa"/>
            <w:gridSpan w:val="3"/>
            <w:vAlign w:val="center"/>
          </w:tcPr>
          <w:p>
            <w:pPr>
              <w:pStyle w:val="12"/>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88.50</w:t>
            </w:r>
          </w:p>
        </w:tc>
        <w:tc>
          <w:tcPr>
            <w:tcW w:w="2835" w:type="dxa"/>
            <w:vAlign w:val="center"/>
          </w:tcPr>
          <w:p>
            <w:pPr>
              <w:pStyle w:val="10"/>
            </w:pPr>
            <w:r>
              <w:t>其中：财政    资金</w:t>
            </w:r>
          </w:p>
        </w:tc>
        <w:tc>
          <w:tcPr>
            <w:tcW w:w="2551" w:type="dxa"/>
            <w:vAlign w:val="center"/>
          </w:tcPr>
          <w:p>
            <w:pPr>
              <w:pStyle w:val="12"/>
            </w:pPr>
            <w:r>
              <w:t>88.50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保障编外人员人员经费项目资金及时到位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保障编外人员人员经费项目资金及时到位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服务对象满意率</w:t>
            </w:r>
          </w:p>
        </w:tc>
        <w:tc>
          <w:tcPr>
            <w:tcW w:w="5386" w:type="dxa"/>
            <w:vAlign w:val="center"/>
          </w:tcPr>
          <w:p>
            <w:pPr>
              <w:pStyle w:val="12"/>
            </w:pPr>
            <w:r>
              <w:t xml:space="preserve"> 服务对象满意率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15、机场迎宾路提升改造项目占地费用绩效目标表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13012326P0096H2104121</w:t>
            </w:r>
          </w:p>
        </w:tc>
        <w:tc>
          <w:tcPr>
            <w:tcW w:w="2835" w:type="dxa"/>
            <w:vAlign w:val="center"/>
          </w:tcPr>
          <w:p>
            <w:pPr>
              <w:pStyle w:val="10"/>
            </w:pPr>
            <w:r>
              <w:t>项目名称</w:t>
            </w:r>
          </w:p>
        </w:tc>
        <w:tc>
          <w:tcPr>
            <w:tcW w:w="6095" w:type="dxa"/>
            <w:gridSpan w:val="3"/>
            <w:vAlign w:val="center"/>
          </w:tcPr>
          <w:p>
            <w:pPr>
              <w:pStyle w:val="12"/>
            </w:pPr>
            <w:r>
              <w:t>机场迎宾路提升改造项目占地费用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34.28</w:t>
            </w:r>
          </w:p>
        </w:tc>
        <w:tc>
          <w:tcPr>
            <w:tcW w:w="2835" w:type="dxa"/>
            <w:vAlign w:val="center"/>
          </w:tcPr>
          <w:p>
            <w:pPr>
              <w:pStyle w:val="10"/>
            </w:pPr>
            <w:r>
              <w:t>其中：财政    资金</w:t>
            </w:r>
          </w:p>
        </w:tc>
        <w:tc>
          <w:tcPr>
            <w:tcW w:w="2551" w:type="dxa"/>
            <w:vAlign w:val="center"/>
          </w:tcPr>
          <w:p>
            <w:pPr>
              <w:pStyle w:val="12"/>
            </w:pPr>
            <w:r>
              <w:t>34.28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 xml:space="preserve">  保障机场迎宾路提升改造项目占地费用及时到位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保障机场迎宾路提升改造项目占地费用及时到位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满意度</w:t>
            </w:r>
          </w:p>
        </w:tc>
        <w:tc>
          <w:tcPr>
            <w:tcW w:w="5386" w:type="dxa"/>
            <w:vAlign w:val="center"/>
          </w:tcPr>
          <w:p>
            <w:pPr>
              <w:pStyle w:val="12"/>
            </w:pPr>
            <w:r>
              <w:t xml:space="preserve"> 满意度</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16、清偿化解拖欠企业账款项目绩效目标表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13012325P00000510182A</w:t>
            </w:r>
          </w:p>
        </w:tc>
        <w:tc>
          <w:tcPr>
            <w:tcW w:w="2835" w:type="dxa"/>
            <w:vAlign w:val="center"/>
          </w:tcPr>
          <w:p>
            <w:pPr>
              <w:pStyle w:val="10"/>
            </w:pPr>
            <w:r>
              <w:t>项目名称</w:t>
            </w:r>
          </w:p>
        </w:tc>
        <w:tc>
          <w:tcPr>
            <w:tcW w:w="6095" w:type="dxa"/>
            <w:gridSpan w:val="3"/>
            <w:vAlign w:val="center"/>
          </w:tcPr>
          <w:p>
            <w:pPr>
              <w:pStyle w:val="12"/>
            </w:pPr>
            <w:r>
              <w:t>清偿化解拖欠企业账款项目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4.27</w:t>
            </w:r>
          </w:p>
        </w:tc>
        <w:tc>
          <w:tcPr>
            <w:tcW w:w="2835" w:type="dxa"/>
            <w:vAlign w:val="center"/>
          </w:tcPr>
          <w:p>
            <w:pPr>
              <w:pStyle w:val="10"/>
            </w:pPr>
            <w:r>
              <w:t>其中：财政    资金</w:t>
            </w:r>
          </w:p>
        </w:tc>
        <w:tc>
          <w:tcPr>
            <w:tcW w:w="2551" w:type="dxa"/>
            <w:vAlign w:val="center"/>
          </w:tcPr>
          <w:p>
            <w:pPr>
              <w:pStyle w:val="12"/>
            </w:pPr>
            <w:r>
              <w:t>4.27</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保障清偿化解拖欠企业账款及时到位</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1.保障清偿化解拖欠企业账款及时到位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服务对象满意度指标</w:t>
            </w:r>
          </w:p>
        </w:tc>
        <w:tc>
          <w:tcPr>
            <w:tcW w:w="5386" w:type="dxa"/>
            <w:vAlign w:val="center"/>
          </w:tcPr>
          <w:p>
            <w:pPr>
              <w:pStyle w:val="12"/>
            </w:pPr>
            <w:r>
              <w:t xml:space="preserve">  服务对象满意度指标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17、清偿化解拖欠企业账款项目绩效目标表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13012325P000005102186</w:t>
            </w:r>
          </w:p>
        </w:tc>
        <w:tc>
          <w:tcPr>
            <w:tcW w:w="2835" w:type="dxa"/>
            <w:vAlign w:val="center"/>
          </w:tcPr>
          <w:p>
            <w:pPr>
              <w:pStyle w:val="10"/>
            </w:pPr>
            <w:r>
              <w:t>项目名称</w:t>
            </w:r>
          </w:p>
        </w:tc>
        <w:tc>
          <w:tcPr>
            <w:tcW w:w="6095" w:type="dxa"/>
            <w:gridSpan w:val="3"/>
            <w:vAlign w:val="center"/>
          </w:tcPr>
          <w:p>
            <w:pPr>
              <w:pStyle w:val="12"/>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313.54</w:t>
            </w:r>
          </w:p>
        </w:tc>
        <w:tc>
          <w:tcPr>
            <w:tcW w:w="2835" w:type="dxa"/>
            <w:vAlign w:val="center"/>
          </w:tcPr>
          <w:p>
            <w:pPr>
              <w:pStyle w:val="10"/>
            </w:pPr>
            <w:r>
              <w:t>其中：财政    资金</w:t>
            </w:r>
          </w:p>
        </w:tc>
        <w:tc>
          <w:tcPr>
            <w:tcW w:w="2551" w:type="dxa"/>
            <w:vAlign w:val="center"/>
          </w:tcPr>
          <w:p>
            <w:pPr>
              <w:pStyle w:val="12"/>
            </w:pPr>
            <w:r>
              <w:t>313.54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≥95百分比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资金使用效率</w:t>
            </w:r>
          </w:p>
        </w:tc>
        <w:tc>
          <w:tcPr>
            <w:tcW w:w="5386" w:type="dxa"/>
            <w:vAlign w:val="center"/>
          </w:tcPr>
          <w:p>
            <w:pPr>
              <w:pStyle w:val="12"/>
            </w:pPr>
            <w:r>
              <w:t>资金使用效率</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18、清偿化解拖欠企业账款项目绩效目标表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13012325P00000510241G</w:t>
            </w:r>
          </w:p>
        </w:tc>
        <w:tc>
          <w:tcPr>
            <w:tcW w:w="2835" w:type="dxa"/>
            <w:vAlign w:val="center"/>
          </w:tcPr>
          <w:p>
            <w:pPr>
              <w:pStyle w:val="10"/>
            </w:pPr>
            <w:r>
              <w:t>项目名称</w:t>
            </w:r>
          </w:p>
        </w:tc>
        <w:tc>
          <w:tcPr>
            <w:tcW w:w="6095" w:type="dxa"/>
            <w:gridSpan w:val="3"/>
            <w:vAlign w:val="center"/>
          </w:tcPr>
          <w:p>
            <w:pPr>
              <w:pStyle w:val="12"/>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789.69</w:t>
            </w:r>
          </w:p>
        </w:tc>
        <w:tc>
          <w:tcPr>
            <w:tcW w:w="2835" w:type="dxa"/>
            <w:vAlign w:val="center"/>
          </w:tcPr>
          <w:p>
            <w:pPr>
              <w:pStyle w:val="10"/>
            </w:pPr>
            <w:r>
              <w:t>其中：财政    资金</w:t>
            </w:r>
          </w:p>
        </w:tc>
        <w:tc>
          <w:tcPr>
            <w:tcW w:w="2551" w:type="dxa"/>
            <w:vAlign w:val="center"/>
          </w:tcPr>
          <w:p>
            <w:pPr>
              <w:pStyle w:val="12"/>
            </w:pPr>
            <w:r>
              <w:t>789.69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保障清偿化解拖欠企业账款项目资金及时到位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1.保障清偿化解拖欠企业账款项目资金及时到位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资金到位率</w:t>
            </w:r>
          </w:p>
        </w:tc>
        <w:tc>
          <w:tcPr>
            <w:tcW w:w="5386" w:type="dxa"/>
            <w:vAlign w:val="center"/>
          </w:tcPr>
          <w:p>
            <w:pPr>
              <w:pStyle w:val="12"/>
            </w:pPr>
            <w:r>
              <w:t xml:space="preserve"> 资金到位率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业务工作完成率</w:t>
            </w:r>
          </w:p>
        </w:tc>
        <w:tc>
          <w:tcPr>
            <w:tcW w:w="5386" w:type="dxa"/>
            <w:vAlign w:val="center"/>
          </w:tcPr>
          <w:p>
            <w:pPr>
              <w:pStyle w:val="12"/>
            </w:pPr>
            <w:r>
              <w:t xml:space="preserve"> 业务工作完成率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及时率</w:t>
            </w:r>
          </w:p>
        </w:tc>
        <w:tc>
          <w:tcPr>
            <w:tcW w:w="5386" w:type="dxa"/>
            <w:vAlign w:val="center"/>
          </w:tcPr>
          <w:p>
            <w:pPr>
              <w:pStyle w:val="12"/>
            </w:pPr>
            <w:r>
              <w:t xml:space="preserve"> 及时率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预算控制在成本内</w:t>
            </w:r>
          </w:p>
        </w:tc>
        <w:tc>
          <w:tcPr>
            <w:tcW w:w="5386" w:type="dxa"/>
            <w:vAlign w:val="center"/>
          </w:tcPr>
          <w:p>
            <w:pPr>
              <w:pStyle w:val="12"/>
            </w:pPr>
            <w:r>
              <w:t xml:space="preserve"> 预算控制在成本内</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预算控制数</w:t>
            </w:r>
          </w:p>
        </w:tc>
        <w:tc>
          <w:tcPr>
            <w:tcW w:w="5386" w:type="dxa"/>
            <w:vAlign w:val="center"/>
          </w:tcPr>
          <w:p>
            <w:pPr>
              <w:pStyle w:val="12"/>
            </w:pPr>
            <w:r>
              <w:t xml:space="preserve"> 预算控制数</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项目完成率</w:t>
            </w:r>
          </w:p>
        </w:tc>
        <w:tc>
          <w:tcPr>
            <w:tcW w:w="5386" w:type="dxa"/>
            <w:vAlign w:val="center"/>
          </w:tcPr>
          <w:p>
            <w:pPr>
              <w:pStyle w:val="12"/>
            </w:pPr>
            <w:r>
              <w:t xml:space="preserve"> 项目完成率</w:t>
            </w:r>
          </w:p>
        </w:tc>
        <w:tc>
          <w:tcPr>
            <w:tcW w:w="2268" w:type="dxa"/>
            <w:vAlign w:val="center"/>
          </w:tcPr>
          <w:p>
            <w:pPr>
              <w:pStyle w:val="12"/>
            </w:pPr>
            <w:r>
              <w:t>100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监测、评价</w:t>
            </w:r>
          </w:p>
        </w:tc>
        <w:tc>
          <w:tcPr>
            <w:tcW w:w="5386" w:type="dxa"/>
            <w:vAlign w:val="center"/>
          </w:tcPr>
          <w:p>
            <w:pPr>
              <w:pStyle w:val="12"/>
            </w:pPr>
            <w:r>
              <w:t>监测、评价</w:t>
            </w:r>
          </w:p>
        </w:tc>
        <w:tc>
          <w:tcPr>
            <w:tcW w:w="2268" w:type="dxa"/>
            <w:vAlign w:val="center"/>
          </w:tcPr>
          <w:p>
            <w:pPr>
              <w:pStyle w:val="12"/>
            </w:pPr>
            <w:r>
              <w:t>≥95 百分比</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服务对象满意率</w:t>
            </w:r>
          </w:p>
        </w:tc>
        <w:tc>
          <w:tcPr>
            <w:tcW w:w="5386" w:type="dxa"/>
            <w:vAlign w:val="center"/>
          </w:tcPr>
          <w:p>
            <w:pPr>
              <w:pStyle w:val="12"/>
            </w:pPr>
            <w:r>
              <w:t xml:space="preserve"> 服务对象满意率</w:t>
            </w:r>
          </w:p>
        </w:tc>
        <w:tc>
          <w:tcPr>
            <w:tcW w:w="2268" w:type="dxa"/>
            <w:vAlign w:val="center"/>
          </w:tcPr>
          <w:p>
            <w:pPr>
              <w:pStyle w:val="12"/>
            </w:pPr>
            <w:r>
              <w:t>≥95 百分比</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19、三馆一站免费开放县级配套资金绩效目标表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13012326P00002910063G</w:t>
            </w:r>
          </w:p>
        </w:tc>
        <w:tc>
          <w:tcPr>
            <w:tcW w:w="2835" w:type="dxa"/>
            <w:vAlign w:val="center"/>
          </w:tcPr>
          <w:p>
            <w:pPr>
              <w:pStyle w:val="10"/>
            </w:pPr>
            <w:r>
              <w:t>项目名称</w:t>
            </w:r>
          </w:p>
        </w:tc>
        <w:tc>
          <w:tcPr>
            <w:tcW w:w="6095" w:type="dxa"/>
            <w:gridSpan w:val="3"/>
            <w:vAlign w:val="center"/>
          </w:tcPr>
          <w:p>
            <w:pPr>
              <w:pStyle w:val="12"/>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保障三馆一站免费开放县级配套资金及时到位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1.保障三馆一站免费开放县级配套资金及时到位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免费开放比例</w:t>
            </w:r>
          </w:p>
        </w:tc>
        <w:tc>
          <w:tcPr>
            <w:tcW w:w="5386" w:type="dxa"/>
            <w:vAlign w:val="center"/>
          </w:tcPr>
          <w:p>
            <w:pPr>
              <w:pStyle w:val="12"/>
            </w:pPr>
            <w:r>
              <w:t xml:space="preserve">  免费开放比例</w:t>
            </w:r>
          </w:p>
        </w:tc>
        <w:tc>
          <w:tcPr>
            <w:tcW w:w="2268" w:type="dxa"/>
            <w:vAlign w:val="center"/>
          </w:tcPr>
          <w:p>
            <w:pPr>
              <w:pStyle w:val="12"/>
            </w:pPr>
            <w:r>
              <w:t>≥100</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 xml:space="preserve"> 群众文化服务参与度情况</w:t>
            </w:r>
          </w:p>
        </w:tc>
        <w:tc>
          <w:tcPr>
            <w:tcW w:w="5386" w:type="dxa"/>
            <w:vAlign w:val="center"/>
          </w:tcPr>
          <w:p>
            <w:pPr>
              <w:pStyle w:val="12"/>
            </w:pPr>
            <w:r>
              <w:t xml:space="preserve">  群众文化服务参与度情况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 xml:space="preserve"> 各项工作业务完成时间</w:t>
            </w:r>
          </w:p>
        </w:tc>
        <w:tc>
          <w:tcPr>
            <w:tcW w:w="5386" w:type="dxa"/>
            <w:vAlign w:val="center"/>
          </w:tcPr>
          <w:p>
            <w:pPr>
              <w:pStyle w:val="12"/>
            </w:pPr>
            <w:r>
              <w:t xml:space="preserve">  各项工作业务完成时间</w:t>
            </w:r>
          </w:p>
        </w:tc>
        <w:tc>
          <w:tcPr>
            <w:tcW w:w="2268" w:type="dxa"/>
            <w:vAlign w:val="center"/>
          </w:tcPr>
          <w:p>
            <w:pPr>
              <w:pStyle w:val="12"/>
            </w:pPr>
            <w:r>
              <w:t xml:space="preserve"> 2026年12月底</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 xml:space="preserve"> 预算资金完成率</w:t>
            </w:r>
          </w:p>
        </w:tc>
        <w:tc>
          <w:tcPr>
            <w:tcW w:w="5386" w:type="dxa"/>
            <w:vAlign w:val="center"/>
          </w:tcPr>
          <w:p>
            <w:pPr>
              <w:pStyle w:val="12"/>
            </w:pPr>
            <w:r>
              <w:t xml:space="preserve">  预算资金完成率</w:t>
            </w:r>
          </w:p>
        </w:tc>
        <w:tc>
          <w:tcPr>
            <w:tcW w:w="2268" w:type="dxa"/>
            <w:vAlign w:val="center"/>
          </w:tcPr>
          <w:p>
            <w:pPr>
              <w:pStyle w:val="12"/>
            </w:pPr>
            <w:r>
              <w:t>≥95</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免费开放服务水平提升情况</w:t>
            </w:r>
          </w:p>
        </w:tc>
        <w:tc>
          <w:tcPr>
            <w:tcW w:w="5386" w:type="dxa"/>
            <w:vAlign w:val="center"/>
          </w:tcPr>
          <w:p>
            <w:pPr>
              <w:pStyle w:val="12"/>
            </w:pPr>
            <w:r>
              <w:t xml:space="preserve">  免费开放服务水平提升情况</w:t>
            </w:r>
          </w:p>
        </w:tc>
        <w:tc>
          <w:tcPr>
            <w:tcW w:w="2268" w:type="dxa"/>
            <w:vAlign w:val="center"/>
          </w:tcPr>
          <w:p>
            <w:pPr>
              <w:pStyle w:val="12"/>
            </w:pPr>
            <w:r>
              <w:t xml:space="preserve"> 逐步提升</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 xml:space="preserve"> 带动相关消费情况</w:t>
            </w:r>
          </w:p>
        </w:tc>
        <w:tc>
          <w:tcPr>
            <w:tcW w:w="5386" w:type="dxa"/>
            <w:vAlign w:val="center"/>
          </w:tcPr>
          <w:p>
            <w:pPr>
              <w:pStyle w:val="12"/>
            </w:pPr>
            <w:r>
              <w:t xml:space="preserve"> 带动相关消费情况</w:t>
            </w:r>
          </w:p>
        </w:tc>
        <w:tc>
          <w:tcPr>
            <w:tcW w:w="2268" w:type="dxa"/>
            <w:vAlign w:val="center"/>
          </w:tcPr>
          <w:p>
            <w:pPr>
              <w:pStyle w:val="12"/>
            </w:pPr>
            <w:r>
              <w:t xml:space="preserve"> 带动</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 xml:space="preserve"> 生态效益情况</w:t>
            </w:r>
          </w:p>
        </w:tc>
        <w:tc>
          <w:tcPr>
            <w:tcW w:w="5386" w:type="dxa"/>
            <w:vAlign w:val="center"/>
          </w:tcPr>
          <w:p>
            <w:pPr>
              <w:pStyle w:val="12"/>
            </w:pPr>
            <w:r>
              <w:t xml:space="preserve">  生态效益情况</w:t>
            </w:r>
          </w:p>
        </w:tc>
        <w:tc>
          <w:tcPr>
            <w:tcW w:w="2268" w:type="dxa"/>
            <w:vAlign w:val="center"/>
          </w:tcPr>
          <w:p>
            <w:pPr>
              <w:pStyle w:val="12"/>
            </w:pPr>
            <w:r>
              <w:t xml:space="preserve"> 增长</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 xml:space="preserve"> 维护文化馆免费开放</w:t>
            </w:r>
          </w:p>
        </w:tc>
        <w:tc>
          <w:tcPr>
            <w:tcW w:w="5386" w:type="dxa"/>
            <w:vAlign w:val="center"/>
          </w:tcPr>
          <w:p>
            <w:pPr>
              <w:pStyle w:val="12"/>
            </w:pPr>
            <w:r>
              <w:t xml:space="preserve">  维护文化馆免费开放</w:t>
            </w:r>
          </w:p>
        </w:tc>
        <w:tc>
          <w:tcPr>
            <w:tcW w:w="2268" w:type="dxa"/>
            <w:vAlign w:val="center"/>
          </w:tcPr>
          <w:p>
            <w:pPr>
              <w:pStyle w:val="12"/>
            </w:pPr>
            <w:r>
              <w:t xml:space="preserve"> 维持</w:t>
            </w:r>
          </w:p>
        </w:tc>
        <w:tc>
          <w:tcPr>
            <w:tcW w:w="1276" w:type="dxa"/>
            <w:vAlign w:val="center"/>
          </w:tcPr>
          <w:p>
            <w:pPr>
              <w:pStyle w:val="12"/>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≥95</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983001正定县新城铺镇人民政府本级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bookmarkStart w:id="1" w:name="_GoBack"/>
      <w:r>
        <w:rPr>
          <w:rFonts w:ascii="Times New Roman" w:hAnsi="Times New Roman" w:eastAsia="方正仿宋_GBK" w:cs="Times New Roman"/>
          <w:b w:val="0"/>
          <w:color w:val="000000"/>
          <w:sz w:val="28"/>
        </w:rPr>
        <w:t>正定县新城铺镇人民政府（含所属单位）上年末固定资产金额为</w:t>
      </w:r>
      <w:r>
        <w:rPr>
          <w:rFonts w:hint="eastAsia" w:eastAsia="方正仿宋_GBK" w:cs="Times New Roman"/>
          <w:b w:val="0"/>
          <w:color w:val="000000"/>
          <w:sz w:val="28"/>
          <w:lang w:val="en-US" w:eastAsia="zh-CN"/>
        </w:rPr>
        <w:t>627.12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983正定县新城铺镇人民政府</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rPr>
                <w:rFonts w:hint="eastAsia" w:eastAsia="方正书宋_GBK"/>
                <w:lang w:eastAsia="zh-CN"/>
              </w:rPr>
            </w:pPr>
            <w:r>
              <w:rPr>
                <w:rFonts w:hint="eastAsia"/>
                <w:lang w:val="en-US" w:eastAsia="zh-CN"/>
              </w:rPr>
              <w:t>1.</w:t>
            </w:r>
            <w:r>
              <w:rPr>
                <w:rFonts w:hint="eastAsia"/>
                <w:lang w:eastAsia="zh-CN"/>
              </w:rPr>
              <w:t>房屋（平方米）</w:t>
            </w:r>
          </w:p>
        </w:tc>
        <w:tc>
          <w:tcPr>
            <w:tcW w:w="2835" w:type="dxa"/>
            <w:vAlign w:val="center"/>
          </w:tcPr>
          <w:p>
            <w:pPr>
              <w:pStyle w:val="13"/>
              <w:rPr>
                <w:rFonts w:hint="eastAsia" w:eastAsia="方正书宋_GBK"/>
                <w:lang w:val="en-US" w:eastAsia="zh-CN"/>
              </w:rPr>
            </w:pPr>
            <w:r>
              <w:rPr>
                <w:rFonts w:hint="eastAsia"/>
                <w:lang w:val="en-US" w:eastAsia="zh-CN"/>
              </w:rPr>
              <w:t>3268</w:t>
            </w:r>
          </w:p>
        </w:tc>
        <w:tc>
          <w:tcPr>
            <w:tcW w:w="2835" w:type="dxa"/>
            <w:vAlign w:val="center"/>
          </w:tcPr>
          <w:p>
            <w:pPr>
              <w:pStyle w:val="11"/>
              <w:rPr>
                <w:rFonts w:hint="eastAsia" w:eastAsia="方正书宋_GBK"/>
                <w:lang w:val="en-US" w:eastAsia="zh-CN"/>
              </w:rPr>
            </w:pPr>
            <w:r>
              <w:rPr>
                <w:rFonts w:hint="eastAsia"/>
                <w:lang w:val="en-US" w:eastAsia="zh-CN"/>
              </w:rPr>
              <w:t>262.37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rPr>
                <w:rFonts w:hint="eastAsia" w:eastAsia="方正书宋_GBK"/>
                <w:lang w:eastAsia="zh-CN"/>
              </w:rPr>
            </w:pPr>
            <w:r>
              <w:rPr>
                <w:rFonts w:hint="eastAsia"/>
                <w:lang w:eastAsia="zh-CN"/>
              </w:rPr>
              <w:t>其中：办公用房（平方米）</w:t>
            </w:r>
          </w:p>
        </w:tc>
        <w:tc>
          <w:tcPr>
            <w:tcW w:w="2835" w:type="dxa"/>
            <w:vAlign w:val="center"/>
          </w:tcPr>
          <w:p>
            <w:pPr>
              <w:pStyle w:val="13"/>
              <w:rPr>
                <w:rFonts w:hint="eastAsia" w:eastAsia="方正书宋_GBK"/>
                <w:lang w:val="en-US" w:eastAsia="zh-CN"/>
              </w:rPr>
            </w:pPr>
            <w:r>
              <w:rPr>
                <w:rFonts w:hint="eastAsia"/>
                <w:lang w:val="en-US" w:eastAsia="zh-CN"/>
              </w:rPr>
              <w:t>3268</w:t>
            </w:r>
          </w:p>
        </w:tc>
        <w:tc>
          <w:tcPr>
            <w:tcW w:w="2835" w:type="dxa"/>
            <w:vAlign w:val="center"/>
          </w:tcPr>
          <w:p>
            <w:pPr>
              <w:pStyle w:val="11"/>
              <w:rPr>
                <w:rFonts w:hint="eastAsia" w:eastAsia="方正书宋_GBK"/>
                <w:lang w:val="en-US" w:eastAsia="zh-CN"/>
              </w:rPr>
            </w:pPr>
            <w:r>
              <w:rPr>
                <w:rFonts w:hint="eastAsia"/>
                <w:lang w:val="en-US" w:eastAsia="zh-CN"/>
              </w:rPr>
              <w:t>262.37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rPr>
                <w:rFonts w:hint="eastAsia" w:eastAsia="方正书宋_GBK"/>
                <w:lang w:val="en-US" w:eastAsia="zh-CN"/>
              </w:rPr>
            </w:pPr>
            <w:r>
              <w:rPr>
                <w:rFonts w:hint="eastAsia"/>
                <w:lang w:val="en-US" w:eastAsia="zh-CN"/>
              </w:rPr>
              <w:t>2.单价在20万以上的设备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rPr>
                <w:rFonts w:hint="eastAsia" w:eastAsia="方正书宋_GBK"/>
                <w:lang w:val="en-US" w:eastAsia="zh-CN"/>
              </w:rPr>
            </w:pPr>
            <w:r>
              <w:rPr>
                <w:rFonts w:hint="eastAsia"/>
                <w:lang w:val="en-US" w:eastAsia="zh-CN"/>
              </w:rPr>
              <w:t>3.其他固定资产</w:t>
            </w:r>
          </w:p>
        </w:tc>
        <w:tc>
          <w:tcPr>
            <w:tcW w:w="2835" w:type="dxa"/>
            <w:vAlign w:val="center"/>
          </w:tcPr>
          <w:p>
            <w:pPr>
              <w:pStyle w:val="13"/>
              <w:rPr>
                <w:rFonts w:hint="eastAsia" w:eastAsia="方正书宋_GBK"/>
                <w:lang w:val="en-US" w:eastAsia="zh-CN"/>
              </w:rPr>
            </w:pPr>
            <w:r>
              <w:rPr>
                <w:rFonts w:hint="eastAsia"/>
                <w:lang w:val="en-US" w:eastAsia="zh-CN"/>
              </w:rPr>
              <w:t>1251</w:t>
            </w:r>
          </w:p>
        </w:tc>
        <w:tc>
          <w:tcPr>
            <w:tcW w:w="2835" w:type="dxa"/>
            <w:vAlign w:val="center"/>
          </w:tcPr>
          <w:p>
            <w:pPr>
              <w:pStyle w:val="11"/>
            </w:pPr>
            <w:r>
              <w:rPr>
                <w:rFonts w:hint="eastAsia"/>
                <w:lang w:val="en-US" w:eastAsia="zh-CN"/>
              </w:rPr>
              <w:t>364.75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2250149">
    <w:nsid w:val="69A26425"/>
    <w:multiLevelType w:val="singleLevel"/>
    <w:tmpl w:val="69A26425"/>
    <w:lvl w:ilvl="0" w:tentative="1">
      <w:start w:val="5"/>
      <w:numFmt w:val="chineseCounting"/>
      <w:suff w:val="nothing"/>
      <w:lvlText w:val="%1、"/>
      <w:lvlJc w:val="left"/>
    </w:lvl>
  </w:abstractNum>
  <w:num w:numId="1">
    <w:abstractNumId w:val="17722501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966EBE"/>
    <w:rsid w:val="33C738F5"/>
    <w:rsid w:val="3F4C64C0"/>
    <w:rsid w:val="45374EC7"/>
    <w:rsid w:val="75FE2419"/>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2026-02-28T10:40:00Z</dcterms:created>
  <dc:creator>HP-DC</dc:creator>
  <cp:lastModifiedBy>HP-DC</cp:lastModifiedBy>
  <dcterms:modified xsi:type="dcterms:W3CDTF">2026-03-05T01:07:51Z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