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uto"/>
        <w:ind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color w:val="000000"/>
          <w:kern w:val="6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kern w:val="60"/>
          <w:sz w:val="44"/>
          <w:szCs w:val="44"/>
          <w:lang w:val="en-US" w:eastAsia="zh-CN"/>
        </w:rPr>
        <w:t>正定县科学技术和工业信息化局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uto"/>
        <w:ind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color w:val="000000"/>
          <w:kern w:val="6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kern w:val="60"/>
          <w:sz w:val="44"/>
          <w:szCs w:val="44"/>
          <w:lang w:eastAsia="zh-CN"/>
        </w:rPr>
        <w:t>202</w:t>
      </w:r>
      <w:r>
        <w:rPr>
          <w:rFonts w:hint="eastAsia" w:ascii="方正小标宋简体" w:hAnsi="方正小标宋简体" w:eastAsia="方正小标宋简体" w:cs="方正小标宋简体"/>
          <w:color w:val="000000"/>
          <w:kern w:val="60"/>
          <w:sz w:val="44"/>
          <w:szCs w:val="44"/>
          <w:lang w:val="en-US" w:eastAsia="zh-CN"/>
        </w:rPr>
        <w:t>6</w:t>
      </w:r>
      <w:r>
        <w:rPr>
          <w:rFonts w:hint="eastAsia" w:ascii="方正小标宋简体" w:hAnsi="方正小标宋简体" w:eastAsia="方正小标宋简体" w:cs="方正小标宋简体"/>
          <w:color w:val="000000"/>
          <w:kern w:val="60"/>
          <w:sz w:val="44"/>
          <w:szCs w:val="44"/>
        </w:rPr>
        <w:t>年“双随机、一公开”监管工作实施方案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uto"/>
        <w:ind w:firstLine="0" w:firstLineChars="0"/>
        <w:jc w:val="center"/>
        <w:textAlignment w:val="auto"/>
        <w:outlineLvl w:val="9"/>
        <w:rPr>
          <w:rFonts w:hint="eastAsia" w:ascii="方正小标宋_GBK" w:hAnsi="方正小标宋_GBK" w:eastAsia="方正小标宋_GBK" w:cs="方正小标宋_GBK"/>
          <w:color w:val="000000"/>
          <w:kern w:val="60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color w:val="000000"/>
          <w:kern w:val="6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000000"/>
          <w:kern w:val="60"/>
          <w:sz w:val="32"/>
          <w:szCs w:val="32"/>
        </w:rPr>
        <w:t>为</w:t>
      </w:r>
      <w:r>
        <w:rPr>
          <w:rFonts w:hint="eastAsia" w:ascii="仿宋" w:hAnsi="仿宋" w:eastAsia="仿宋" w:cs="仿宋"/>
          <w:color w:val="000000"/>
          <w:kern w:val="60"/>
          <w:sz w:val="32"/>
          <w:szCs w:val="32"/>
          <w:lang w:eastAsia="zh-CN"/>
        </w:rPr>
        <w:t>深入</w:t>
      </w:r>
      <w:r>
        <w:rPr>
          <w:rFonts w:hint="eastAsia" w:ascii="仿宋" w:hAnsi="仿宋" w:eastAsia="仿宋" w:cs="仿宋"/>
          <w:color w:val="000000"/>
          <w:kern w:val="60"/>
          <w:sz w:val="32"/>
          <w:szCs w:val="32"/>
        </w:rPr>
        <w:t>贯彻落实国务院、</w:t>
      </w:r>
      <w:r>
        <w:rPr>
          <w:rFonts w:hint="eastAsia" w:ascii="仿宋" w:hAnsi="仿宋" w:eastAsia="仿宋" w:cs="仿宋"/>
          <w:color w:val="000000"/>
          <w:kern w:val="60"/>
          <w:sz w:val="32"/>
          <w:szCs w:val="32"/>
          <w:lang w:eastAsia="zh-CN"/>
        </w:rPr>
        <w:t>省委</w:t>
      </w:r>
      <w:r>
        <w:rPr>
          <w:rFonts w:hint="eastAsia" w:ascii="仿宋" w:hAnsi="仿宋" w:eastAsia="仿宋" w:cs="仿宋"/>
          <w:color w:val="000000"/>
          <w:kern w:val="60"/>
          <w:sz w:val="32"/>
          <w:szCs w:val="32"/>
        </w:rPr>
        <w:t>省政府</w:t>
      </w:r>
      <w:r>
        <w:rPr>
          <w:rFonts w:hint="eastAsia" w:ascii="仿宋" w:hAnsi="仿宋" w:eastAsia="仿宋" w:cs="仿宋"/>
          <w:color w:val="000000"/>
          <w:kern w:val="60"/>
          <w:sz w:val="32"/>
          <w:szCs w:val="32"/>
          <w:lang w:eastAsia="zh-CN"/>
        </w:rPr>
        <w:t>、市委市政府</w:t>
      </w:r>
      <w:r>
        <w:rPr>
          <w:rFonts w:hint="eastAsia" w:ascii="仿宋" w:hAnsi="仿宋" w:eastAsia="仿宋" w:cs="仿宋"/>
          <w:color w:val="000000"/>
          <w:kern w:val="60"/>
          <w:sz w:val="32"/>
          <w:szCs w:val="32"/>
          <w:lang w:val="en-US" w:eastAsia="zh-CN"/>
        </w:rPr>
        <w:t>和县委县政府</w:t>
      </w:r>
      <w:r>
        <w:rPr>
          <w:rFonts w:hint="eastAsia" w:ascii="仿宋" w:hAnsi="仿宋" w:eastAsia="仿宋" w:cs="仿宋"/>
          <w:color w:val="000000"/>
          <w:kern w:val="60"/>
          <w:sz w:val="32"/>
          <w:szCs w:val="32"/>
        </w:rPr>
        <w:t>关于深化“放管服”改革</w:t>
      </w:r>
      <w:r>
        <w:rPr>
          <w:rFonts w:hint="eastAsia" w:ascii="仿宋" w:hAnsi="仿宋" w:eastAsia="仿宋" w:cs="仿宋"/>
          <w:color w:val="000000"/>
          <w:kern w:val="60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color w:val="000000"/>
          <w:kern w:val="60"/>
          <w:sz w:val="32"/>
          <w:szCs w:val="32"/>
        </w:rPr>
        <w:t>优化营商环境部署要求，</w:t>
      </w:r>
      <w:r>
        <w:rPr>
          <w:rFonts w:hint="eastAsia" w:ascii="仿宋" w:hAnsi="仿宋" w:eastAsia="仿宋" w:cs="仿宋"/>
          <w:color w:val="000000"/>
          <w:kern w:val="60"/>
          <w:sz w:val="32"/>
          <w:szCs w:val="32"/>
          <w:lang w:eastAsia="zh-CN"/>
        </w:rPr>
        <w:t>持续强化</w:t>
      </w:r>
      <w:r>
        <w:rPr>
          <w:rFonts w:hint="eastAsia" w:ascii="仿宋" w:hAnsi="仿宋" w:eastAsia="仿宋" w:cs="仿宋"/>
          <w:color w:val="000000"/>
          <w:kern w:val="60"/>
          <w:sz w:val="32"/>
          <w:szCs w:val="32"/>
        </w:rPr>
        <w:t>“双随机、一公开”监管</w:t>
      </w:r>
      <w:r>
        <w:rPr>
          <w:rFonts w:hint="eastAsia" w:ascii="仿宋" w:hAnsi="仿宋" w:eastAsia="仿宋" w:cs="仿宋"/>
          <w:color w:val="000000"/>
          <w:kern w:val="60"/>
          <w:sz w:val="32"/>
          <w:szCs w:val="32"/>
          <w:lang w:eastAsia="zh-CN"/>
        </w:rPr>
        <w:t>，提升监管效能，</w:t>
      </w:r>
      <w:r>
        <w:rPr>
          <w:rFonts w:hint="eastAsia" w:ascii="仿宋" w:hAnsi="仿宋" w:eastAsia="仿宋" w:cs="仿宋"/>
          <w:color w:val="000000"/>
          <w:kern w:val="60"/>
          <w:sz w:val="32"/>
          <w:szCs w:val="32"/>
          <w:lang w:val="en-US" w:eastAsia="zh-CN"/>
        </w:rPr>
        <w:t>根据《国务院关于在市场监管领域全面推行部门联合“双随机、一公开”监管的意见》(国发[2019]5号)、《国务院办公厅关于严格规范涉企行政检查的意见》(国办发[2024]54号)、《市场监管总局关于全面深化“双随机、一公开”监管规范涉企行政检查服务高质量发展的意见》(国市监信规〔2024]5号)</w:t>
      </w:r>
      <w:r>
        <w:rPr>
          <w:rFonts w:hint="eastAsia" w:ascii="仿宋" w:hAnsi="仿宋" w:eastAsia="仿宋" w:cs="仿宋"/>
          <w:color w:val="0F1115"/>
          <w:sz w:val="32"/>
          <w:szCs w:val="32"/>
          <w:shd w:val="clear" w:color="auto" w:fill="FFFFFF"/>
        </w:rPr>
        <w:t>及《2026年河北省“双随机、一公开”监管工作实施方案》等文件要求，</w:t>
      </w:r>
      <w:r>
        <w:rPr>
          <w:rFonts w:hint="eastAsia" w:ascii="仿宋" w:hAnsi="仿宋" w:eastAsia="仿宋" w:cs="仿宋"/>
          <w:color w:val="000000"/>
          <w:kern w:val="60"/>
          <w:sz w:val="32"/>
          <w:szCs w:val="32"/>
          <w:lang w:val="en-US" w:eastAsia="zh-CN"/>
        </w:rPr>
        <w:t>制定本方案。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jc w:val="both"/>
        <w:textAlignment w:val="auto"/>
        <w:outlineLvl w:val="9"/>
        <w:rPr>
          <w:rFonts w:ascii="黑体" w:hAnsi="黑体" w:eastAsia="黑体" w:cs="黑体"/>
          <w:color w:val="000000"/>
          <w:kern w:val="60"/>
          <w:sz w:val="32"/>
          <w:szCs w:val="32"/>
        </w:rPr>
      </w:pPr>
      <w:r>
        <w:rPr>
          <w:rFonts w:hint="eastAsia" w:ascii="黑体" w:hAnsi="黑体" w:eastAsia="黑体" w:cs="黑体"/>
          <w:color w:val="000000"/>
          <w:kern w:val="60"/>
          <w:sz w:val="32"/>
          <w:szCs w:val="32"/>
        </w:rPr>
        <w:t>一、工作思路及目标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pacing w:val="-6"/>
          <w:kern w:val="6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kern w:val="60"/>
          <w:sz w:val="32"/>
          <w:szCs w:val="32"/>
          <w:lang w:eastAsia="zh-CN"/>
        </w:rPr>
        <w:t>完善工作机制，提升抽查工作规范化水平</w:t>
      </w:r>
      <w:r>
        <w:rPr>
          <w:rFonts w:hint="eastAsia" w:ascii="仿宋_GB2312" w:hAnsi="仿宋_GB2312" w:cs="仿宋_GB2312"/>
          <w:color w:val="auto"/>
          <w:kern w:val="60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60"/>
          <w:sz w:val="32"/>
          <w:szCs w:val="32"/>
          <w:lang w:eastAsia="zh-CN"/>
        </w:rPr>
        <w:t>强化部门联合，提升联合抽查的地位和作用</w:t>
      </w:r>
      <w:r>
        <w:rPr>
          <w:rFonts w:hint="eastAsia" w:ascii="仿宋_GB2312" w:hAnsi="仿宋_GB2312" w:cs="仿宋_GB2312"/>
          <w:b w:val="0"/>
          <w:bCs w:val="0"/>
          <w:color w:val="auto"/>
          <w:kern w:val="60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auto"/>
          <w:kern w:val="60"/>
          <w:sz w:val="32"/>
          <w:szCs w:val="32"/>
          <w:lang w:eastAsia="zh-CN"/>
        </w:rPr>
        <w:t>实施差异化监管，提升监管执法效能</w:t>
      </w:r>
      <w:r>
        <w:rPr>
          <w:rFonts w:hint="eastAsia" w:ascii="仿宋_GB2312" w:hAnsi="仿宋_GB2312" w:cs="仿宋_GB2312"/>
          <w:color w:val="auto"/>
          <w:kern w:val="60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auto"/>
          <w:kern w:val="60"/>
          <w:sz w:val="32"/>
          <w:szCs w:val="32"/>
          <w:lang w:eastAsia="zh-CN"/>
        </w:rPr>
        <w:t>完善工作流程，实现抽查工作的闭环管理</w:t>
      </w:r>
      <w:r>
        <w:rPr>
          <w:rFonts w:hint="eastAsia" w:ascii="仿宋_GB2312" w:hAnsi="仿宋_GB2312" w:eastAsia="仿宋_GB2312" w:cs="仿宋_GB2312"/>
          <w:color w:val="auto"/>
          <w:spacing w:val="-6"/>
          <w:kern w:val="60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jc w:val="both"/>
        <w:textAlignment w:val="auto"/>
        <w:outlineLvl w:val="9"/>
        <w:rPr>
          <w:rFonts w:ascii="黑体" w:hAnsi="黑体" w:eastAsia="黑体" w:cs="Times New Roman"/>
          <w:color w:val="000000"/>
          <w:sz w:val="32"/>
          <w:szCs w:val="32"/>
        </w:rPr>
      </w:pPr>
      <w:r>
        <w:rPr>
          <w:rFonts w:hint="eastAsia" w:ascii="黑体" w:hAnsi="黑体" w:eastAsia="黑体" w:cs="Times New Roman"/>
          <w:color w:val="000000"/>
          <w:sz w:val="32"/>
          <w:szCs w:val="32"/>
        </w:rPr>
        <w:t>二、主要工作任务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3" w:firstLineChars="200"/>
        <w:jc w:val="both"/>
        <w:textAlignment w:val="auto"/>
        <w:outlineLvl w:val="9"/>
        <w:rPr>
          <w:rFonts w:hint="eastAsia" w:ascii="楷体" w:hAnsi="楷体" w:eastAsia="楷体" w:cs="楷体"/>
          <w:b/>
          <w:color w:val="000000"/>
          <w:kern w:val="60"/>
          <w:sz w:val="32"/>
          <w:szCs w:val="32"/>
        </w:rPr>
      </w:pPr>
      <w:r>
        <w:rPr>
          <w:rFonts w:hint="eastAsia" w:ascii="楷体" w:hAnsi="楷体" w:eastAsia="楷体" w:cs="楷体"/>
          <w:b/>
          <w:color w:val="000000"/>
          <w:kern w:val="60"/>
          <w:sz w:val="32"/>
          <w:szCs w:val="32"/>
        </w:rPr>
        <w:t>（一）</w:t>
      </w:r>
      <w:r>
        <w:rPr>
          <w:rFonts w:hint="eastAsia" w:ascii="楷体" w:hAnsi="楷体" w:eastAsia="楷体" w:cs="楷体"/>
          <w:b/>
          <w:color w:val="000000"/>
          <w:kern w:val="60"/>
          <w:sz w:val="32"/>
          <w:szCs w:val="32"/>
          <w:lang w:eastAsia="zh-CN"/>
        </w:rPr>
        <w:t>强化基础支撑</w:t>
      </w:r>
    </w:p>
    <w:p>
      <w:pPr>
        <w:keepNext w:val="0"/>
        <w:keepLines w:val="0"/>
        <w:widowControl/>
        <w:suppressLineNumbers w:val="0"/>
        <w:ind w:firstLine="640" w:firstLineChars="200"/>
        <w:jc w:val="left"/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b w:val="0"/>
          <w:bCs/>
          <w:color w:val="000000"/>
          <w:kern w:val="60"/>
          <w:sz w:val="32"/>
          <w:szCs w:val="32"/>
          <w:lang w:eastAsia="zh-CN"/>
        </w:rPr>
        <w:t>依托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河北省双随机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  <w:lang w:eastAsia="zh-CN"/>
        </w:rPr>
        <w:t>执法监管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平台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  <w:lang w:eastAsia="zh-CN"/>
        </w:rPr>
        <w:t>（以下简称监管平台），根据机构改革后部门和职能调整情况，在平台中持续完善“一单两库”等基础信息。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 w:bidi="ar"/>
        </w:rPr>
        <w:t>结合本单位监管工作需求，对检查对象名录库进行分类标注，综合考虑执法队伍实际、内部职能划分、等因素，提升人员</w:t>
      </w:r>
      <w:bookmarkStart w:id="0" w:name="_GoBack"/>
      <w:bookmarkEnd w:id="0"/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 w:bidi="ar"/>
        </w:rPr>
        <w:t>匹配的科学性、精准性，确保抽查检查的高效性。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3" w:firstLineChars="200"/>
        <w:jc w:val="both"/>
        <w:textAlignment w:val="auto"/>
        <w:outlineLvl w:val="9"/>
        <w:rPr>
          <w:rFonts w:hint="eastAsia" w:ascii="楷体" w:hAnsi="楷体" w:eastAsia="楷体" w:cs="楷体"/>
          <w:b/>
          <w:bCs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楷体" w:hAnsi="楷体" w:eastAsia="楷体" w:cs="楷体"/>
          <w:b/>
          <w:bCs/>
          <w:color w:val="000000"/>
          <w:kern w:val="0"/>
          <w:sz w:val="32"/>
          <w:szCs w:val="32"/>
          <w:lang w:val="en-US" w:eastAsia="zh-CN" w:bidi="ar"/>
        </w:rPr>
        <w:t>规范抽查检查工作程序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jc w:val="both"/>
        <w:textAlignment w:val="auto"/>
        <w:outlineLvl w:val="9"/>
        <w:rPr>
          <w:rFonts w:hint="eastAsia" w:ascii="楷体_GB2312" w:hAnsi="楷体_GB2312" w:eastAsia="楷体_GB2312" w:cs="楷体_GB2312"/>
          <w:color w:val="000000"/>
          <w:kern w:val="6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 w:bidi="ar"/>
        </w:rPr>
        <w:t>根据上级要求和工作实际，合理安排本单位抽查任务，严格履行年度抽查计划的相关工作程序，年度抽查工作计划和制定的实施方案要及时向社会公开;要根据年度随机抽查工作计划，科学合理地组织实施抽查检查，抽取的过程要确保公开、公正;</w:t>
      </w:r>
      <w:r>
        <w:rPr>
          <w:rFonts w:hint="eastAsia" w:ascii="仿宋_GB2312" w:hAnsi="仿宋_GB2312" w:cs="仿宋_GB2312"/>
          <w:snapToGrid w:val="0"/>
          <w:color w:val="000000"/>
          <w:sz w:val="32"/>
          <w:szCs w:val="32"/>
        </w:rPr>
        <w:t>认真落实《河北省“双随机、一公开”监管工作规范》要求，严格工作流程和标准。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 w:bidi="ar"/>
        </w:rPr>
        <w:t>抽查结束后，及时将相关抽查资料归档，确保档案资料齐全，签字完整，提高“双随机、一公开”监管规范化水平。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Chars="200"/>
        <w:jc w:val="both"/>
        <w:textAlignment w:val="auto"/>
        <w:outlineLvl w:val="9"/>
        <w:rPr>
          <w:rFonts w:hint="eastAsia" w:ascii="楷体_GB2312" w:hAnsi="楷体_GB2312" w:eastAsia="楷体_GB2312" w:cs="楷体_GB2312"/>
          <w:b/>
          <w:bCs/>
          <w:snapToGrid w:val="0"/>
          <w:color w:val="000000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b/>
          <w:color w:val="000000"/>
          <w:kern w:val="60"/>
          <w:sz w:val="32"/>
          <w:szCs w:val="32"/>
          <w:lang w:eastAsia="zh-CN"/>
        </w:rPr>
        <w:t>（</w:t>
      </w:r>
      <w:r>
        <w:rPr>
          <w:rFonts w:hint="eastAsia" w:ascii="楷体_GB2312" w:hAnsi="楷体_GB2312" w:eastAsia="楷体_GB2312" w:cs="楷体_GB2312"/>
          <w:b/>
          <w:color w:val="000000"/>
          <w:kern w:val="60"/>
          <w:sz w:val="32"/>
          <w:szCs w:val="32"/>
          <w:lang w:val="en-US" w:eastAsia="zh-CN"/>
        </w:rPr>
        <w:t>三）</w:t>
      </w:r>
      <w:r>
        <w:rPr>
          <w:rFonts w:hint="eastAsia" w:ascii="楷体_GB2312" w:hAnsi="楷体_GB2312" w:eastAsia="楷体_GB2312" w:cs="楷体_GB2312"/>
          <w:b/>
          <w:color w:val="000000"/>
          <w:kern w:val="60"/>
          <w:sz w:val="32"/>
          <w:szCs w:val="32"/>
          <w:lang w:eastAsia="zh-CN"/>
        </w:rPr>
        <w:t>着力</w:t>
      </w:r>
      <w:r>
        <w:rPr>
          <w:rFonts w:hint="eastAsia" w:ascii="楷体_GB2312" w:hAnsi="楷体_GB2312" w:eastAsia="楷体_GB2312" w:cs="楷体_GB2312"/>
          <w:b/>
          <w:bCs/>
          <w:snapToGrid w:val="0"/>
          <w:color w:val="000000"/>
          <w:sz w:val="32"/>
          <w:szCs w:val="32"/>
        </w:rPr>
        <w:t>提升监管</w:t>
      </w:r>
      <w:r>
        <w:rPr>
          <w:rFonts w:hint="eastAsia" w:ascii="楷体_GB2312" w:hAnsi="楷体_GB2312" w:eastAsia="楷体_GB2312" w:cs="楷体_GB2312"/>
          <w:b/>
          <w:bCs/>
          <w:snapToGrid w:val="0"/>
          <w:color w:val="000000"/>
          <w:sz w:val="32"/>
          <w:szCs w:val="32"/>
          <w:lang w:eastAsia="zh-CN"/>
        </w:rPr>
        <w:t>效能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napToGrid w:val="0"/>
          <w:color w:val="00000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napToGrid w:val="0"/>
          <w:color w:val="000000"/>
          <w:sz w:val="32"/>
          <w:szCs w:val="32"/>
          <w:lang w:eastAsia="zh-CN"/>
        </w:rPr>
        <w:t>积极推进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“双随机、一公开”监管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  <w:lang w:eastAsia="zh-CN"/>
        </w:rPr>
        <w:t>与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企业信用风险分级分类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  <w:lang w:eastAsia="zh-CN"/>
        </w:rPr>
        <w:t>相结合</w:t>
      </w:r>
      <w:r>
        <w:rPr>
          <w:rFonts w:hint="eastAsia" w:ascii="仿宋_GB2312" w:hAnsi="仿宋_GB2312" w:eastAsia="仿宋_GB2312" w:cs="仿宋_GB2312"/>
          <w:snapToGrid w:val="0"/>
          <w:color w:val="000000"/>
          <w:sz w:val="32"/>
          <w:szCs w:val="32"/>
        </w:rPr>
        <w:t>，以制定年度随机抽查计划为抓手，</w:t>
      </w:r>
      <w:r>
        <w:rPr>
          <w:rFonts w:hint="eastAsia" w:ascii="仿宋_GB2312" w:hAnsi="仿宋_GB2312" w:eastAsia="仿宋_GB2312" w:cs="仿宋_GB2312"/>
          <w:snapToGrid w:val="0"/>
          <w:color w:val="000000"/>
          <w:sz w:val="32"/>
          <w:szCs w:val="32"/>
          <w:lang w:eastAsia="zh-CN"/>
        </w:rPr>
        <w:t>将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企业信用风险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  <w:lang w:eastAsia="zh-CN"/>
        </w:rPr>
        <w:t>分级分类结果与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“双随机、一公开”监管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  <w:lang w:eastAsia="zh-CN"/>
        </w:rPr>
        <w:t>深度融合</w:t>
      </w:r>
      <w:r>
        <w:rPr>
          <w:rFonts w:hint="eastAsia" w:ascii="仿宋_GB2312" w:hAnsi="仿宋_GB2312" w:eastAsia="仿宋_GB2312" w:cs="仿宋_GB2312"/>
          <w:snapToGrid w:val="0"/>
          <w:color w:val="000000"/>
          <w:sz w:val="32"/>
          <w:szCs w:val="32"/>
          <w:lang w:eastAsia="zh-CN"/>
        </w:rPr>
        <w:t>，运用信用风险分级分类开展的抽查次数占抽查企业总次数的比例</w:t>
      </w:r>
      <w:r>
        <w:rPr>
          <w:rFonts w:hint="eastAsia" w:ascii="仿宋_GB2312" w:hAnsi="仿宋_GB2312" w:cs="仿宋_GB2312"/>
          <w:snapToGrid w:val="0"/>
          <w:color w:val="000000"/>
          <w:sz w:val="32"/>
          <w:szCs w:val="32"/>
          <w:lang w:eastAsia="zh-CN"/>
        </w:rPr>
        <w:t>要达到</w:t>
      </w:r>
      <w:r>
        <w:rPr>
          <w:rFonts w:hint="eastAsia" w:ascii="仿宋_GB2312" w:hAnsi="仿宋_GB2312" w:cs="仿宋_GB2312"/>
          <w:snapToGrid w:val="0"/>
          <w:color w:val="000000"/>
          <w:sz w:val="32"/>
          <w:szCs w:val="32"/>
          <w:lang w:val="en-US" w:eastAsia="zh-CN"/>
        </w:rPr>
        <w:t>100%</w:t>
      </w:r>
      <w:r>
        <w:rPr>
          <w:rFonts w:hint="eastAsia" w:ascii="仿宋_GB2312" w:hAnsi="仿宋_GB2312" w:eastAsia="仿宋_GB2312" w:cs="仿宋_GB2312"/>
          <w:snapToGrid w:val="0"/>
          <w:color w:val="000000"/>
          <w:sz w:val="32"/>
          <w:szCs w:val="32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Chars="200"/>
        <w:jc w:val="both"/>
        <w:textAlignment w:val="auto"/>
        <w:outlineLvl w:val="9"/>
        <w:rPr>
          <w:rFonts w:hint="eastAsia" w:ascii="楷体_GB2312" w:hAnsi="楷体_GB2312" w:eastAsia="楷体_GB2312" w:cs="楷体_GB2312"/>
          <w:b/>
          <w:color w:val="000000"/>
          <w:kern w:val="60"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color w:val="000000"/>
          <w:kern w:val="60"/>
          <w:sz w:val="32"/>
          <w:szCs w:val="32"/>
          <w:lang w:eastAsia="zh-CN"/>
        </w:rPr>
        <w:t>（</w:t>
      </w:r>
      <w:r>
        <w:rPr>
          <w:rFonts w:hint="eastAsia" w:ascii="楷体_GB2312" w:hAnsi="楷体_GB2312" w:eastAsia="楷体_GB2312" w:cs="楷体_GB2312"/>
          <w:b/>
          <w:color w:val="000000"/>
          <w:kern w:val="60"/>
          <w:sz w:val="32"/>
          <w:szCs w:val="32"/>
          <w:lang w:val="en-US" w:eastAsia="zh-CN"/>
        </w:rPr>
        <w:t>四）提高抽查检查的精准性和结果的精准运用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Chars="0" w:firstLine="640" w:firstLineChars="200"/>
        <w:jc w:val="both"/>
        <w:textAlignment w:val="auto"/>
        <w:outlineLvl w:val="9"/>
        <w:rPr>
          <w:rFonts w:hint="eastAsia" w:ascii="仿宋_GB2312" w:hAnsi="仿宋_GB2312" w:cs="仿宋_GB2312"/>
          <w:color w:val="000000"/>
          <w:kern w:val="60"/>
          <w:sz w:val="32"/>
          <w:szCs w:val="32"/>
          <w:lang w:val="en-US" w:eastAsia="zh-CN"/>
        </w:rPr>
      </w:pPr>
      <w:r>
        <w:rPr>
          <w:rFonts w:hint="eastAsia" w:ascii="仿宋_GB2312" w:hAnsi="仿宋_GB2312" w:cs="仿宋_GB2312"/>
          <w:color w:val="000000"/>
          <w:kern w:val="60"/>
          <w:sz w:val="32"/>
          <w:szCs w:val="32"/>
          <w:lang w:val="en-US" w:eastAsia="zh-CN"/>
        </w:rPr>
        <w:t>要按照“谁检查、谁录入、谁公开”的原则，将抽查检查结果通过政府公示信息系统进行公示，接受社会监督。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Chars="0" w:firstLine="643" w:firstLineChars="200"/>
        <w:jc w:val="both"/>
        <w:textAlignment w:val="auto"/>
        <w:outlineLvl w:val="9"/>
        <w:rPr>
          <w:rFonts w:hint="eastAsia" w:ascii="楷体" w:hAnsi="楷体" w:eastAsia="楷体" w:cs="楷体"/>
          <w:b/>
          <w:bCs/>
          <w:color w:val="000000"/>
          <w:kern w:val="60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/>
          <w:bCs/>
          <w:color w:val="000000"/>
          <w:kern w:val="60"/>
          <w:sz w:val="32"/>
          <w:szCs w:val="32"/>
          <w:lang w:val="en-US" w:eastAsia="zh-CN"/>
        </w:rPr>
        <w:t>做好随机抽查的后续处置工作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jc w:val="both"/>
        <w:textAlignment w:val="auto"/>
        <w:outlineLvl w:val="9"/>
        <w:rPr>
          <w:rFonts w:hint="eastAsia" w:ascii="仿宋_GB2312" w:hAnsi="仿宋_GB2312" w:cs="仿宋_GB2312"/>
          <w:color w:val="000000"/>
          <w:kern w:val="60"/>
          <w:sz w:val="32"/>
          <w:szCs w:val="32"/>
          <w:lang w:val="en-US" w:eastAsia="zh-CN"/>
        </w:rPr>
      </w:pPr>
      <w:r>
        <w:rPr>
          <w:rFonts w:hint="eastAsia" w:ascii="仿宋_GB2312" w:hAnsi="仿宋_GB2312" w:cs="仿宋_GB2312"/>
          <w:color w:val="000000"/>
          <w:kern w:val="60"/>
          <w:sz w:val="32"/>
          <w:szCs w:val="32"/>
          <w:lang w:val="en-US" w:eastAsia="zh-CN"/>
        </w:rPr>
        <w:t>要加大随机抽查工作后续处置力度，对抽查中发现的问题，要限期整改落实。涉及相关部门的，要及时抄送、移交，交由相关部门及时处理，涉嫌犯罪的移送司法机关，防止监管脱节。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firstLine="643" w:firstLineChars="200"/>
        <w:jc w:val="both"/>
        <w:textAlignment w:val="auto"/>
        <w:outlineLvl w:val="9"/>
        <w:rPr>
          <w:rFonts w:hint="eastAsia" w:ascii="楷体" w:hAnsi="楷体" w:eastAsia="楷体" w:cs="楷体"/>
          <w:b/>
          <w:bCs/>
          <w:snapToGrid w:val="0"/>
          <w:color w:val="000000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/>
          <w:bCs/>
          <w:snapToGrid w:val="0"/>
          <w:color w:val="000000"/>
          <w:sz w:val="32"/>
          <w:szCs w:val="32"/>
          <w:lang w:val="en-US" w:eastAsia="zh-CN"/>
        </w:rPr>
        <w:t>加强宣传和业务培训，提高随机抽查工作规范化标准化水平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b w:val="0"/>
          <w:bCs w:val="0"/>
          <w:color w:val="000000"/>
          <w:kern w:val="6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napToGrid w:val="0"/>
          <w:color w:val="000000"/>
          <w:sz w:val="32"/>
          <w:szCs w:val="32"/>
          <w:lang w:val="en-US" w:eastAsia="zh-CN"/>
        </w:rPr>
        <w:t>要加强对“双随机、一公开”监管的舆论宣传，采取多种形式向社会展示公正、廉洁、依法、审慎监管良好形象，提升“双随机、一公开”监管的社会影响力和公众知晓度，形成良好的社会氛围。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jc w:val="both"/>
        <w:textAlignment w:val="auto"/>
        <w:outlineLvl w:val="9"/>
        <w:rPr>
          <w:rFonts w:ascii="黑体" w:hAnsi="黑体" w:eastAsia="黑体" w:cs="黑体"/>
          <w:color w:val="000000"/>
          <w:kern w:val="60"/>
          <w:sz w:val="32"/>
          <w:szCs w:val="32"/>
        </w:rPr>
      </w:pPr>
      <w:r>
        <w:rPr>
          <w:rFonts w:hint="eastAsia" w:ascii="黑体" w:hAnsi="黑体" w:eastAsia="黑体" w:cs="黑体"/>
          <w:color w:val="000000"/>
          <w:kern w:val="60"/>
          <w:sz w:val="32"/>
          <w:szCs w:val="32"/>
        </w:rPr>
        <w:t>三、工作要求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3" w:firstLineChars="200"/>
        <w:jc w:val="both"/>
        <w:textAlignment w:val="auto"/>
        <w:outlineLvl w:val="9"/>
        <w:rPr>
          <w:rFonts w:hint="eastAsia" w:ascii="楷体_GB2312" w:hAnsi="楷体_GB2312" w:eastAsia="楷体_GB2312" w:cs="楷体_GB2312"/>
          <w:b/>
          <w:color w:val="000000"/>
          <w:kern w:val="60"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color w:val="000000"/>
          <w:kern w:val="60"/>
          <w:sz w:val="32"/>
          <w:szCs w:val="32"/>
        </w:rPr>
        <w:t>（一）提高政治站位，</w:t>
      </w:r>
      <w:r>
        <w:rPr>
          <w:rFonts w:hint="eastAsia" w:ascii="楷体_GB2312" w:hAnsi="楷体_GB2312" w:eastAsia="楷体_GB2312" w:cs="楷体_GB2312"/>
          <w:b/>
          <w:color w:val="000000"/>
          <w:kern w:val="60"/>
          <w:sz w:val="32"/>
          <w:szCs w:val="32"/>
          <w:lang w:eastAsia="zh-CN"/>
        </w:rPr>
        <w:t>强化</w:t>
      </w:r>
      <w:r>
        <w:rPr>
          <w:rFonts w:hint="eastAsia" w:ascii="楷体_GB2312" w:hAnsi="楷体_GB2312" w:eastAsia="楷体_GB2312" w:cs="楷体_GB2312"/>
          <w:b/>
          <w:color w:val="000000"/>
          <w:kern w:val="60"/>
          <w:sz w:val="32"/>
          <w:szCs w:val="32"/>
        </w:rPr>
        <w:t>组织领导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/>
          <w:spacing w:val="-6"/>
          <w:kern w:val="6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要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  <w:lang w:eastAsia="zh-CN"/>
        </w:rPr>
        <w:t>充分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认识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“双随机、一公开”监管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  <w:lang w:eastAsia="zh-CN"/>
        </w:rPr>
        <w:t>对于构建新型监管机制、提升监管效能、优化营商环境的重要作用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，进一步加强组织领导和统筹协调，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  <w:lang w:eastAsia="zh-CN"/>
        </w:rPr>
        <w:t>健全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工作制度和运行机制，细化工作目标和推进举措，确保各项工作任务落到实处、取得实效，为</w:t>
      </w:r>
      <w:r>
        <w:rPr>
          <w:rFonts w:hint="eastAsia" w:ascii="仿宋_GB2312" w:hAnsi="仿宋_GB2312" w:eastAsia="仿宋_GB2312" w:cs="仿宋_GB2312"/>
          <w:color w:val="000000"/>
          <w:spacing w:val="-6"/>
          <w:kern w:val="60"/>
          <w:sz w:val="32"/>
          <w:szCs w:val="32"/>
          <w:lang w:eastAsia="zh-CN"/>
        </w:rPr>
        <w:t>全</w:t>
      </w:r>
      <w:r>
        <w:rPr>
          <w:rFonts w:hint="eastAsia" w:ascii="仿宋_GB2312" w:hAnsi="仿宋_GB2312" w:cs="仿宋_GB2312"/>
          <w:color w:val="000000"/>
          <w:spacing w:val="-6"/>
          <w:kern w:val="60"/>
          <w:sz w:val="32"/>
          <w:szCs w:val="32"/>
          <w:lang w:val="en-US" w:eastAsia="zh-CN"/>
        </w:rPr>
        <w:t>县</w:t>
      </w:r>
      <w:r>
        <w:rPr>
          <w:rFonts w:hint="eastAsia" w:ascii="仿宋_GB2312" w:hAnsi="仿宋_GB2312" w:eastAsia="仿宋_GB2312" w:cs="仿宋_GB2312"/>
          <w:color w:val="000000"/>
          <w:spacing w:val="-6"/>
          <w:kern w:val="60"/>
          <w:sz w:val="32"/>
          <w:szCs w:val="32"/>
          <w:lang w:eastAsia="zh-CN"/>
        </w:rPr>
        <w:t>进一步</w:t>
      </w:r>
      <w:r>
        <w:rPr>
          <w:rFonts w:hint="eastAsia" w:ascii="仿宋_GB2312" w:hAnsi="仿宋_GB2312" w:eastAsia="仿宋_GB2312" w:cs="仿宋_GB2312"/>
          <w:color w:val="000000"/>
          <w:spacing w:val="-6"/>
          <w:kern w:val="60"/>
          <w:sz w:val="32"/>
          <w:szCs w:val="32"/>
        </w:rPr>
        <w:t>优化营商环境做出积极贡献。</w:t>
      </w:r>
    </w:p>
    <w:p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3" w:firstLineChars="200"/>
        <w:jc w:val="both"/>
        <w:textAlignment w:val="auto"/>
        <w:outlineLvl w:val="9"/>
        <w:rPr>
          <w:rFonts w:hint="eastAsia" w:ascii="楷体_GB2312" w:hAnsi="楷体_GB2312" w:eastAsia="楷体_GB2312" w:cs="楷体_GB2312"/>
          <w:b/>
          <w:color w:val="000000"/>
          <w:kern w:val="60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b/>
          <w:color w:val="000000"/>
          <w:kern w:val="60"/>
          <w:sz w:val="32"/>
          <w:szCs w:val="32"/>
        </w:rPr>
        <w:t>认真</w:t>
      </w:r>
      <w:r>
        <w:rPr>
          <w:rFonts w:hint="eastAsia" w:ascii="楷体_GB2312" w:hAnsi="楷体_GB2312" w:eastAsia="楷体_GB2312" w:cs="楷体_GB2312"/>
          <w:b/>
          <w:color w:val="000000"/>
          <w:kern w:val="60"/>
          <w:sz w:val="32"/>
          <w:szCs w:val="32"/>
          <w:lang w:eastAsia="zh-CN"/>
        </w:rPr>
        <w:t>履职尽责</w:t>
      </w:r>
      <w:r>
        <w:rPr>
          <w:rFonts w:hint="eastAsia" w:ascii="楷体_GB2312" w:hAnsi="楷体_GB2312" w:eastAsia="楷体_GB2312" w:cs="楷体_GB2312"/>
          <w:b/>
          <w:color w:val="000000"/>
          <w:kern w:val="60"/>
          <w:sz w:val="32"/>
          <w:szCs w:val="32"/>
        </w:rPr>
        <w:t>，</w:t>
      </w:r>
      <w:r>
        <w:rPr>
          <w:rFonts w:hint="eastAsia" w:ascii="楷体_GB2312" w:hAnsi="楷体_GB2312" w:eastAsia="楷体_GB2312" w:cs="楷体_GB2312"/>
          <w:b/>
          <w:color w:val="000000"/>
          <w:kern w:val="60"/>
          <w:sz w:val="32"/>
          <w:szCs w:val="32"/>
          <w:lang w:eastAsia="zh-CN"/>
        </w:rPr>
        <w:t>强化责任担当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jc w:val="both"/>
        <w:textAlignment w:val="auto"/>
        <w:outlineLvl w:val="9"/>
        <w:rPr>
          <w:rFonts w:ascii="仿宋_GB2312" w:hAnsi="仿宋_GB2312" w:eastAsia="仿宋_GB2312" w:cs="仿宋_GB2312"/>
          <w:color w:val="000000"/>
          <w:kern w:val="6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  <w:lang w:eastAsia="zh-CN"/>
        </w:rPr>
        <w:t>要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牢固树立“一盘棋”思想，</w:t>
      </w:r>
      <w:r>
        <w:rPr>
          <w:rFonts w:hint="eastAsia" w:ascii="仿宋_GB2312" w:hAnsi="仿宋_GB2312" w:cs="仿宋_GB2312"/>
          <w:color w:val="000000"/>
          <w:kern w:val="60"/>
          <w:sz w:val="32"/>
          <w:szCs w:val="32"/>
          <w:lang w:val="en-US" w:eastAsia="zh-CN"/>
        </w:rPr>
        <w:t>相关部门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相互支持、密切配合、协同促进，合力推进各项工作任务落实。</w:t>
      </w:r>
    </w:p>
    <w:p>
      <w:pPr>
        <w:numPr>
          <w:ilvl w:val="0"/>
          <w:numId w:val="3"/>
        </w:numPr>
        <w:ind w:firstLine="643" w:firstLineChars="200"/>
        <w:rPr>
          <w:rFonts w:hint="eastAsia" w:ascii="楷体_GB2312" w:hAnsi="楷体_GB2312" w:eastAsia="楷体_GB2312" w:cs="楷体_GB2312"/>
          <w:b/>
          <w:color w:val="000000"/>
          <w:kern w:val="6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color w:val="000000"/>
          <w:kern w:val="60"/>
          <w:sz w:val="32"/>
          <w:szCs w:val="32"/>
          <w:lang w:val="en-US" w:eastAsia="zh-CN"/>
        </w:rPr>
        <w:t>规范程序，严明纪律</w:t>
      </w:r>
    </w:p>
    <w:p>
      <w:pPr>
        <w:pStyle w:val="3"/>
        <w:widowControl/>
        <w:shd w:val="clear" w:color="auto" w:fill="FFFFFF"/>
        <w:ind w:firstLine="640" w:firstLineChars="200"/>
        <w:rPr>
          <w:rFonts w:hint="eastAsia" w:ascii="仿宋" w:hAnsi="仿宋" w:eastAsia="仿宋" w:cs="仿宋"/>
          <w:color w:val="0F1115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b w:val="0"/>
          <w:bCs/>
          <w:color w:val="000000"/>
          <w:kern w:val="60"/>
          <w:sz w:val="32"/>
          <w:szCs w:val="32"/>
          <w:lang w:val="en-US" w:eastAsia="zh-CN"/>
        </w:rPr>
        <w:t>要</w:t>
      </w:r>
      <w:r>
        <w:rPr>
          <w:rFonts w:hint="eastAsia" w:ascii="仿宋" w:hAnsi="仿宋" w:eastAsia="仿宋" w:cs="仿宋"/>
          <w:color w:val="0F1115"/>
          <w:sz w:val="32"/>
          <w:szCs w:val="32"/>
          <w:shd w:val="clear" w:color="auto" w:fill="FFFFFF"/>
        </w:rPr>
        <w:t>严格按照《国务院办公厅关于严格规范涉企行政检查的意见》（国办发〔2024〕54号）中“五个严禁”、“八个不得”的要求，强化随机抽查工作全流程管控，严格规范公正文明，切实提升随机抽查工作效能。</w:t>
      </w:r>
    </w:p>
    <w:p>
      <w:pPr>
        <w:numPr>
          <w:ilvl w:val="0"/>
          <w:numId w:val="0"/>
        </w:numPr>
        <w:rPr>
          <w:rFonts w:hint="eastAsia" w:ascii="仿宋" w:hAnsi="仿宋" w:eastAsia="仿宋" w:cs="仿宋"/>
          <w:b w:val="0"/>
          <w:bCs/>
          <w:color w:val="000000"/>
          <w:kern w:val="60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2BF8C10"/>
    <w:multiLevelType w:val="singleLevel"/>
    <w:tmpl w:val="52BF8C10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67BBCB71"/>
    <w:multiLevelType w:val="singleLevel"/>
    <w:tmpl w:val="67BBCB71"/>
    <w:lvl w:ilvl="0" w:tentative="0">
      <w:start w:val="2"/>
      <w:numFmt w:val="chineseCounting"/>
      <w:suff w:val="nothing"/>
      <w:lvlText w:val="（%1）"/>
      <w:lvlJc w:val="left"/>
    </w:lvl>
  </w:abstractNum>
  <w:abstractNum w:abstractNumId="2">
    <w:nsid w:val="67BBCD3D"/>
    <w:multiLevelType w:val="singleLevel"/>
    <w:tmpl w:val="67BBCD3D"/>
    <w:lvl w:ilvl="0" w:tentative="0">
      <w:start w:val="5"/>
      <w:numFmt w:val="chineseCounting"/>
      <w:suff w:val="nothing"/>
      <w:lvlText w:val="（%1）"/>
      <w:lvlJc w:val="left"/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6E51F56"/>
    <w:rsid w:val="1F542DA6"/>
    <w:rsid w:val="29DB11FA"/>
    <w:rsid w:val="31DF0655"/>
    <w:rsid w:val="3E795B5F"/>
    <w:rsid w:val="459033A1"/>
    <w:rsid w:val="58D21921"/>
    <w:rsid w:val="5AAF2281"/>
    <w:rsid w:val="6470604D"/>
    <w:rsid w:val="735703E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仿宋_GB2312" w:asciiTheme="minorHAnsi" w:hAnsiTheme="minorHAnsi" w:cstheme="minorBidi"/>
      <w:kern w:val="2"/>
      <w:sz w:val="32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</w:style>
  <w:style w:type="paragraph" w:styleId="3">
    <w:name w:val="Normal (Web)"/>
    <w:basedOn w:val="1"/>
    <w:uiPriority w:val="0"/>
    <w:rPr>
      <w:sz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hp</cp:lastModifiedBy>
  <dcterms:modified xsi:type="dcterms:W3CDTF">2026-03-17T06:08:08Z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</Properties>
</file>