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86E5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outlineLvl w:val="9"/>
        <w:rPr>
          <w:rFonts w:hint="eastAsia" w:ascii="黑体" w:hAnsi="黑体" w:eastAsia="黑体" w:cs="黑体"/>
          <w:b w:val="0"/>
          <w:bCs w:val="0"/>
          <w:color w:val="auto"/>
          <w:sz w:val="32"/>
          <w:szCs w:val="32"/>
          <w:highlight w:val="none"/>
          <w:lang w:val="en-US" w:eastAsia="zh-CN"/>
        </w:rPr>
      </w:pPr>
    </w:p>
    <w:p w14:paraId="489CA99F">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auto"/>
        <w:outlineLvl w:val="9"/>
        <w:rPr>
          <w:rFonts w:hint="default" w:ascii="宋体" w:hAnsi="宋体" w:cs="宋体"/>
          <w:b/>
          <w:bCs/>
          <w:color w:val="auto"/>
          <w:sz w:val="44"/>
          <w:szCs w:val="44"/>
          <w:highlight w:val="none"/>
          <w:lang w:val="en-US" w:eastAsia="zh-CN"/>
        </w:rPr>
      </w:pPr>
    </w:p>
    <w:p w14:paraId="3BA1162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正定县小微企业贷款风险补偿资金管理办法（试行）</w:t>
      </w:r>
    </w:p>
    <w:p w14:paraId="2856457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9"/>
        <w:rPr>
          <w:rFonts w:hint="eastAsia" w:ascii="宋体" w:hAnsi="宋体" w:cs="宋体"/>
          <w:b/>
          <w:bCs/>
          <w:color w:val="auto"/>
          <w:sz w:val="44"/>
          <w:szCs w:val="44"/>
          <w:highlight w:val="none"/>
          <w:lang w:val="en-US" w:eastAsia="zh-CN"/>
        </w:rPr>
      </w:pPr>
    </w:p>
    <w:p w14:paraId="1A32A7A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第一章</w:t>
      </w:r>
      <w:r>
        <w:rPr>
          <w:rFonts w:hint="eastAsia" w:ascii="黑体" w:hAnsi="黑体" w:eastAsia="黑体" w:cs="黑体"/>
          <w:color w:val="auto"/>
          <w:sz w:val="32"/>
          <w:szCs w:val="32"/>
          <w:highlight w:val="none"/>
          <w:lang w:val="en-US" w:eastAsia="zh-CN"/>
        </w:rPr>
        <w:t xml:space="preserve">  </w:t>
      </w:r>
      <w:r>
        <w:rPr>
          <w:rFonts w:hint="eastAsia" w:ascii="黑体" w:hAnsi="黑体" w:eastAsia="黑体" w:cs="黑体"/>
          <w:color w:val="auto"/>
          <w:sz w:val="32"/>
          <w:szCs w:val="32"/>
          <w:highlight w:val="none"/>
          <w:lang w:eastAsia="zh-CN"/>
        </w:rPr>
        <w:t>总</w:t>
      </w:r>
      <w:r>
        <w:rPr>
          <w:rFonts w:hint="eastAsia" w:ascii="黑体" w:hAnsi="黑体" w:eastAsia="黑体" w:cs="黑体"/>
          <w:color w:val="auto"/>
          <w:sz w:val="32"/>
          <w:szCs w:val="32"/>
          <w:highlight w:val="none"/>
          <w:lang w:val="en-US" w:eastAsia="zh-CN"/>
        </w:rPr>
        <w:t xml:space="preserve">  </w:t>
      </w:r>
      <w:r>
        <w:rPr>
          <w:rFonts w:hint="eastAsia" w:ascii="黑体" w:hAnsi="黑体" w:eastAsia="黑体" w:cs="黑体"/>
          <w:color w:val="auto"/>
          <w:sz w:val="32"/>
          <w:szCs w:val="32"/>
          <w:highlight w:val="none"/>
          <w:lang w:eastAsia="zh-CN"/>
        </w:rPr>
        <w:t>则</w:t>
      </w:r>
    </w:p>
    <w:p w14:paraId="18653DF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outlineLvl w:val="9"/>
        <w:rPr>
          <w:rFonts w:hint="eastAsia" w:ascii="黑体" w:hAnsi="黑体" w:eastAsia="黑体" w:cs="黑体"/>
          <w:color w:val="auto"/>
          <w:sz w:val="32"/>
          <w:szCs w:val="32"/>
          <w:highlight w:val="none"/>
          <w:lang w:eastAsia="zh-CN"/>
        </w:rPr>
      </w:pPr>
    </w:p>
    <w:p w14:paraId="16F0803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黑体" w:hAnsi="黑体" w:eastAsia="黑体" w:cs="黑体"/>
          <w:color w:val="auto"/>
          <w:sz w:val="32"/>
          <w:szCs w:val="32"/>
          <w:highlight w:val="none"/>
          <w:lang w:eastAsia="zh-CN"/>
        </w:rPr>
        <w:t xml:space="preserve">第一条 </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kern w:val="2"/>
          <w:sz w:val="32"/>
          <w:szCs w:val="32"/>
          <w:highlight w:val="none"/>
          <w:lang w:val="en-US" w:eastAsia="zh-CN" w:bidi="ar-SA"/>
        </w:rPr>
        <w:t>为引导金融支持我县实体经济发展，激励驻县银行业金融机构“敢贷”、“愿贷”，支持县域</w:t>
      </w:r>
      <w:r>
        <w:rPr>
          <w:rFonts w:hint="eastAsia" w:ascii="仿宋_GB2312" w:hAnsi="仿宋_GB2312" w:eastAsia="仿宋_GB2312" w:cs="仿宋_GB2312"/>
          <w:color w:val="auto"/>
          <w:sz w:val="32"/>
          <w:szCs w:val="32"/>
          <w:highlight w:val="none"/>
          <w:lang w:eastAsia="zh-CN"/>
        </w:rPr>
        <w:t>小微企业（含</w:t>
      </w:r>
      <w:r>
        <w:rPr>
          <w:rFonts w:hint="eastAsia" w:ascii="仿宋_GB2312" w:hAnsi="仿宋_GB2312" w:eastAsia="仿宋_GB2312" w:cs="仿宋_GB2312"/>
          <w:color w:val="auto"/>
          <w:sz w:val="32"/>
          <w:szCs w:val="32"/>
          <w:highlight w:val="none"/>
          <w:lang w:val="en-US" w:eastAsia="zh-CN"/>
        </w:rPr>
        <w:t>科技小微企业、OPC小微企业），高质量发展，</w:t>
      </w:r>
      <w:r>
        <w:rPr>
          <w:rFonts w:hint="eastAsia" w:ascii="仿宋_GB2312" w:hAnsi="仿宋_GB2312" w:eastAsia="仿宋_GB2312" w:cs="仿宋_GB2312"/>
          <w:color w:val="auto"/>
          <w:kern w:val="2"/>
          <w:sz w:val="32"/>
          <w:szCs w:val="32"/>
          <w:highlight w:val="none"/>
          <w:lang w:val="en-US" w:eastAsia="zh-CN" w:bidi="ar-SA"/>
        </w:rPr>
        <w:t>特制定本办法。</w:t>
      </w:r>
    </w:p>
    <w:p w14:paraId="35284579">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 xml:space="preserve">第二条  </w:t>
      </w:r>
      <w:r>
        <w:rPr>
          <w:rFonts w:hint="eastAsia" w:ascii="仿宋_GB2312" w:hAnsi="仿宋_GB2312" w:eastAsia="仿宋_GB2312" w:cs="仿宋_GB2312"/>
          <w:color w:val="auto"/>
          <w:sz w:val="32"/>
          <w:szCs w:val="32"/>
          <w:highlight w:val="none"/>
          <w:lang w:val="en-US" w:eastAsia="zh-CN"/>
        </w:rPr>
        <w:t>按照“政府引导、市场运作、公开透明、风险共担”原则，县级财政出资设立正定县贷款风险资金池，通过政银企合作方式，</w:t>
      </w:r>
      <w:r>
        <w:rPr>
          <w:rFonts w:hint="eastAsia" w:ascii="仿宋_GB2312" w:hAnsi="仿宋_GB2312" w:eastAsia="仿宋_GB2312" w:cs="仿宋_GB2312"/>
          <w:color w:val="auto"/>
          <w:kern w:val="2"/>
          <w:sz w:val="32"/>
          <w:szCs w:val="32"/>
          <w:highlight w:val="none"/>
          <w:lang w:val="en-US" w:eastAsia="zh-CN" w:bidi="ar-SA"/>
        </w:rPr>
        <w:t>发挥财政资金杠杆作用，</w:t>
      </w:r>
      <w:r>
        <w:rPr>
          <w:rFonts w:hint="eastAsia" w:ascii="仿宋_GB2312" w:hAnsi="仿宋_GB2312" w:eastAsia="仿宋_GB2312" w:cs="仿宋_GB2312"/>
          <w:color w:val="auto"/>
          <w:sz w:val="32"/>
          <w:szCs w:val="32"/>
          <w:highlight w:val="none"/>
          <w:lang w:val="en-US" w:eastAsia="zh-CN"/>
        </w:rPr>
        <w:t>引导合作银行开发低门槛、低成本、高效率的专项产品，更好地为我县符合条件的小微企业、科技企业提供企业贷款融资服务。</w:t>
      </w:r>
    </w:p>
    <w:p w14:paraId="701245F8">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 xml:space="preserve">第三条  </w:t>
      </w:r>
      <w:r>
        <w:rPr>
          <w:rFonts w:hint="eastAsia" w:ascii="仿宋_GB2312" w:hAnsi="仿宋_GB2312" w:eastAsia="仿宋_GB2312" w:cs="仿宋_GB2312"/>
          <w:color w:val="auto"/>
          <w:sz w:val="32"/>
          <w:szCs w:val="32"/>
          <w:highlight w:val="none"/>
          <w:lang w:eastAsia="zh-CN"/>
        </w:rPr>
        <w:t>本办法所称小微企业，是指在我县行政区域内注册并从事实体经济运营，符合《关于印发中小企业划型标准规定的通知》（工信部联企业〔2011〕300号）规定的小型微型企业（</w:t>
      </w:r>
      <w:r>
        <w:rPr>
          <w:rFonts w:hint="eastAsia" w:ascii="仿宋_GB2312" w:hAnsi="仿宋_GB2312" w:eastAsia="仿宋_GB2312" w:cs="仿宋_GB2312"/>
          <w:color w:val="auto"/>
          <w:sz w:val="32"/>
          <w:szCs w:val="32"/>
          <w:highlight w:val="none"/>
          <w:lang w:val="en-US" w:eastAsia="zh-CN"/>
        </w:rPr>
        <w:t>如遇政策调整，按国家最新规定执行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金融类和房地产行业暂不纳入范围。</w:t>
      </w:r>
    </w:p>
    <w:p w14:paraId="0A25E8B2">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sz w:val="32"/>
          <w:szCs w:val="32"/>
          <w:highlight w:val="none"/>
          <w:u w:val="single" w:color="auto"/>
          <w:lang w:val="en-US" w:eastAsia="zh-CN"/>
        </w:rPr>
      </w:pPr>
      <w:r>
        <w:rPr>
          <w:rFonts w:hint="eastAsia" w:ascii="仿宋_GB2312" w:hAnsi="仿宋_GB2312" w:eastAsia="仿宋_GB2312" w:cs="仿宋_GB2312"/>
          <w:color w:val="auto"/>
          <w:sz w:val="32"/>
          <w:szCs w:val="32"/>
          <w:highlight w:val="none"/>
          <w:lang w:val="en-US" w:eastAsia="zh-CN"/>
        </w:rPr>
        <w:t>科技小微企业包括高新技术企业和科技型中小企业，是指经认定在有效期内</w:t>
      </w:r>
      <w:r>
        <w:rPr>
          <w:rFonts w:hint="eastAsia" w:ascii="仿宋_GB2312" w:hAnsi="仿宋_GB2312" w:eastAsia="仿宋_GB2312" w:cs="仿宋_GB2312"/>
          <w:color w:val="auto"/>
          <w:sz w:val="32"/>
          <w:szCs w:val="32"/>
          <w:highlight w:val="none"/>
          <w:u w:val="none" w:color="auto"/>
          <w:lang w:val="en-US" w:eastAsia="zh-CN"/>
        </w:rPr>
        <w:t>的河北省科技型中小企业、国家科技型中小企业以及高新技术企业。</w:t>
      </w:r>
    </w:p>
    <w:p w14:paraId="32E7CE4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第四条</w:t>
      </w:r>
      <w:r>
        <w:rPr>
          <w:rFonts w:hint="eastAsia" w:ascii="仿宋_GB2312" w:hAnsi="仿宋_GB2312" w:eastAsia="仿宋_GB2312" w:cs="仿宋_GB2312"/>
          <w:color w:val="auto"/>
          <w:kern w:val="2"/>
          <w:sz w:val="32"/>
          <w:szCs w:val="32"/>
          <w:highlight w:val="none"/>
          <w:lang w:val="en-US" w:eastAsia="zh-CN" w:bidi="ar-SA"/>
        </w:rPr>
        <w:t xml:space="preserve">  本办法所称</w:t>
      </w:r>
      <w:r>
        <w:rPr>
          <w:rFonts w:hint="eastAsia" w:ascii="仿宋_GB2312" w:hAnsi="仿宋_GB2312" w:eastAsia="仿宋_GB2312" w:cs="仿宋_GB2312"/>
          <w:color w:val="auto"/>
          <w:sz w:val="32"/>
          <w:szCs w:val="32"/>
          <w:highlight w:val="none"/>
          <w:lang w:eastAsia="zh-CN"/>
        </w:rPr>
        <w:t>企业贷款，是指</w:t>
      </w:r>
      <w:r>
        <w:rPr>
          <w:rFonts w:hint="eastAsia" w:ascii="仿宋_GB2312" w:hAnsi="仿宋_GB2312" w:eastAsia="仿宋_GB2312" w:cs="仿宋_GB2312"/>
          <w:color w:val="auto"/>
          <w:sz w:val="32"/>
          <w:szCs w:val="32"/>
          <w:highlight w:val="none"/>
          <w:lang w:val="en-US" w:eastAsia="zh-CN"/>
        </w:rPr>
        <w:t>合作银行提供的普惠金融口径小微企业贷款，即同一金融机构单户授信总额1000万元（含）以下的小微企业贷款，包括小型微型企业贷款、个体工商户贷款、小微企业主贷款。</w:t>
      </w:r>
    </w:p>
    <w:p w14:paraId="4BB09DBE">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黑体" w:hAnsi="黑体" w:eastAsia="黑体" w:cs="黑体"/>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合作银行所提供或新开发的企业贷款产品，应及时在</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color w:val="auto"/>
          <w:sz w:val="32"/>
          <w:szCs w:val="32"/>
          <w:highlight w:val="none"/>
          <w:lang w:val="en-US" w:eastAsia="zh-CN"/>
        </w:rPr>
        <w:t>备案。</w:t>
      </w:r>
    </w:p>
    <w:p w14:paraId="4E754F3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 xml:space="preserve">第五条  </w:t>
      </w:r>
      <w:r>
        <w:rPr>
          <w:rFonts w:hint="eastAsia" w:ascii="仿宋_GB2312" w:hAnsi="仿宋_GB2312" w:eastAsia="仿宋_GB2312" w:cs="仿宋_GB2312"/>
          <w:color w:val="auto"/>
          <w:sz w:val="32"/>
          <w:szCs w:val="32"/>
          <w:highlight w:val="none"/>
          <w:lang w:val="en-US" w:eastAsia="zh-CN"/>
        </w:rPr>
        <w:t>本办法所称合作银行，是指按照竞争择优原则，与</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color w:val="auto"/>
          <w:sz w:val="32"/>
          <w:szCs w:val="32"/>
          <w:highlight w:val="none"/>
          <w:lang w:val="en-US" w:eastAsia="zh-CN"/>
        </w:rPr>
        <w:t>签订合作协议，在我县域行政区域内设立的驻县银行金融机构，包括政策性银行、国有商业银行、股份制商业银行、城市商业银行、外资银行等银行机构的驻县分支机构，以及农村合作金融机构（含农村商业银行、农村合作银行、农村信用合作社、村镇银行）。</w:t>
      </w:r>
    </w:p>
    <w:p w14:paraId="1F1C35F1">
      <w:pPr>
        <w:keepNext w:val="0"/>
        <w:keepLines w:val="0"/>
        <w:pageBreakBefore w:val="0"/>
        <w:widowControl w:val="0"/>
        <w:kinsoku/>
        <w:wordWrap/>
        <w:overflowPunct/>
        <w:topLinePunct w:val="0"/>
        <w:autoSpaceDE/>
        <w:autoSpaceDN/>
        <w:bidi w:val="0"/>
        <w:adjustRightInd/>
        <w:snapToGrid/>
        <w:spacing w:beforeAutospacing="0" w:afterAutospacing="0" w:line="570" w:lineRule="exact"/>
        <w:textAlignment w:val="auto"/>
        <w:outlineLvl w:val="9"/>
        <w:rPr>
          <w:rFonts w:hint="default" w:ascii="仿宋_GB2312" w:hAnsi="仿宋_GB2312" w:eastAsia="仿宋_GB2312" w:cs="仿宋_GB2312"/>
          <w:color w:val="auto"/>
          <w:sz w:val="32"/>
          <w:szCs w:val="32"/>
          <w:highlight w:val="none"/>
          <w:lang w:val="en-US" w:eastAsia="zh-CN"/>
        </w:rPr>
      </w:pPr>
    </w:p>
    <w:p w14:paraId="00FC0A84">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center"/>
        <w:textAlignment w:val="auto"/>
        <w:outlineLvl w:val="9"/>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第二章 </w:t>
      </w:r>
      <w:r>
        <w:rPr>
          <w:rFonts w:hint="eastAsia" w:ascii="黑体" w:hAnsi="黑体" w:eastAsia="黑体" w:cs="黑体"/>
          <w:color w:val="auto"/>
          <w:sz w:val="32"/>
          <w:szCs w:val="32"/>
          <w:highlight w:val="none"/>
          <w:lang w:val="en-US" w:eastAsia="zh-CN"/>
        </w:rPr>
        <w:t xml:space="preserve"> </w:t>
      </w:r>
      <w:r>
        <w:rPr>
          <w:rFonts w:hint="eastAsia" w:ascii="黑体" w:hAnsi="黑体" w:eastAsia="黑体" w:cs="黑体"/>
          <w:color w:val="auto"/>
          <w:sz w:val="32"/>
          <w:szCs w:val="32"/>
          <w:highlight w:val="none"/>
          <w:lang w:eastAsia="zh-CN"/>
        </w:rPr>
        <w:t>职责分工</w:t>
      </w:r>
    </w:p>
    <w:p w14:paraId="1A4B44C7">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center"/>
        <w:textAlignment w:val="auto"/>
        <w:outlineLvl w:val="9"/>
        <w:rPr>
          <w:rFonts w:hint="eastAsia" w:ascii="仿宋_GB2312" w:hAnsi="仿宋_GB2312" w:eastAsia="仿宋_GB2312" w:cs="仿宋_GB2312"/>
          <w:color w:val="auto"/>
          <w:sz w:val="32"/>
          <w:szCs w:val="32"/>
          <w:highlight w:val="none"/>
          <w:lang w:eastAsia="zh-CN"/>
        </w:rPr>
      </w:pPr>
    </w:p>
    <w:p w14:paraId="42CB31E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第六条</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 xml:space="preserve">  正定县人民政府办公室、</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正定县科学技术和工业信息化局</w:t>
      </w:r>
      <w:r>
        <w:rPr>
          <w:rFonts w:hint="eastAsia" w:ascii="仿宋_GB2312" w:hAnsi="仿宋_GB2312" w:eastAsia="仿宋_GB2312" w:cs="仿宋_GB2312"/>
          <w:color w:val="auto"/>
          <w:sz w:val="32"/>
          <w:szCs w:val="32"/>
          <w:highlight w:val="none"/>
          <w:lang w:val="en-US" w:eastAsia="zh-CN"/>
        </w:rPr>
        <w:t>与银行机构签订三方合作协议。</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eastAsia" w:ascii="仿宋_GB2312" w:hAnsi="仿宋_GB2312" w:eastAsia="仿宋_GB2312" w:cs="仿宋_GB2312"/>
          <w:color w:val="auto"/>
          <w:sz w:val="32"/>
          <w:szCs w:val="32"/>
          <w:highlight w:val="none"/>
          <w:lang w:val="en-US" w:eastAsia="zh-CN"/>
        </w:rPr>
        <w:t>负责备案符合条件的小微企业贷款产品、审核补偿资金申请等资料，提出风险补偿资金分配意见，做好补偿资金绩效评价工作。</w:t>
      </w:r>
      <w:r>
        <w:rPr>
          <w:rFonts w:hint="default" w:ascii="仿宋_GB2312" w:hAnsi="仿宋_GB2312" w:eastAsia="仿宋_GB2312" w:cs="仿宋_GB2312"/>
          <w:color w:val="auto"/>
          <w:sz w:val="32"/>
          <w:szCs w:val="32"/>
          <w:highlight w:val="none"/>
          <w:lang w:val="en-US" w:eastAsia="zh-CN"/>
        </w:rPr>
        <w:t>正定</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县科学技术和工业信息化局负责备案符合条件的科技企业贷款产品、审核补偿资金申请等资料，提出风险补偿资金分配意见</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w:t>
      </w:r>
      <w:r>
        <w:rPr>
          <w:rFonts w:hint="eastAsia" w:ascii="仿宋_GB2312" w:hAnsi="仿宋_GB2312" w:eastAsia="仿宋_GB2312" w:cs="仿宋_GB2312"/>
          <w:color w:val="auto"/>
          <w:sz w:val="32"/>
          <w:szCs w:val="32"/>
          <w:highlight w:val="none"/>
          <w:lang w:val="en-US" w:eastAsia="zh-CN"/>
        </w:rPr>
        <w:t>做好补偿资金绩效评价工作。</w:t>
      </w:r>
    </w:p>
    <w:p w14:paraId="3FAB245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 xml:space="preserve">第七条  </w:t>
      </w:r>
      <w:r>
        <w:rPr>
          <w:rFonts w:hint="eastAsia" w:ascii="仿宋_GB2312" w:hAnsi="仿宋_GB2312" w:eastAsia="仿宋_GB2312" w:cs="仿宋_GB2312"/>
          <w:color w:val="auto"/>
          <w:sz w:val="32"/>
          <w:szCs w:val="32"/>
          <w:highlight w:val="none"/>
          <w:lang w:val="en-US" w:eastAsia="zh-CN"/>
        </w:rPr>
        <w:t>县财政</w:t>
      </w:r>
      <w:r>
        <w:rPr>
          <w:rFonts w:hint="eastAsia" w:ascii="仿宋_GB2312" w:hAnsi="仿宋_GB2312" w:eastAsia="仿宋_GB2312" w:cs="仿宋_GB2312"/>
          <w:color w:val="auto"/>
          <w:sz w:val="32"/>
          <w:szCs w:val="32"/>
          <w:highlight w:val="none"/>
          <w:lang w:eastAsia="zh-CN"/>
        </w:rPr>
        <w:t>局负责</w:t>
      </w:r>
      <w:r>
        <w:rPr>
          <w:rFonts w:hint="eastAsia" w:ascii="仿宋_GB2312" w:hAnsi="仿宋_GB2312" w:eastAsia="仿宋_GB2312" w:cs="仿宋_GB2312"/>
          <w:color w:val="auto"/>
          <w:sz w:val="32"/>
          <w:szCs w:val="32"/>
          <w:highlight w:val="none"/>
          <w:lang w:val="en-US" w:eastAsia="zh-CN"/>
        </w:rPr>
        <w:t>贷款</w:t>
      </w:r>
      <w:r>
        <w:rPr>
          <w:rFonts w:hint="eastAsia" w:ascii="仿宋_GB2312" w:hAnsi="仿宋_GB2312" w:eastAsia="仿宋_GB2312" w:cs="仿宋_GB2312"/>
          <w:color w:val="auto"/>
          <w:sz w:val="32"/>
          <w:szCs w:val="32"/>
          <w:highlight w:val="none"/>
          <w:lang w:eastAsia="zh-CN"/>
        </w:rPr>
        <w:t>风险</w:t>
      </w:r>
      <w:r>
        <w:rPr>
          <w:rFonts w:hint="eastAsia" w:ascii="仿宋_GB2312" w:hAnsi="仿宋_GB2312" w:eastAsia="仿宋_GB2312" w:cs="仿宋_GB2312"/>
          <w:color w:val="auto"/>
          <w:sz w:val="32"/>
          <w:szCs w:val="32"/>
          <w:highlight w:val="none"/>
          <w:lang w:val="en-US" w:eastAsia="zh-CN"/>
        </w:rPr>
        <w:t>资金池的资金筹集与拨付，组织相关部门开展绩效评价。与具有金融类、金融性质的县属国有企业签订托管协议，委托其设立并管理贷款风险资金池专用账户。</w:t>
      </w:r>
    </w:p>
    <w:p w14:paraId="5607A2D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第八条</w:t>
      </w:r>
      <w:r>
        <w:rPr>
          <w:rFonts w:hint="eastAsia" w:ascii="仿宋_GB2312" w:hAnsi="仿宋_GB2312" w:eastAsia="仿宋_GB2312" w:cs="仿宋_GB2312"/>
          <w:color w:val="auto"/>
          <w:sz w:val="32"/>
          <w:szCs w:val="32"/>
          <w:highlight w:val="none"/>
          <w:lang w:val="en-US" w:eastAsia="zh-CN"/>
        </w:rPr>
        <w:t xml:space="preserve">  受托县属国有企业负责按照托管协议，开立贷款</w:t>
      </w:r>
      <w:r>
        <w:rPr>
          <w:rFonts w:hint="eastAsia" w:ascii="仿宋_GB2312" w:hAnsi="仿宋_GB2312" w:eastAsia="仿宋_GB2312" w:cs="仿宋_GB2312"/>
          <w:color w:val="auto"/>
          <w:sz w:val="32"/>
          <w:szCs w:val="32"/>
          <w:highlight w:val="none"/>
          <w:lang w:eastAsia="zh-CN"/>
        </w:rPr>
        <w:t>风险</w:t>
      </w:r>
      <w:r>
        <w:rPr>
          <w:rFonts w:hint="eastAsia" w:ascii="仿宋_GB2312" w:hAnsi="仿宋_GB2312" w:eastAsia="仿宋_GB2312" w:cs="仿宋_GB2312"/>
          <w:color w:val="auto"/>
          <w:sz w:val="32"/>
          <w:szCs w:val="32"/>
          <w:highlight w:val="none"/>
          <w:lang w:val="en-US" w:eastAsia="zh-CN"/>
        </w:rPr>
        <w:t>资金池</w:t>
      </w:r>
      <w:r>
        <w:rPr>
          <w:rFonts w:hint="eastAsia" w:ascii="仿宋_GB2312" w:hAnsi="仿宋_GB2312" w:eastAsia="仿宋_GB2312" w:cs="仿宋_GB2312"/>
          <w:color w:val="auto"/>
          <w:kern w:val="2"/>
          <w:sz w:val="32"/>
          <w:szCs w:val="32"/>
          <w:highlight w:val="none"/>
          <w:lang w:val="en-US" w:eastAsia="zh-CN" w:bidi="ar-SA"/>
        </w:rPr>
        <w:t>专用账户，用于补偿资金的缴存和拨付，建立“补偿资金监管台账”记录补偿资金的收支情况；做好</w:t>
      </w:r>
      <w:r>
        <w:rPr>
          <w:rFonts w:hint="eastAsia" w:ascii="仿宋_GB2312" w:hAnsi="仿宋_GB2312" w:eastAsia="仿宋_GB2312" w:cs="仿宋_GB2312"/>
          <w:color w:val="auto"/>
          <w:sz w:val="32"/>
          <w:szCs w:val="32"/>
          <w:highlight w:val="none"/>
          <w:lang w:val="en-US" w:eastAsia="zh-CN"/>
        </w:rPr>
        <w:t>收回、核销贷款</w:t>
      </w:r>
      <w:r>
        <w:rPr>
          <w:rFonts w:hint="eastAsia" w:ascii="仿宋_GB2312" w:hAnsi="仿宋_GB2312" w:eastAsia="仿宋_GB2312" w:cs="仿宋_GB2312"/>
          <w:color w:val="auto"/>
          <w:sz w:val="32"/>
          <w:szCs w:val="32"/>
          <w:highlight w:val="none"/>
          <w:lang w:eastAsia="zh-CN"/>
        </w:rPr>
        <w:t>风险</w:t>
      </w:r>
      <w:r>
        <w:rPr>
          <w:rFonts w:hint="eastAsia" w:ascii="仿宋_GB2312" w:hAnsi="仿宋_GB2312" w:eastAsia="仿宋_GB2312" w:cs="仿宋_GB2312"/>
          <w:color w:val="auto"/>
          <w:sz w:val="32"/>
          <w:szCs w:val="32"/>
          <w:highlight w:val="none"/>
          <w:lang w:val="en-US" w:eastAsia="zh-CN"/>
        </w:rPr>
        <w:t>资金池专用账户等</w:t>
      </w:r>
      <w:r>
        <w:rPr>
          <w:rFonts w:hint="eastAsia" w:ascii="仿宋_GB2312" w:hAnsi="仿宋_GB2312" w:eastAsia="仿宋_GB2312" w:cs="仿宋_GB2312"/>
          <w:color w:val="auto"/>
          <w:kern w:val="2"/>
          <w:sz w:val="32"/>
          <w:szCs w:val="32"/>
          <w:highlight w:val="none"/>
          <w:lang w:val="en-US" w:eastAsia="zh-CN" w:bidi="ar-SA"/>
        </w:rPr>
        <w:t>其他托管协议规定事项。</w:t>
      </w:r>
    </w:p>
    <w:p w14:paraId="7FFE9B9B">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 xml:space="preserve">第九条  </w:t>
      </w:r>
      <w:r>
        <w:rPr>
          <w:rFonts w:hint="eastAsia" w:ascii="仿宋_GB2312" w:hAnsi="仿宋_GB2312" w:eastAsia="仿宋_GB2312" w:cs="仿宋_GB2312"/>
          <w:color w:val="auto"/>
          <w:sz w:val="32"/>
          <w:szCs w:val="32"/>
          <w:highlight w:val="none"/>
          <w:lang w:val="en-US" w:eastAsia="zh-CN"/>
        </w:rPr>
        <w:t>合作银行负责按照合作协议提供优质信贷产品，优化信贷流程、内部审批和考核办法，建立健全内控机制，防范信贷管理风险；严格按照银保监会有关规定，保证贷款风险分类准确、信息完整；做好小微企业、科技企业贷款产品备案和风险提报工作，并对贷款项目的真实性、完整性、合规性负责；负责补偿资金的申报、后续清收和返还工作；配合做好核销、审计、监督、绩效评价工作；其他按照规定应承担的职责。</w:t>
      </w:r>
    </w:p>
    <w:p w14:paraId="3CC9EBD8">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center"/>
        <w:textAlignment w:val="auto"/>
        <w:outlineLvl w:val="9"/>
        <w:rPr>
          <w:rFonts w:hint="default" w:ascii="仿宋_GB2312" w:hAnsi="仿宋_GB2312" w:eastAsia="仿宋_GB2312" w:cs="仿宋_GB2312"/>
          <w:color w:val="auto"/>
          <w:sz w:val="32"/>
          <w:szCs w:val="32"/>
          <w:highlight w:val="none"/>
          <w:lang w:val="en-US" w:eastAsia="zh-CN"/>
        </w:rPr>
      </w:pPr>
    </w:p>
    <w:p w14:paraId="7DD7448B">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center"/>
        <w:textAlignment w:val="auto"/>
        <w:outlineLvl w:val="9"/>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第三章 </w:t>
      </w:r>
      <w:r>
        <w:rPr>
          <w:rFonts w:hint="eastAsia" w:ascii="黑体" w:hAnsi="黑体" w:eastAsia="黑体" w:cs="黑体"/>
          <w:color w:val="auto"/>
          <w:sz w:val="32"/>
          <w:szCs w:val="32"/>
          <w:highlight w:val="none"/>
          <w:lang w:val="en-US" w:eastAsia="zh-CN"/>
        </w:rPr>
        <w:t xml:space="preserve"> </w:t>
      </w:r>
      <w:r>
        <w:rPr>
          <w:rFonts w:hint="eastAsia" w:ascii="黑体" w:hAnsi="黑体" w:eastAsia="黑体" w:cs="黑体"/>
          <w:color w:val="auto"/>
          <w:sz w:val="32"/>
          <w:szCs w:val="32"/>
          <w:highlight w:val="none"/>
          <w:lang w:eastAsia="zh-CN"/>
        </w:rPr>
        <w:t>贷款风险资金池筹措和管理</w:t>
      </w:r>
    </w:p>
    <w:p w14:paraId="57412620">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both"/>
        <w:textAlignment w:val="auto"/>
        <w:outlineLvl w:val="9"/>
        <w:rPr>
          <w:rFonts w:hint="eastAsia" w:ascii="黑体" w:hAnsi="黑体" w:eastAsia="黑体" w:cs="黑体"/>
          <w:color w:val="auto"/>
          <w:sz w:val="32"/>
          <w:szCs w:val="32"/>
          <w:highlight w:val="none"/>
          <w:lang w:eastAsia="zh-CN"/>
        </w:rPr>
      </w:pPr>
    </w:p>
    <w:p w14:paraId="56804D99">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lang w:eastAsia="zh-CN"/>
        </w:rPr>
        <w:t>第十条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正定县</w:t>
      </w:r>
      <w:r>
        <w:rPr>
          <w:rFonts w:hint="eastAsia" w:ascii="仿宋_GB2312" w:hAnsi="仿宋_GB2312" w:eastAsia="仿宋_GB2312" w:cs="仿宋_GB2312"/>
          <w:color w:val="auto"/>
          <w:sz w:val="32"/>
          <w:szCs w:val="32"/>
          <w:highlight w:val="none"/>
          <w:lang w:eastAsia="zh-CN"/>
        </w:rPr>
        <w:t>贷款风险资金池总规模</w:t>
      </w:r>
      <w:r>
        <w:rPr>
          <w:rFonts w:hint="eastAsia" w:ascii="仿宋_GB2312" w:hAnsi="仿宋_GB2312" w:eastAsia="仿宋_GB2312" w:cs="仿宋_GB2312"/>
          <w:color w:val="auto"/>
          <w:sz w:val="32"/>
          <w:szCs w:val="32"/>
          <w:highlight w:val="none"/>
          <w:lang w:val="en-US" w:eastAsia="zh-CN"/>
        </w:rPr>
        <w:t>1000万</w:t>
      </w:r>
      <w:r>
        <w:rPr>
          <w:rFonts w:hint="eastAsia" w:ascii="仿宋_GB2312" w:hAnsi="仿宋_GB2312" w:eastAsia="仿宋_GB2312" w:cs="仿宋_GB2312"/>
          <w:color w:val="auto"/>
          <w:sz w:val="32"/>
          <w:szCs w:val="32"/>
          <w:highlight w:val="none"/>
          <w:lang w:eastAsia="zh-CN"/>
        </w:rPr>
        <w:t>元，根据实际发生额逐年兑现。发生不良贷款后，根据补偿资金需求审核情况，报经县政府同意，县财政局将贷款风险补偿资金拨入受托县属国有企业在合作银行开设的专用账户。</w:t>
      </w:r>
    </w:p>
    <w:p w14:paraId="1358105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lang w:eastAsia="zh-CN"/>
        </w:rPr>
        <w:t xml:space="preserve">第十一条 </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正定县贷款风险资金池的主要来源，包括但不限于县财政预算安排资金、</w:t>
      </w:r>
      <w:r>
        <w:rPr>
          <w:rFonts w:hint="eastAsia" w:ascii="仿宋_GB2312" w:hAnsi="仿宋_GB2312" w:eastAsia="仿宋_GB2312" w:cs="仿宋_GB2312"/>
          <w:color w:val="auto"/>
          <w:sz w:val="32"/>
          <w:szCs w:val="32"/>
          <w:highlight w:val="none"/>
          <w:lang w:val="en-US" w:eastAsia="zh-CN"/>
        </w:rPr>
        <w:t>合作银行返还资金、利息收入、</w:t>
      </w:r>
      <w:r>
        <w:rPr>
          <w:rFonts w:hint="eastAsia" w:ascii="仿宋_GB2312" w:hAnsi="仿宋_GB2312" w:eastAsia="仿宋_GB2312" w:cs="仿宋_GB2312"/>
          <w:color w:val="auto"/>
          <w:sz w:val="32"/>
          <w:szCs w:val="32"/>
          <w:highlight w:val="none"/>
          <w:lang w:eastAsia="zh-CN"/>
        </w:rPr>
        <w:t>上级奖补、社会捐赠等其他资金。</w:t>
      </w:r>
    </w:p>
    <w:p w14:paraId="238DA9B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lang w:val="en-US" w:eastAsia="zh-CN"/>
        </w:rPr>
        <w:t xml:space="preserve">第十二条  </w:t>
      </w:r>
      <w:r>
        <w:rPr>
          <w:rFonts w:hint="eastAsia" w:ascii="仿宋_GB2312" w:hAnsi="仿宋_GB2312" w:eastAsia="仿宋_GB2312" w:cs="仿宋_GB2312"/>
          <w:color w:val="auto"/>
          <w:sz w:val="32"/>
          <w:szCs w:val="32"/>
          <w:highlight w:val="none"/>
          <w:lang w:val="en-US" w:eastAsia="zh-CN"/>
        </w:rPr>
        <w:t>正定县</w:t>
      </w:r>
      <w:r>
        <w:rPr>
          <w:rFonts w:hint="eastAsia" w:ascii="仿宋_GB2312" w:hAnsi="仿宋_GB2312" w:eastAsia="仿宋_GB2312" w:cs="仿宋_GB2312"/>
          <w:color w:val="auto"/>
          <w:sz w:val="32"/>
          <w:szCs w:val="32"/>
          <w:highlight w:val="none"/>
          <w:lang w:eastAsia="zh-CN"/>
        </w:rPr>
        <w:t>贷款风险资金池</w:t>
      </w:r>
      <w:r>
        <w:rPr>
          <w:rFonts w:hint="eastAsia" w:ascii="仿宋_GB2312" w:hAnsi="仿宋_GB2312" w:eastAsia="仿宋_GB2312" w:cs="仿宋_GB2312"/>
          <w:color w:val="auto"/>
          <w:sz w:val="32"/>
          <w:szCs w:val="32"/>
          <w:highlight w:val="none"/>
          <w:lang w:val="en-US" w:eastAsia="zh-CN"/>
        </w:rPr>
        <w:t>实行专账管理、专款专用。当年未使用完的资金，原则上滚存下一年度使用，资金孳息滚存计入资金专户，计入下一年度风险资金池资金总额。</w:t>
      </w:r>
    </w:p>
    <w:p w14:paraId="48B1A485">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both"/>
        <w:textAlignment w:val="auto"/>
        <w:outlineLvl w:val="9"/>
        <w:rPr>
          <w:rFonts w:hint="eastAsia" w:ascii="黑体" w:hAnsi="黑体" w:eastAsia="黑体" w:cs="黑体"/>
          <w:color w:val="auto"/>
          <w:sz w:val="32"/>
          <w:szCs w:val="32"/>
          <w:highlight w:val="none"/>
          <w:lang w:eastAsia="zh-CN"/>
        </w:rPr>
      </w:pPr>
    </w:p>
    <w:p w14:paraId="3BB7C4F3">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center"/>
        <w:textAlignment w:val="auto"/>
        <w:outlineLvl w:val="9"/>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第四章</w:t>
      </w:r>
      <w:r>
        <w:rPr>
          <w:rFonts w:hint="eastAsia" w:ascii="黑体" w:hAnsi="黑体" w:eastAsia="黑体" w:cs="黑体"/>
          <w:color w:val="auto"/>
          <w:sz w:val="32"/>
          <w:szCs w:val="32"/>
          <w:highlight w:val="none"/>
          <w:lang w:val="en-US" w:eastAsia="zh-CN"/>
        </w:rPr>
        <w:t xml:space="preserve">  </w:t>
      </w:r>
      <w:r>
        <w:rPr>
          <w:rFonts w:hint="eastAsia" w:ascii="黑体" w:hAnsi="黑体" w:eastAsia="黑体" w:cs="黑体"/>
          <w:color w:val="auto"/>
          <w:sz w:val="32"/>
          <w:szCs w:val="32"/>
          <w:highlight w:val="none"/>
          <w:lang w:eastAsia="zh-CN"/>
        </w:rPr>
        <w:t>贷款风险</w:t>
      </w:r>
      <w:r>
        <w:rPr>
          <w:rFonts w:hint="eastAsia" w:ascii="黑体" w:hAnsi="黑体" w:eastAsia="黑体" w:cs="黑体"/>
          <w:color w:val="auto"/>
          <w:sz w:val="32"/>
          <w:szCs w:val="32"/>
          <w:highlight w:val="none"/>
          <w:lang w:val="en-US" w:eastAsia="zh-CN"/>
        </w:rPr>
        <w:t>补偿</w:t>
      </w:r>
      <w:r>
        <w:rPr>
          <w:rFonts w:hint="eastAsia" w:ascii="黑体" w:hAnsi="黑体" w:eastAsia="黑体" w:cs="黑体"/>
          <w:color w:val="auto"/>
          <w:sz w:val="32"/>
          <w:szCs w:val="32"/>
          <w:highlight w:val="none"/>
          <w:lang w:eastAsia="zh-CN"/>
        </w:rPr>
        <w:t>条件</w:t>
      </w:r>
      <w:r>
        <w:rPr>
          <w:rFonts w:hint="eastAsia" w:ascii="黑体" w:hAnsi="黑体" w:eastAsia="黑体" w:cs="黑体"/>
          <w:color w:val="auto"/>
          <w:sz w:val="32"/>
          <w:szCs w:val="32"/>
          <w:highlight w:val="none"/>
          <w:lang w:val="en-US" w:eastAsia="zh-CN"/>
        </w:rPr>
        <w:t>及标准</w:t>
      </w:r>
    </w:p>
    <w:p w14:paraId="4031F976">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both"/>
        <w:textAlignment w:val="auto"/>
        <w:outlineLvl w:val="9"/>
        <w:rPr>
          <w:rFonts w:hint="eastAsia" w:ascii="仿宋_GB2312" w:hAnsi="仿宋_GB2312" w:eastAsia="仿宋_GB2312" w:cs="仿宋_GB2312"/>
          <w:color w:val="auto"/>
          <w:sz w:val="32"/>
          <w:szCs w:val="32"/>
          <w:highlight w:val="none"/>
          <w:lang w:eastAsia="zh-CN"/>
        </w:rPr>
      </w:pPr>
    </w:p>
    <w:p w14:paraId="3E145F1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xml:space="preserve">第十三条  </w:t>
      </w:r>
      <w:r>
        <w:rPr>
          <w:rFonts w:hint="eastAsia" w:ascii="仿宋_GB2312" w:hAnsi="仿宋_GB2312" w:eastAsia="仿宋_GB2312" w:cs="仿宋_GB2312"/>
          <w:color w:val="auto"/>
          <w:kern w:val="2"/>
          <w:sz w:val="32"/>
          <w:szCs w:val="32"/>
          <w:highlight w:val="none"/>
          <w:lang w:val="en-US" w:eastAsia="zh-CN" w:bidi="ar-SA"/>
        </w:rPr>
        <w:t>合作银行贷款风险补偿须同时符合下列条件：</w:t>
      </w:r>
    </w:p>
    <w:p w14:paraId="62C9B289">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一</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在我</w:t>
      </w:r>
      <w:r>
        <w:rPr>
          <w:rFonts w:hint="eastAsia" w:ascii="仿宋_GB2312" w:hAnsi="仿宋_GB2312" w:eastAsia="仿宋_GB2312" w:cs="仿宋_GB2312"/>
          <w:color w:val="auto"/>
          <w:kern w:val="2"/>
          <w:sz w:val="32"/>
          <w:szCs w:val="32"/>
          <w:highlight w:val="none"/>
          <w:lang w:val="en-US" w:eastAsia="zh-CN" w:bidi="ar-SA"/>
        </w:rPr>
        <w:t>县</w:t>
      </w:r>
      <w:r>
        <w:rPr>
          <w:rFonts w:hint="default" w:ascii="仿宋_GB2312" w:hAnsi="仿宋_GB2312" w:eastAsia="仿宋_GB2312" w:cs="仿宋_GB2312"/>
          <w:color w:val="auto"/>
          <w:kern w:val="2"/>
          <w:sz w:val="32"/>
          <w:szCs w:val="32"/>
          <w:highlight w:val="none"/>
          <w:lang w:val="en-US" w:eastAsia="zh-CN" w:bidi="ar-SA"/>
        </w:rPr>
        <w:t>行政区域内依法合规经营，</w:t>
      </w:r>
      <w:r>
        <w:rPr>
          <w:rFonts w:hint="eastAsia" w:ascii="仿宋_GB2312" w:hAnsi="仿宋_GB2312" w:eastAsia="仿宋_GB2312" w:cs="仿宋_GB2312"/>
          <w:color w:val="auto"/>
          <w:kern w:val="2"/>
          <w:sz w:val="32"/>
          <w:szCs w:val="32"/>
          <w:highlight w:val="none"/>
          <w:lang w:val="en-US" w:eastAsia="zh-CN" w:bidi="ar-SA"/>
        </w:rPr>
        <w:t>金融</w:t>
      </w:r>
      <w:r>
        <w:rPr>
          <w:rFonts w:hint="default" w:ascii="仿宋_GB2312" w:hAnsi="仿宋_GB2312" w:eastAsia="仿宋_GB2312" w:cs="仿宋_GB2312"/>
          <w:color w:val="auto"/>
          <w:kern w:val="2"/>
          <w:sz w:val="32"/>
          <w:szCs w:val="32"/>
          <w:highlight w:val="none"/>
          <w:lang w:val="en-US" w:eastAsia="zh-CN" w:bidi="ar-SA"/>
        </w:rPr>
        <w:t>服务效率高，风险防控能力强，拥有专业的服务团队和适用的小微企业</w:t>
      </w:r>
      <w:r>
        <w:rPr>
          <w:rFonts w:hint="eastAsia" w:ascii="仿宋_GB2312" w:hAnsi="仿宋_GB2312" w:eastAsia="仿宋_GB2312" w:cs="仿宋_GB2312"/>
          <w:color w:val="auto"/>
          <w:kern w:val="2"/>
          <w:sz w:val="32"/>
          <w:szCs w:val="32"/>
          <w:highlight w:val="none"/>
          <w:lang w:val="en-US" w:eastAsia="zh-CN" w:bidi="ar-SA"/>
        </w:rPr>
        <w:t>、科技企业</w:t>
      </w:r>
      <w:r>
        <w:rPr>
          <w:rFonts w:hint="default" w:ascii="仿宋_GB2312" w:hAnsi="仿宋_GB2312" w:eastAsia="仿宋_GB2312" w:cs="仿宋_GB2312"/>
          <w:color w:val="auto"/>
          <w:kern w:val="2"/>
          <w:sz w:val="32"/>
          <w:szCs w:val="32"/>
          <w:highlight w:val="none"/>
          <w:lang w:val="en-US" w:eastAsia="zh-CN" w:bidi="ar-SA"/>
        </w:rPr>
        <w:t>贷款产品</w:t>
      </w:r>
      <w:r>
        <w:rPr>
          <w:rFonts w:hint="eastAsia" w:ascii="仿宋_GB2312" w:hAnsi="仿宋_GB2312" w:eastAsia="仿宋_GB2312" w:cs="仿宋_GB2312"/>
          <w:color w:val="auto"/>
          <w:kern w:val="2"/>
          <w:sz w:val="32"/>
          <w:szCs w:val="32"/>
          <w:highlight w:val="none"/>
          <w:lang w:val="en-US" w:eastAsia="zh-CN" w:bidi="ar-SA"/>
        </w:rPr>
        <w:t>。</w:t>
      </w:r>
    </w:p>
    <w:p w14:paraId="5B7D4270">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二</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财务管理制度健全，并按照</w:t>
      </w:r>
      <w:r>
        <w:rPr>
          <w:rFonts w:hint="eastAsia" w:ascii="仿宋_GB2312" w:hAnsi="仿宋_GB2312" w:eastAsia="仿宋_GB2312" w:cs="仿宋_GB2312"/>
          <w:color w:val="auto"/>
          <w:kern w:val="2"/>
          <w:sz w:val="32"/>
          <w:szCs w:val="32"/>
          <w:highlight w:val="none"/>
          <w:lang w:val="en-US" w:eastAsia="zh-CN" w:bidi="ar-SA"/>
        </w:rPr>
        <w:t>中国</w:t>
      </w:r>
      <w:r>
        <w:rPr>
          <w:rFonts w:hint="default" w:ascii="仿宋_GB2312" w:hAnsi="仿宋_GB2312" w:eastAsia="仿宋_GB2312" w:cs="仿宋_GB2312"/>
          <w:color w:val="auto"/>
          <w:kern w:val="2"/>
          <w:sz w:val="32"/>
          <w:szCs w:val="32"/>
          <w:highlight w:val="none"/>
          <w:lang w:val="en-US" w:eastAsia="zh-CN" w:bidi="ar-SA"/>
        </w:rPr>
        <w:t>银保监会关于贷款风险程度的五级分类标准对贷款进行分类，准确计提不良贷款拨备</w:t>
      </w:r>
      <w:r>
        <w:rPr>
          <w:rFonts w:hint="eastAsia" w:ascii="仿宋_GB2312" w:hAnsi="仿宋_GB2312" w:eastAsia="仿宋_GB2312" w:cs="仿宋_GB2312"/>
          <w:color w:val="auto"/>
          <w:kern w:val="2"/>
          <w:sz w:val="32"/>
          <w:szCs w:val="32"/>
          <w:highlight w:val="none"/>
          <w:lang w:val="en-US" w:eastAsia="zh-CN" w:bidi="ar-SA"/>
        </w:rPr>
        <w:t>。</w:t>
      </w:r>
    </w:p>
    <w:p w14:paraId="40793EE0">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三</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资产状况良好，具有较强的风险控制能力和较好的经营业绩，无重大违法违规行为</w:t>
      </w:r>
      <w:r>
        <w:rPr>
          <w:rFonts w:hint="eastAsia" w:ascii="仿宋_GB2312" w:hAnsi="仿宋_GB2312" w:eastAsia="仿宋_GB2312" w:cs="仿宋_GB2312"/>
          <w:color w:val="auto"/>
          <w:kern w:val="2"/>
          <w:sz w:val="32"/>
          <w:szCs w:val="32"/>
          <w:highlight w:val="none"/>
          <w:lang w:val="en-US" w:eastAsia="zh-CN" w:bidi="ar-SA"/>
        </w:rPr>
        <w:t>。</w:t>
      </w:r>
    </w:p>
    <w:p w14:paraId="63C7D41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四</w:t>
      </w:r>
      <w:r>
        <w:rPr>
          <w:rFonts w:hint="eastAsia" w:ascii="仿宋_GB2312" w:hAnsi="仿宋_GB2312" w:eastAsia="仿宋_GB2312" w:cs="仿宋_GB2312"/>
          <w:color w:val="auto"/>
          <w:kern w:val="2"/>
          <w:sz w:val="32"/>
          <w:szCs w:val="32"/>
          <w:highlight w:val="none"/>
          <w:lang w:val="en-US" w:eastAsia="zh-CN" w:bidi="ar-SA"/>
        </w:rPr>
        <w:t>）合作</w:t>
      </w:r>
      <w:r>
        <w:rPr>
          <w:rFonts w:hint="eastAsia" w:ascii="仿宋_GB2312" w:hAnsi="仿宋_GB2312" w:eastAsia="仿宋_GB2312" w:cs="仿宋_GB2312"/>
          <w:color w:val="auto"/>
          <w:kern w:val="2"/>
          <w:sz w:val="32"/>
          <w:szCs w:val="32"/>
          <w:highlight w:val="none"/>
          <w:u w:val="none" w:color="auto"/>
          <w:lang w:val="en-US" w:eastAsia="zh-CN" w:bidi="ar-SA"/>
        </w:rPr>
        <w:t>银行企业</w:t>
      </w:r>
      <w:r>
        <w:rPr>
          <w:rFonts w:hint="default" w:ascii="仿宋_GB2312" w:hAnsi="仿宋_GB2312" w:eastAsia="仿宋_GB2312" w:cs="仿宋_GB2312"/>
          <w:color w:val="auto"/>
          <w:kern w:val="2"/>
          <w:sz w:val="32"/>
          <w:szCs w:val="32"/>
          <w:highlight w:val="none"/>
          <w:u w:val="none" w:color="auto"/>
          <w:lang w:val="en-US" w:eastAsia="zh-CN" w:bidi="ar-SA"/>
        </w:rPr>
        <w:t>贷款产品</w:t>
      </w:r>
      <w:r>
        <w:rPr>
          <w:rFonts w:hint="eastAsia" w:ascii="仿宋_GB2312" w:hAnsi="仿宋_GB2312" w:eastAsia="仿宋_GB2312" w:cs="仿宋_GB2312"/>
          <w:color w:val="auto"/>
          <w:kern w:val="2"/>
          <w:sz w:val="32"/>
          <w:szCs w:val="32"/>
          <w:highlight w:val="none"/>
          <w:u w:val="none" w:color="auto"/>
          <w:lang w:val="en-US" w:eastAsia="zh-CN" w:bidi="ar-SA"/>
        </w:rPr>
        <w:t>应执行优惠贷款利率，须显著低于同类企业综合融资成本，贷款利率上浮幅度最高不超过中国人民银行公布的同期贷款市场报价利率（LPR）50%。不另外向贷款主体收取保证金、中间业务费等其他费用。</w:t>
      </w:r>
    </w:p>
    <w:p w14:paraId="70E4479B">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xml:space="preserve">第十四条  </w:t>
      </w:r>
      <w:r>
        <w:rPr>
          <w:rFonts w:hint="eastAsia" w:ascii="仿宋_GB2312" w:hAnsi="仿宋_GB2312" w:eastAsia="仿宋_GB2312" w:cs="仿宋_GB2312"/>
          <w:color w:val="auto"/>
          <w:sz w:val="32"/>
          <w:szCs w:val="32"/>
          <w:highlight w:val="none"/>
          <w:lang w:val="en-US" w:eastAsia="zh-CN"/>
        </w:rPr>
        <w:t>本办法</w:t>
      </w:r>
      <w:r>
        <w:rPr>
          <w:rFonts w:hint="eastAsia" w:ascii="仿宋_GB2312" w:hAnsi="仿宋_GB2312" w:eastAsia="仿宋_GB2312" w:cs="仿宋_GB2312"/>
          <w:color w:val="auto"/>
          <w:kern w:val="2"/>
          <w:sz w:val="32"/>
          <w:szCs w:val="32"/>
          <w:highlight w:val="none"/>
          <w:lang w:val="en-US" w:eastAsia="zh-CN" w:bidi="ar-SA"/>
        </w:rPr>
        <w:t>支持的贷款产品包括信用贷款、保证担保贷款、共同借款人（企业主与企业共担债务）贷款、动产（不动产）及权益类抵（质）押贷款等。</w:t>
      </w:r>
    </w:p>
    <w:p w14:paraId="3C1CDAE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 xml:space="preserve">第十五条  </w:t>
      </w:r>
      <w:r>
        <w:rPr>
          <w:rFonts w:hint="eastAsia" w:ascii="仿宋_GB2312" w:hAnsi="仿宋_GB2312" w:eastAsia="仿宋_GB2312" w:cs="仿宋_GB2312"/>
          <w:color w:val="auto"/>
          <w:sz w:val="32"/>
          <w:szCs w:val="32"/>
          <w:highlight w:val="none"/>
          <w:lang w:val="en-US" w:eastAsia="zh-CN"/>
        </w:rPr>
        <w:t>不良贷款项目的补偿条件：</w:t>
      </w:r>
    </w:p>
    <w:p w14:paraId="71E2AE0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（一）企业贷款产品已按要求在</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备案</w:t>
      </w:r>
      <w:r>
        <w:rPr>
          <w:rFonts w:hint="eastAsia" w:ascii="仿宋_GB2312" w:hAnsi="仿宋_GB2312" w:eastAsia="仿宋_GB2312" w:cs="仿宋_GB2312"/>
          <w:color w:val="auto"/>
          <w:sz w:val="36"/>
          <w:szCs w:val="36"/>
          <w:highlight w:val="none"/>
          <w:lang w:val="en-US" w:eastAsia="zh-CN"/>
        </w:rPr>
        <w:t>，</w:t>
      </w:r>
      <w:r>
        <w:rPr>
          <w:rFonts w:hint="eastAsia" w:ascii="仿宋_GB2312" w:hAnsi="仿宋_GB2312" w:eastAsia="仿宋_GB2312" w:cs="仿宋_GB2312"/>
          <w:color w:val="auto"/>
          <w:sz w:val="32"/>
          <w:szCs w:val="32"/>
          <w:highlight w:val="none"/>
          <w:lang w:val="en-US" w:eastAsia="zh-CN"/>
        </w:rPr>
        <w:t>属于2026年1月1日至2028年12月31</w:t>
      </w:r>
      <w:bookmarkStart w:id="0" w:name="_GoBack"/>
      <w:bookmarkEnd w:id="0"/>
      <w:r>
        <w:rPr>
          <w:rFonts w:hint="eastAsia" w:ascii="仿宋_GB2312" w:hAnsi="仿宋_GB2312" w:eastAsia="仿宋_GB2312" w:cs="仿宋_GB2312"/>
          <w:color w:val="auto"/>
          <w:sz w:val="32"/>
          <w:szCs w:val="32"/>
          <w:highlight w:val="none"/>
          <w:lang w:val="en-US" w:eastAsia="zh-CN"/>
        </w:rPr>
        <w:t>日的贷款项目。</w:t>
      </w:r>
    </w:p>
    <w:p w14:paraId="4E22B849">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u w:val="single" w:color="auto"/>
          <w:lang w:val="en-US" w:eastAsia="zh-CN"/>
        </w:rPr>
      </w:pPr>
      <w:r>
        <w:rPr>
          <w:rFonts w:hint="eastAsia" w:ascii="仿宋_GB2312" w:hAnsi="仿宋_GB2312" w:eastAsia="仿宋_GB2312" w:cs="仿宋_GB2312"/>
          <w:color w:val="auto"/>
          <w:sz w:val="32"/>
          <w:szCs w:val="32"/>
          <w:highlight w:val="none"/>
          <w:u w:val="none"/>
          <w:lang w:val="en-US" w:eastAsia="zh-CN"/>
        </w:rPr>
        <w:t>（二）</w:t>
      </w:r>
      <w:r>
        <w:rPr>
          <w:rFonts w:hint="eastAsia" w:ascii="仿宋_GB2312" w:hAnsi="仿宋_GB2312" w:eastAsia="仿宋_GB2312" w:cs="仿宋_GB2312"/>
          <w:color w:val="auto"/>
          <w:sz w:val="32"/>
          <w:szCs w:val="32"/>
          <w:highlight w:val="none"/>
          <w:u w:val="none" w:color="auto"/>
          <w:lang w:val="en-US" w:eastAsia="zh-CN"/>
        </w:rPr>
        <w:t>发生不良贷款的企业主体符合本办法中对小微企业、科技企业的定义。</w:t>
      </w:r>
    </w:p>
    <w:p w14:paraId="45DB011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（三）企业贷款必须用于本企业生产经营，不得用于转贷、委托贷款、并购贷款、国家产业政策禁止和限制的项目以及参与民间借贷、投资资本市场和个人消费等。</w:t>
      </w:r>
    </w:p>
    <w:p w14:paraId="7C924DF5">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eastAsia="zh-CN"/>
        </w:rPr>
        <w:t>不良贷款项目按银保监会贷款五级分类标准确定为次级、可疑或损失类贷款，且遭受本金损失时。</w:t>
      </w:r>
    </w:p>
    <w:p w14:paraId="79579A6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 xml:space="preserve">第十六条  </w:t>
      </w:r>
      <w:r>
        <w:rPr>
          <w:rFonts w:hint="eastAsia" w:ascii="仿宋_GB2312" w:hAnsi="仿宋_GB2312" w:eastAsia="仿宋_GB2312" w:cs="仿宋_GB2312"/>
          <w:color w:val="auto"/>
          <w:sz w:val="32"/>
          <w:szCs w:val="32"/>
          <w:highlight w:val="none"/>
          <w:lang w:val="en-US" w:eastAsia="zh-CN"/>
        </w:rPr>
        <w:t>不良贷款项目补偿标准：</w:t>
      </w:r>
    </w:p>
    <w:p w14:paraId="4AE01F2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color w:val="auto"/>
          <w:sz w:val="32"/>
          <w:szCs w:val="32"/>
          <w:highlight w:val="none"/>
          <w:lang w:val="en-US" w:eastAsia="zh-CN"/>
        </w:rPr>
        <w:t>（一）单个企业贷款金额不高于500万元（含）的，对于“信用贷款类</w:t>
      </w:r>
      <w:r>
        <w:rPr>
          <w:rFonts w:hint="eastAsia" w:ascii="仿宋_GB2312" w:hAnsi="仿宋_GB2312" w:eastAsia="仿宋_GB2312" w:cs="仿宋_GB2312"/>
          <w:color w:val="auto"/>
          <w:sz w:val="32"/>
          <w:szCs w:val="32"/>
          <w:highlight w:val="none"/>
          <w:u w:val="none" w:color="auto"/>
          <w:lang w:val="en-US" w:eastAsia="zh-CN"/>
        </w:rPr>
        <w:t>贷款”形成的不良贷款，按照不良贷款本金损失额的50%进行补偿；对于其他形式贷款形成的不良贷款，按照不良贷款本金损失额的30%进行补偿。</w:t>
      </w:r>
    </w:p>
    <w:p w14:paraId="44AF0AD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color w:val="auto"/>
          <w:sz w:val="32"/>
          <w:szCs w:val="32"/>
          <w:highlight w:val="none"/>
          <w:u w:val="none" w:color="auto"/>
          <w:lang w:val="en-US" w:eastAsia="zh-CN"/>
        </w:rPr>
        <w:t>（二）单个企业贷款金额超过500万元但不高于1000万元（含）的，对于“信用贷款类贷款”形成的不良贷款，按照不良贷款本金损失额的50%进行补偿；对于其他形式贷款形成的不良贷款，按照不良贷款本金损失额的20%进行补偿。</w:t>
      </w:r>
    </w:p>
    <w:p w14:paraId="0F8D374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u w:val="none" w:color="auto"/>
          <w:lang w:val="en-US" w:eastAsia="zh-CN"/>
        </w:rPr>
      </w:pPr>
      <w:r>
        <w:rPr>
          <w:rFonts w:hint="eastAsia" w:ascii="仿宋_GB2312" w:hAnsi="仿宋_GB2312" w:eastAsia="仿宋_GB2312" w:cs="仿宋_GB2312"/>
          <w:color w:val="auto"/>
          <w:sz w:val="32"/>
          <w:szCs w:val="32"/>
          <w:highlight w:val="none"/>
          <w:u w:val="none" w:color="auto"/>
          <w:lang w:val="en-US" w:eastAsia="zh-CN"/>
        </w:rPr>
        <w:t>（三）实行差异化补偿上浮政策。参与“创新积分制”评定、参保科技保险的科技型企业，各项补偿上浮政策实行平行执行、不予叠加，按最优最高上浮标准执行。具体标准如下：创新积分排名位列前30%的科技型企业，在既定补偿标准基础上上浮20%；其余科技型企业在既定补偿标准基础上上浮10%；已参保科技保险的企业，在既定补偿标准基础上上浮20%。企业同时符合多项上浮条件的，仅适用最高一档上浮比例，不重复累计。</w:t>
      </w:r>
    </w:p>
    <w:p w14:paraId="2DA898CC">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sz w:val="32"/>
          <w:szCs w:val="32"/>
          <w:highlight w:val="none"/>
          <w:u w:val="single" w:color="auto"/>
          <w:lang w:val="en-US" w:eastAsia="zh-CN"/>
        </w:rPr>
      </w:pPr>
      <w:r>
        <w:rPr>
          <w:rFonts w:hint="eastAsia" w:ascii="仿宋_GB2312" w:hAnsi="仿宋_GB2312" w:eastAsia="仿宋_GB2312" w:cs="仿宋_GB2312"/>
          <w:color w:val="auto"/>
          <w:sz w:val="32"/>
          <w:szCs w:val="32"/>
          <w:highlight w:val="none"/>
          <w:u w:val="none" w:color="auto"/>
          <w:lang w:val="en-US" w:eastAsia="zh-CN"/>
        </w:rPr>
        <w:t>（四）对单笔补偿金额低于50万元（含）的，原则上不予受理。</w:t>
      </w:r>
    </w:p>
    <w:p w14:paraId="711487C7">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xml:space="preserve">第十七条  </w:t>
      </w:r>
      <w:r>
        <w:rPr>
          <w:rFonts w:hint="eastAsia" w:ascii="仿宋_GB2312" w:hAnsi="仿宋_GB2312" w:eastAsia="仿宋_GB2312" w:cs="仿宋_GB2312"/>
          <w:color w:val="auto"/>
          <w:sz w:val="32"/>
          <w:szCs w:val="32"/>
          <w:highlight w:val="none"/>
          <w:lang w:val="en-US" w:eastAsia="zh-CN"/>
        </w:rPr>
        <w:t>贷款风险补偿资金额度</w:t>
      </w:r>
      <w:r>
        <w:rPr>
          <w:rFonts w:hint="eastAsia" w:ascii="仿宋_GB2312" w:hAnsi="仿宋_GB2312" w:eastAsia="仿宋_GB2312" w:cs="仿宋_GB2312"/>
          <w:color w:val="auto"/>
          <w:kern w:val="2"/>
          <w:sz w:val="32"/>
          <w:szCs w:val="32"/>
          <w:highlight w:val="none"/>
          <w:lang w:val="en-US" w:eastAsia="zh-CN" w:bidi="ar-SA"/>
        </w:rPr>
        <w:t>的核算流程:</w:t>
      </w:r>
    </w:p>
    <w:p w14:paraId="6E51F9E4">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（一）对有抵押、有质押的企业贷款，先扣除企业申请贷款时提供的抵押物、质押物重估价值按抵质押率折算后的价值，剩余不良贷款本金损失额部分按照比例给予补偿。</w:t>
      </w:r>
    </w:p>
    <w:p w14:paraId="49C48B61">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（二）对“信用贷款类”贷款，偿还和追偿后，剩余不良贷款本金损失额部分按照比例给予补偿。</w:t>
      </w:r>
    </w:p>
    <w:p w14:paraId="50B55F90">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pacing w:val="-6"/>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pacing w:val="-6"/>
          <w:sz w:val="32"/>
          <w:szCs w:val="32"/>
          <w:highlight w:val="none"/>
          <w:lang w:val="en-US" w:eastAsia="zh-CN"/>
        </w:rPr>
        <w:t>对其他有风险分担或风险代偿类贷款，在完成偿还、代偿和追偿后，剩余不良贷款本金损失额部分按照比例给予补偿。</w:t>
      </w:r>
    </w:p>
    <w:p w14:paraId="42DFEE2A">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320" w:firstLineChars="100"/>
        <w:jc w:val="both"/>
        <w:textAlignment w:val="auto"/>
        <w:outlineLvl w:val="9"/>
        <w:rPr>
          <w:rFonts w:hint="eastAsia" w:ascii="仿宋_GB2312" w:hAnsi="仿宋_GB2312" w:eastAsia="仿宋_GB2312" w:cs="仿宋_GB2312"/>
          <w:color w:val="auto"/>
          <w:sz w:val="32"/>
          <w:szCs w:val="32"/>
          <w:highlight w:val="none"/>
          <w:lang w:val="en-US" w:eastAsia="zh-CN"/>
        </w:rPr>
      </w:pPr>
    </w:p>
    <w:p w14:paraId="7D82BE6F">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center"/>
        <w:textAlignment w:val="auto"/>
        <w:outlineLvl w:val="9"/>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xml:space="preserve">第五章  </w:t>
      </w:r>
      <w:r>
        <w:rPr>
          <w:rFonts w:hint="eastAsia" w:ascii="黑体" w:hAnsi="黑体" w:eastAsia="黑体" w:cs="黑体"/>
          <w:color w:val="auto"/>
          <w:sz w:val="32"/>
          <w:szCs w:val="32"/>
          <w:highlight w:val="none"/>
          <w:lang w:eastAsia="zh-CN"/>
        </w:rPr>
        <w:t>贷款风险</w:t>
      </w:r>
      <w:r>
        <w:rPr>
          <w:rFonts w:hint="eastAsia" w:ascii="黑体" w:hAnsi="黑体" w:eastAsia="黑体" w:cs="黑体"/>
          <w:color w:val="auto"/>
          <w:sz w:val="32"/>
          <w:szCs w:val="32"/>
          <w:highlight w:val="none"/>
          <w:lang w:val="en-US" w:eastAsia="zh-CN"/>
        </w:rPr>
        <w:t>补偿金申请</w:t>
      </w:r>
      <w:r>
        <w:rPr>
          <w:rFonts w:hint="eastAsia" w:ascii="黑体" w:hAnsi="黑体" w:eastAsia="黑体" w:cs="黑体"/>
          <w:color w:val="auto"/>
          <w:kern w:val="2"/>
          <w:sz w:val="32"/>
          <w:szCs w:val="32"/>
          <w:highlight w:val="none"/>
          <w:lang w:val="en-US" w:eastAsia="zh-CN" w:bidi="ar-SA"/>
        </w:rPr>
        <w:t>流程</w:t>
      </w:r>
    </w:p>
    <w:p w14:paraId="2FD37DC5">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黑体" w:hAnsi="黑体" w:eastAsia="黑体" w:cs="黑体"/>
          <w:color w:val="auto"/>
          <w:kern w:val="2"/>
          <w:sz w:val="32"/>
          <w:szCs w:val="32"/>
          <w:highlight w:val="none"/>
          <w:lang w:val="en-US" w:eastAsia="zh-CN" w:bidi="ar-SA"/>
        </w:rPr>
        <w:t>第</w:t>
      </w:r>
      <w:r>
        <w:rPr>
          <w:rFonts w:hint="eastAsia" w:ascii="黑体" w:hAnsi="黑体" w:eastAsia="黑体" w:cs="黑体"/>
          <w:color w:val="auto"/>
          <w:kern w:val="2"/>
          <w:sz w:val="32"/>
          <w:szCs w:val="32"/>
          <w:highlight w:val="none"/>
          <w:u w:val="none" w:color="auto"/>
          <w:lang w:val="en-US" w:eastAsia="zh-CN" w:bidi="ar-SA"/>
        </w:rPr>
        <w:t xml:space="preserve">十八条  </w:t>
      </w:r>
      <w:r>
        <w:rPr>
          <w:rFonts w:hint="eastAsia" w:ascii="仿宋_GB2312" w:hAnsi="仿宋_GB2312" w:eastAsia="仿宋_GB2312" w:cs="仿宋_GB2312"/>
          <w:color w:val="auto"/>
          <w:kern w:val="2"/>
          <w:sz w:val="32"/>
          <w:szCs w:val="32"/>
          <w:highlight w:val="none"/>
          <w:u w:val="none" w:color="auto"/>
          <w:lang w:val="en-US" w:eastAsia="zh-CN" w:bidi="ar-SA"/>
        </w:rPr>
        <w:t>合作银行发放的企业贷款发生逾期或欠息，应积极追偿，向法院或相关部门提起诉讼、申请仲裁后，且贷款本金逾期满180天仍无法收回的，可按规定程序分别向</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color w:val="auto"/>
          <w:kern w:val="2"/>
          <w:sz w:val="32"/>
          <w:szCs w:val="32"/>
          <w:highlight w:val="none"/>
          <w:u w:val="none" w:color="auto"/>
          <w:lang w:val="en-US" w:eastAsia="zh-CN" w:bidi="ar-SA"/>
        </w:rPr>
        <w:t>申请补偿。</w:t>
      </w:r>
    </w:p>
    <w:p w14:paraId="0F5E8665">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黑体" w:hAnsi="黑体" w:eastAsia="黑体" w:cs="黑体"/>
          <w:color w:val="auto"/>
          <w:kern w:val="2"/>
          <w:sz w:val="32"/>
          <w:szCs w:val="32"/>
          <w:highlight w:val="none"/>
          <w:u w:val="none" w:color="auto"/>
          <w:lang w:val="en-US" w:eastAsia="zh-CN" w:bidi="ar-SA"/>
        </w:rPr>
        <w:t xml:space="preserve">第十九条  </w:t>
      </w:r>
      <w:r>
        <w:rPr>
          <w:rFonts w:hint="eastAsia" w:ascii="仿宋_GB2312" w:hAnsi="仿宋_GB2312" w:eastAsia="仿宋_GB2312" w:cs="仿宋_GB2312"/>
          <w:color w:val="auto"/>
          <w:kern w:val="2"/>
          <w:sz w:val="32"/>
          <w:szCs w:val="32"/>
          <w:highlight w:val="none"/>
          <w:u w:val="none" w:color="auto"/>
          <w:lang w:val="en-US" w:eastAsia="zh-CN" w:bidi="ar-SA"/>
        </w:rPr>
        <w:t>合作银行申请</w:t>
      </w:r>
      <w:r>
        <w:rPr>
          <w:rFonts w:hint="eastAsia" w:ascii="仿宋_GB2312" w:hAnsi="仿宋_GB2312" w:eastAsia="仿宋_GB2312" w:cs="仿宋_GB2312"/>
          <w:color w:val="auto"/>
          <w:sz w:val="32"/>
          <w:szCs w:val="32"/>
          <w:highlight w:val="none"/>
          <w:lang w:val="en-US" w:eastAsia="zh-CN"/>
        </w:rPr>
        <w:t>小微企业贷款风险补偿金</w:t>
      </w:r>
      <w:r>
        <w:rPr>
          <w:rFonts w:hint="eastAsia" w:ascii="仿宋_GB2312" w:hAnsi="仿宋_GB2312" w:eastAsia="仿宋_GB2312" w:cs="仿宋_GB2312"/>
          <w:color w:val="auto"/>
          <w:kern w:val="2"/>
          <w:sz w:val="32"/>
          <w:szCs w:val="32"/>
          <w:highlight w:val="none"/>
          <w:u w:val="none" w:color="auto"/>
          <w:lang w:val="en-US" w:eastAsia="zh-CN" w:bidi="ar-SA"/>
        </w:rPr>
        <w:t>，应提交以下材料：</w:t>
      </w:r>
    </w:p>
    <w:p w14:paraId="0FCA1761">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sz w:val="32"/>
          <w:szCs w:val="32"/>
          <w:highlight w:val="none"/>
          <w:u w:val="none" w:color="auto"/>
          <w:lang w:val="en-US" w:eastAsia="zh-CN"/>
        </w:rPr>
        <w:t>（一）</w:t>
      </w:r>
      <w:r>
        <w:rPr>
          <w:rFonts w:hint="eastAsia" w:ascii="仿宋_GB2312" w:hAnsi="仿宋_GB2312" w:eastAsia="仿宋_GB2312" w:cs="仿宋_GB2312"/>
          <w:color w:val="auto"/>
          <w:sz w:val="32"/>
          <w:szCs w:val="32"/>
          <w:highlight w:val="none"/>
          <w:lang w:val="en-US" w:eastAsia="zh-CN"/>
        </w:rPr>
        <w:t>正定县小微企业贷款风险补偿金申请表</w:t>
      </w:r>
      <w:r>
        <w:rPr>
          <w:rFonts w:hint="eastAsia" w:ascii="仿宋_GB2312" w:hAnsi="仿宋_GB2312" w:eastAsia="仿宋_GB2312" w:cs="仿宋_GB2312"/>
          <w:color w:val="auto"/>
          <w:kern w:val="2"/>
          <w:sz w:val="32"/>
          <w:szCs w:val="32"/>
          <w:highlight w:val="none"/>
          <w:u w:val="none" w:color="auto"/>
          <w:lang w:val="en-US" w:eastAsia="zh-CN" w:bidi="ar-SA"/>
        </w:rPr>
        <w:t>（附件1）；</w:t>
      </w:r>
    </w:p>
    <w:p w14:paraId="1B271192">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sz w:val="32"/>
          <w:szCs w:val="32"/>
          <w:highlight w:val="none"/>
          <w:u w:val="none" w:color="auto"/>
          <w:lang w:val="en-US" w:eastAsia="zh-CN"/>
        </w:rPr>
        <w:t>（二）</w:t>
      </w:r>
      <w:r>
        <w:rPr>
          <w:rFonts w:hint="eastAsia" w:ascii="仿宋_GB2312" w:hAnsi="仿宋_GB2312" w:eastAsia="仿宋_GB2312" w:cs="仿宋_GB2312"/>
          <w:color w:val="auto"/>
          <w:sz w:val="32"/>
          <w:szCs w:val="32"/>
          <w:highlight w:val="none"/>
          <w:lang w:val="en-US" w:eastAsia="zh-CN"/>
        </w:rPr>
        <w:t>正定县小微企业贷款风险补偿金申请承诺书</w:t>
      </w:r>
      <w:r>
        <w:rPr>
          <w:rFonts w:hint="eastAsia" w:ascii="仿宋_GB2312" w:hAnsi="仿宋_GB2312" w:eastAsia="仿宋_GB2312" w:cs="仿宋_GB2312"/>
          <w:color w:val="auto"/>
          <w:kern w:val="2"/>
          <w:sz w:val="32"/>
          <w:szCs w:val="32"/>
          <w:highlight w:val="none"/>
          <w:u w:val="none" w:color="auto"/>
          <w:lang w:val="en-US" w:eastAsia="zh-CN" w:bidi="ar-SA"/>
        </w:rPr>
        <w:t>（附件2）；</w:t>
      </w:r>
    </w:p>
    <w:p w14:paraId="1CBDEE8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（三）银行坏账损失的情况说明及中国人民银行征信报告查询结果中该笔贷款的分类情况；</w:t>
      </w:r>
    </w:p>
    <w:p w14:paraId="5DA664DE">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（四）营业执照；</w:t>
      </w:r>
    </w:p>
    <w:p w14:paraId="25355A7E">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（五）基本账户开户许可证；</w:t>
      </w:r>
    </w:p>
    <w:p w14:paraId="67226429">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（六）该笔贷款授信审批相关意见及授信申请材料；</w:t>
      </w:r>
    </w:p>
    <w:p w14:paraId="7507A99E">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（七）该笔贷款借款合同、借据等放款证明材料；</w:t>
      </w:r>
    </w:p>
    <w:p w14:paraId="744C68A2">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（八）贷款发放后每期归还本息的情况说明、还款账户流水以及银行催收的相关工作材料；</w:t>
      </w:r>
    </w:p>
    <w:p w14:paraId="49FAF343">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（九）企业及企业主无不良信用记录的证明材料；</w:t>
      </w:r>
    </w:p>
    <w:p w14:paraId="25675633">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（十）启动法律程序相关证明材料；</w:t>
      </w:r>
    </w:p>
    <w:p w14:paraId="3C5A93E5">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（十一）属于科技企业的，需提供不良贷款补偿申请时有效期内的河北省科技型中小企业、国家科技型中小企业或高新技术企业证书。</w:t>
      </w:r>
    </w:p>
    <w:p w14:paraId="61E9932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对于线上自营贷款，合作银行按照自身风控审批系统，提供补偿资金所需材料。</w:t>
      </w:r>
    </w:p>
    <w:p w14:paraId="4EEE924B">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u w:val="none" w:color="auto"/>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以上各项申报材料用A4纸装订成册，一式3份。其中，第1-3项交原件，盖本单位公章；第4-11项提供加盖本单位公章复印件。</w:t>
      </w:r>
    </w:p>
    <w:p w14:paraId="191A9593">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u w:val="none" w:color="auto"/>
          <w:lang w:val="en-US" w:eastAsia="zh-CN" w:bidi="ar-SA"/>
        </w:rPr>
        <w:t>对小微企业主发放贷款的，合作银行必须自行证明贷款仅用于企业生产经营，提供的证明材料包括但不限于借款合同、授信</w:t>
      </w:r>
      <w:r>
        <w:rPr>
          <w:rFonts w:hint="eastAsia" w:ascii="仿宋_GB2312" w:hAnsi="仿宋_GB2312" w:eastAsia="仿宋_GB2312" w:cs="仿宋_GB2312"/>
          <w:color w:val="auto"/>
          <w:kern w:val="2"/>
          <w:sz w:val="32"/>
          <w:szCs w:val="32"/>
          <w:highlight w:val="none"/>
          <w:lang w:val="en-US" w:eastAsia="zh-CN" w:bidi="ar-SA"/>
        </w:rPr>
        <w:t>协议、贸易合同、发票、受托支付申请书（自主支付除外）、银行流水等。</w:t>
      </w:r>
    </w:p>
    <w:p w14:paraId="357A50C1">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kern w:val="2"/>
          <w:sz w:val="32"/>
          <w:szCs w:val="32"/>
          <w:highlight w:val="none"/>
          <w:lang w:val="en-US" w:eastAsia="zh-CN" w:bidi="ar-SA"/>
        </w:rPr>
        <w:t>第二十条  </w:t>
      </w:r>
      <w:r>
        <w:rPr>
          <w:rFonts w:hint="eastAsia" w:ascii="仿宋_GB2312" w:hAnsi="仿宋_GB2312" w:eastAsia="仿宋_GB2312" w:cs="仿宋_GB2312"/>
          <w:color w:val="auto"/>
          <w:sz w:val="32"/>
          <w:szCs w:val="32"/>
          <w:highlight w:val="none"/>
          <w:lang w:val="en-US" w:eastAsia="zh-CN"/>
        </w:rPr>
        <w:t>贷款风险补偿程序</w:t>
      </w:r>
      <w:r>
        <w:rPr>
          <w:rFonts w:hint="eastAsia" w:ascii="仿宋_GB2312" w:hAnsi="仿宋_GB2312" w:eastAsia="仿宋_GB2312" w:cs="仿宋_GB2312"/>
          <w:color w:val="auto"/>
          <w:sz w:val="32"/>
          <w:szCs w:val="32"/>
          <w:highlight w:val="none"/>
          <w:lang w:eastAsia="zh-CN"/>
        </w:rPr>
        <w:t>：</w:t>
      </w:r>
    </w:p>
    <w:p w14:paraId="01C99C21">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（一）申请。合作银行</w:t>
      </w:r>
      <w:r>
        <w:rPr>
          <w:rFonts w:hint="eastAsia" w:ascii="仿宋_GB2312" w:hAnsi="仿宋_GB2312" w:eastAsia="仿宋_GB2312" w:cs="仿宋_GB2312"/>
          <w:color w:val="auto"/>
          <w:sz w:val="32"/>
          <w:szCs w:val="32"/>
          <w:highlight w:val="none"/>
          <w:lang w:val="en-US" w:eastAsia="zh-CN"/>
        </w:rPr>
        <w:t>应于次年的2月底前，</w:t>
      </w:r>
      <w:r>
        <w:rPr>
          <w:rFonts w:hint="eastAsia" w:ascii="仿宋_GB2312" w:hAnsi="仿宋_GB2312" w:eastAsia="仿宋_GB2312" w:cs="仿宋_GB2312"/>
          <w:color w:val="auto"/>
          <w:sz w:val="32"/>
          <w:szCs w:val="32"/>
          <w:highlight w:val="none"/>
          <w:lang w:eastAsia="zh-CN"/>
        </w:rPr>
        <w:t>分别向</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color w:val="auto"/>
          <w:sz w:val="32"/>
          <w:szCs w:val="32"/>
          <w:highlight w:val="none"/>
          <w:lang w:val="en-US" w:eastAsia="zh-CN"/>
        </w:rPr>
        <w:t>提交风险补偿</w:t>
      </w:r>
      <w:r>
        <w:rPr>
          <w:rFonts w:hint="eastAsia" w:ascii="仿宋_GB2312" w:hAnsi="仿宋_GB2312" w:eastAsia="仿宋_GB2312" w:cs="仿宋_GB2312"/>
          <w:color w:val="auto"/>
          <w:sz w:val="32"/>
          <w:szCs w:val="32"/>
          <w:highlight w:val="none"/>
          <w:lang w:eastAsia="zh-CN"/>
        </w:rPr>
        <w:t>书面申请。</w:t>
      </w:r>
    </w:p>
    <w:p w14:paraId="044BE545">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color w:val="auto"/>
          <w:sz w:val="32"/>
          <w:szCs w:val="32"/>
          <w:highlight w:val="none"/>
          <w:lang w:eastAsia="zh-CN"/>
        </w:rPr>
        <w:t>（二）审核。</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color w:val="auto"/>
          <w:sz w:val="32"/>
          <w:szCs w:val="32"/>
          <w:highlight w:val="none"/>
          <w:lang w:eastAsia="zh-CN"/>
        </w:rPr>
        <w:t>分别</w:t>
      </w:r>
      <w:r>
        <w:rPr>
          <w:rFonts w:hint="eastAsia" w:ascii="仿宋_GB2312" w:hAnsi="仿宋_GB2312" w:eastAsia="仿宋_GB2312" w:cs="仿宋_GB2312"/>
          <w:color w:val="auto"/>
          <w:sz w:val="32"/>
          <w:szCs w:val="32"/>
          <w:highlight w:val="none"/>
          <w:u w:val="none" w:color="auto"/>
          <w:lang w:eastAsia="zh-CN"/>
        </w:rPr>
        <w:t>对各合作银行申报资料的真实性、完整性、合规性进行审核，必要时可委托第三方机构，对相关银行当年小微企业（含科技企业）贷款核销坏账所发生的净损失等进行审核，计算对合作银行的补偿金额，并将审核结果告知合作银行,合作银行可对审核结果申请复议。</w:t>
      </w:r>
    </w:p>
    <w:p w14:paraId="10EE241A">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u w:val="none" w:color="auto"/>
          <w:lang w:eastAsia="zh-CN"/>
        </w:rPr>
        <w:t>（三）公示。</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eastAsia" w:ascii="仿宋_GB2312" w:hAnsi="仿宋_GB2312" w:eastAsia="仿宋_GB2312" w:cs="仿宋_GB2312"/>
          <w:color w:val="auto"/>
          <w:sz w:val="32"/>
          <w:szCs w:val="32"/>
          <w:highlight w:val="none"/>
          <w:lang w:val="en-US" w:eastAsia="zh-CN"/>
        </w:rPr>
        <w:t>县科学技术和工业信息化局</w:t>
      </w:r>
      <w:r>
        <w:rPr>
          <w:rFonts w:hint="eastAsia" w:ascii="仿宋_GB2312" w:hAnsi="仿宋_GB2312" w:eastAsia="仿宋_GB2312" w:cs="仿宋_GB2312"/>
          <w:color w:val="auto"/>
          <w:sz w:val="32"/>
          <w:szCs w:val="32"/>
          <w:highlight w:val="none"/>
          <w:u w:val="none" w:color="auto"/>
          <w:lang w:eastAsia="zh-CN"/>
        </w:rPr>
        <w:t>将通过审核的风险补偿项目明细及</w:t>
      </w:r>
      <w:r>
        <w:rPr>
          <w:rFonts w:hint="eastAsia" w:ascii="仿宋_GB2312" w:hAnsi="仿宋_GB2312" w:eastAsia="仿宋_GB2312" w:cs="仿宋_GB2312"/>
          <w:color w:val="auto"/>
          <w:sz w:val="32"/>
          <w:szCs w:val="32"/>
          <w:highlight w:val="none"/>
        </w:rPr>
        <w:t>资金分配意见</w:t>
      </w:r>
      <w:r>
        <w:rPr>
          <w:rFonts w:hint="eastAsia" w:ascii="仿宋_GB2312" w:hAnsi="仿宋_GB2312" w:eastAsia="仿宋_GB2312" w:cs="仿宋_GB2312"/>
          <w:color w:val="auto"/>
          <w:sz w:val="32"/>
          <w:szCs w:val="32"/>
          <w:highlight w:val="none"/>
          <w:u w:val="none" w:color="auto"/>
          <w:lang w:eastAsia="zh-CN"/>
        </w:rPr>
        <w:t>报县财政局汇总，经县政府审批后，在县政府网站公示项目清单，公示期</w:t>
      </w:r>
      <w:r>
        <w:rPr>
          <w:rFonts w:hint="eastAsia" w:ascii="仿宋_GB2312" w:hAnsi="仿宋_GB2312" w:eastAsia="仿宋_GB2312" w:cs="仿宋_GB2312"/>
          <w:color w:val="auto"/>
          <w:sz w:val="32"/>
          <w:szCs w:val="32"/>
          <w:highlight w:val="none"/>
          <w:u w:val="none" w:color="auto"/>
          <w:lang w:val="en-US" w:eastAsia="zh-CN"/>
        </w:rPr>
        <w:t>7天</w:t>
      </w:r>
      <w:r>
        <w:rPr>
          <w:rFonts w:hint="eastAsia" w:ascii="仿宋_GB2312" w:hAnsi="仿宋_GB2312" w:eastAsia="仿宋_GB2312" w:cs="仿宋_GB2312"/>
          <w:color w:val="auto"/>
          <w:sz w:val="32"/>
          <w:szCs w:val="32"/>
          <w:highlight w:val="none"/>
          <w:u w:val="none" w:color="auto"/>
          <w:lang w:eastAsia="zh-CN"/>
        </w:rPr>
        <w:t>。如</w:t>
      </w:r>
      <w:r>
        <w:rPr>
          <w:rFonts w:hint="eastAsia" w:ascii="仿宋_GB2312" w:hAnsi="仿宋_GB2312" w:eastAsia="仿宋_GB2312" w:cs="仿宋_GB2312"/>
          <w:color w:val="auto"/>
          <w:sz w:val="32"/>
          <w:szCs w:val="32"/>
          <w:highlight w:val="none"/>
          <w:u w:val="none" w:color="auto"/>
          <w:lang w:val="en-US" w:eastAsia="zh-CN"/>
        </w:rPr>
        <w:t>公示有异议，由</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u w:val="none" w:color="auto"/>
          <w:lang w:val="en-US" w:eastAsia="zh-CN"/>
        </w:rPr>
        <w:t>正定</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color w:val="auto"/>
          <w:sz w:val="32"/>
          <w:szCs w:val="32"/>
          <w:highlight w:val="none"/>
          <w:u w:val="none" w:color="auto"/>
          <w:lang w:val="en-US" w:eastAsia="zh-CN"/>
        </w:rPr>
        <w:t>开展复查，并出具复查报告。</w:t>
      </w:r>
    </w:p>
    <w:p w14:paraId="0A84B45F">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（四）拨付。</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color w:val="auto"/>
          <w:sz w:val="32"/>
          <w:szCs w:val="32"/>
          <w:highlight w:val="none"/>
          <w:lang w:val="en-US" w:eastAsia="zh-CN"/>
        </w:rPr>
        <w:t>将</w:t>
      </w:r>
      <w:r>
        <w:rPr>
          <w:rFonts w:hint="eastAsia" w:ascii="仿宋_GB2312" w:hAnsi="仿宋_GB2312" w:eastAsia="仿宋_GB2312" w:cs="仿宋_GB2312"/>
          <w:color w:val="auto"/>
          <w:sz w:val="32"/>
          <w:szCs w:val="32"/>
          <w:highlight w:val="none"/>
          <w:lang w:eastAsia="zh-CN"/>
        </w:rPr>
        <w:t>公示无异议的项目清单</w:t>
      </w:r>
      <w:r>
        <w:rPr>
          <w:rFonts w:hint="eastAsia" w:ascii="仿宋_GB2312" w:hAnsi="仿宋_GB2312" w:eastAsia="仿宋_GB2312" w:cs="仿宋_GB2312"/>
          <w:color w:val="auto"/>
          <w:sz w:val="32"/>
          <w:szCs w:val="32"/>
          <w:highlight w:val="none"/>
          <w:lang w:val="en-US" w:eastAsia="zh-CN"/>
        </w:rPr>
        <w:t>发至县财政局，县</w:t>
      </w:r>
      <w:r>
        <w:rPr>
          <w:rFonts w:hint="eastAsia" w:ascii="仿宋_GB2312" w:hAnsi="仿宋_GB2312" w:eastAsia="仿宋_GB2312" w:cs="仿宋_GB2312"/>
          <w:color w:val="auto"/>
          <w:sz w:val="32"/>
          <w:szCs w:val="32"/>
          <w:highlight w:val="none"/>
          <w:lang w:eastAsia="zh-CN"/>
        </w:rPr>
        <w:t>财政局根据公示无异议的项目清单</w:t>
      </w:r>
      <w:r>
        <w:rPr>
          <w:rFonts w:hint="eastAsia" w:ascii="仿宋_GB2312" w:hAnsi="仿宋_GB2312" w:eastAsia="仿宋_GB2312" w:cs="仿宋_GB2312"/>
          <w:color w:val="auto"/>
          <w:sz w:val="32"/>
          <w:szCs w:val="32"/>
          <w:highlight w:val="none"/>
          <w:lang w:val="en-US" w:eastAsia="zh-CN"/>
        </w:rPr>
        <w:t>7个工作日内</w:t>
      </w:r>
      <w:r>
        <w:rPr>
          <w:rFonts w:hint="eastAsia" w:ascii="仿宋_GB2312" w:hAnsi="仿宋_GB2312" w:eastAsia="仿宋_GB2312" w:cs="仿宋_GB2312"/>
          <w:color w:val="auto"/>
          <w:sz w:val="32"/>
          <w:szCs w:val="32"/>
          <w:highlight w:val="none"/>
          <w:lang w:eastAsia="zh-CN"/>
        </w:rPr>
        <w:t>将贷款风险补偿资金</w:t>
      </w:r>
      <w:r>
        <w:rPr>
          <w:rFonts w:hint="default" w:ascii="仿宋_GB2312" w:hAnsi="仿宋_GB2312" w:eastAsia="仿宋_GB2312" w:cs="仿宋_GB2312"/>
          <w:color w:val="auto"/>
          <w:sz w:val="32"/>
          <w:szCs w:val="32"/>
          <w:highlight w:val="none"/>
          <w:lang w:val="en-US" w:eastAsia="zh-CN"/>
        </w:rPr>
        <w:t>拨付</w:t>
      </w:r>
      <w:r>
        <w:rPr>
          <w:rFonts w:hint="eastAsia" w:ascii="仿宋_GB2312" w:hAnsi="仿宋_GB2312" w:eastAsia="仿宋_GB2312" w:cs="仿宋_GB2312"/>
          <w:color w:val="auto"/>
          <w:sz w:val="32"/>
          <w:szCs w:val="32"/>
          <w:highlight w:val="none"/>
          <w:lang w:val="en-US" w:eastAsia="zh-CN"/>
        </w:rPr>
        <w:t>入受托市县属国有企业在合作银行开设的专用账户，受托县属国有企业按照县财政局通知要求及时将资金拨付到位。</w:t>
      </w:r>
    </w:p>
    <w:p w14:paraId="54205C2B">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五）清收处置。</w:t>
      </w:r>
      <w:r>
        <w:rPr>
          <w:rFonts w:hint="eastAsia" w:ascii="仿宋_GB2312" w:hAnsi="仿宋_GB2312" w:eastAsia="仿宋_GB2312" w:cs="仿宋_GB2312"/>
          <w:color w:val="auto"/>
          <w:sz w:val="32"/>
          <w:szCs w:val="32"/>
          <w:highlight w:val="none"/>
          <w:u w:val="none" w:color="auto"/>
          <w:lang w:val="en-US" w:eastAsia="zh-CN"/>
        </w:rPr>
        <w:t>已补偿不良贷款项目合作银行收回的资金，按</w:t>
      </w:r>
      <w:r>
        <w:rPr>
          <w:rFonts w:hint="eastAsia" w:ascii="仿宋_GB2312" w:hAnsi="仿宋_GB2312" w:eastAsia="仿宋_GB2312" w:cs="仿宋_GB2312"/>
          <w:color w:val="auto"/>
          <w:sz w:val="32"/>
          <w:szCs w:val="32"/>
          <w:highlight w:val="none"/>
          <w:lang w:val="en-US" w:eastAsia="zh-CN"/>
        </w:rPr>
        <w:t>照规定的比例一个月内返还专户，并报送</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w:t>
      </w:r>
      <w:r>
        <w:rPr>
          <w:rFonts w:hint="eastAsia" w:ascii="仿宋_GB2312" w:hAnsi="仿宋_GB2312" w:eastAsia="仿宋_GB2312" w:cs="仿宋_GB2312"/>
          <w:color w:val="auto"/>
          <w:sz w:val="32"/>
          <w:szCs w:val="32"/>
          <w:highlight w:val="none"/>
          <w:lang w:val="en-US" w:eastAsia="zh-CN"/>
        </w:rPr>
        <w:t>对经尽责清收仍确定无法收回的已补偿不良贷款项目，按照有关规定及时办理核销并报</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县科学技术和工业信息化局</w:t>
      </w:r>
      <w:r>
        <w:rPr>
          <w:rFonts w:hint="eastAsia" w:ascii="仿宋_GB2312" w:hAnsi="仿宋_GB2312" w:eastAsia="仿宋_GB2312" w:cs="仿宋_GB2312"/>
          <w:color w:val="auto"/>
          <w:sz w:val="32"/>
          <w:szCs w:val="32"/>
          <w:highlight w:val="none"/>
          <w:lang w:val="en-US" w:eastAsia="zh-CN"/>
        </w:rPr>
        <w:t>复核。</w:t>
      </w:r>
    </w:p>
    <w:p w14:paraId="023BF4DC">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both"/>
        <w:textAlignment w:val="auto"/>
        <w:outlineLvl w:val="9"/>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eastAsia="zh-CN"/>
        </w:rPr>
        <w:t>　　</w:t>
      </w:r>
    </w:p>
    <w:p w14:paraId="3134227F">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center"/>
        <w:textAlignment w:val="auto"/>
        <w:outlineLvl w:val="9"/>
        <w:rPr>
          <w:rFonts w:hint="default"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第六章  绩效和监督管理</w:t>
      </w:r>
    </w:p>
    <w:p w14:paraId="63A97BD5">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p>
    <w:p w14:paraId="45ABE22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 xml:space="preserve">第二十一条  </w:t>
      </w:r>
      <w:r>
        <w:rPr>
          <w:rFonts w:hint="eastAsia" w:ascii="仿宋_GB2312" w:hAnsi="仿宋_GB2312" w:eastAsia="仿宋_GB2312" w:cs="仿宋_GB2312"/>
          <w:color w:val="auto"/>
          <w:sz w:val="32"/>
          <w:szCs w:val="32"/>
          <w:highlight w:val="none"/>
          <w:lang w:val="en-US" w:eastAsia="zh-CN"/>
        </w:rPr>
        <w:t>根据《中共中央国务院关于全面实施预算绩效管理的意见》（中发</w:t>
      </w: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018</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34号）</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eastAsia" w:ascii="仿宋_GB2312" w:hAnsi="仿宋_GB2312" w:eastAsia="仿宋_GB2312" w:cs="仿宋_GB2312"/>
          <w:color w:val="auto"/>
          <w:sz w:val="32"/>
          <w:szCs w:val="32"/>
          <w:highlight w:val="none"/>
          <w:lang w:val="en-US" w:eastAsia="zh-CN"/>
        </w:rPr>
        <w:t>县科学技术和工业信息化局</w:t>
      </w:r>
      <w:r>
        <w:rPr>
          <w:rFonts w:hint="eastAsia" w:ascii="仿宋_GB2312" w:hAnsi="仿宋_GB2312" w:eastAsia="仿宋_GB2312" w:cs="仿宋_GB2312"/>
          <w:color w:val="auto"/>
          <w:sz w:val="32"/>
          <w:szCs w:val="32"/>
          <w:highlight w:val="none"/>
          <w:lang w:eastAsia="zh-CN"/>
        </w:rPr>
        <w:t>、</w:t>
      </w:r>
      <w:r>
        <w:rPr>
          <w:rFonts w:hint="default" w:ascii="仿宋_GB2312" w:hAnsi="仿宋_GB2312" w:eastAsia="仿宋_GB2312" w:cs="仿宋_GB2312"/>
          <w:color w:val="auto"/>
          <w:sz w:val="32"/>
          <w:szCs w:val="32"/>
          <w:highlight w:val="none"/>
          <w:lang w:val="en-US" w:eastAsia="zh-CN"/>
        </w:rPr>
        <w:t>正定</w:t>
      </w:r>
      <w:r>
        <w:rPr>
          <w:rFonts w:hint="eastAsia" w:ascii="仿宋_GB2312" w:hAnsi="仿宋_GB2312" w:eastAsia="仿宋_GB2312" w:cs="仿宋_GB2312"/>
          <w:color w:val="auto"/>
          <w:sz w:val="32"/>
          <w:szCs w:val="32"/>
          <w:highlight w:val="none"/>
          <w:lang w:val="en-US" w:eastAsia="zh-CN"/>
        </w:rPr>
        <w:t>县财政局按照各自职责，对资金使用情况开展绩效监控及评价，自觉接受审计的监督检查。绩效评价结果作为财政安排后续资金、调整资金政策的重要依据。</w:t>
      </w:r>
    </w:p>
    <w:p w14:paraId="015A7FB6">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kern w:val="2"/>
          <w:sz w:val="32"/>
          <w:szCs w:val="32"/>
          <w:highlight w:val="none"/>
          <w:lang w:val="en-US" w:eastAsia="zh-CN" w:bidi="ar-SA"/>
        </w:rPr>
        <w:t xml:space="preserve">第二十二条  </w:t>
      </w:r>
      <w:r>
        <w:rPr>
          <w:rFonts w:hint="eastAsia" w:ascii="仿宋_GB2312" w:hAnsi="仿宋_GB2312" w:eastAsia="仿宋_GB2312" w:cs="仿宋_GB2312"/>
          <w:color w:val="auto"/>
          <w:sz w:val="32"/>
          <w:szCs w:val="32"/>
          <w:highlight w:val="none"/>
          <w:lang w:eastAsia="zh-CN"/>
        </w:rPr>
        <w:t>获得贷款风险补偿资金的合作银行，应按照金融企业财务制度的有关规定，妥善保存相关原始票据及凭证，自觉接受</w:t>
      </w:r>
      <w:r>
        <w:rPr>
          <w:rFonts w:hint="eastAsia" w:ascii="仿宋_GB2312" w:hAnsi="仿宋_GB2312" w:eastAsia="仿宋_GB2312" w:cs="仿宋_GB2312"/>
          <w:color w:val="auto"/>
          <w:sz w:val="32"/>
          <w:szCs w:val="32"/>
          <w:highlight w:val="none"/>
          <w:lang w:val="en-US" w:eastAsia="zh-CN"/>
        </w:rPr>
        <w:t>财政、</w:t>
      </w:r>
      <w:r>
        <w:rPr>
          <w:rFonts w:hint="eastAsia" w:ascii="仿宋_GB2312" w:hAnsi="仿宋_GB2312" w:eastAsia="仿宋_GB2312" w:cs="仿宋_GB2312"/>
          <w:color w:val="auto"/>
          <w:sz w:val="32"/>
          <w:szCs w:val="32"/>
          <w:highlight w:val="none"/>
          <w:lang w:eastAsia="zh-CN"/>
        </w:rPr>
        <w:t>审计</w:t>
      </w:r>
      <w:r>
        <w:rPr>
          <w:rFonts w:hint="eastAsia" w:ascii="仿宋_GB2312" w:hAnsi="仿宋_GB2312" w:eastAsia="仿宋_GB2312" w:cs="仿宋_GB2312"/>
          <w:color w:val="auto"/>
          <w:sz w:val="32"/>
          <w:szCs w:val="32"/>
          <w:highlight w:val="none"/>
          <w:lang w:val="en-US" w:eastAsia="zh-CN"/>
        </w:rPr>
        <w:t>等相关</w:t>
      </w:r>
      <w:r>
        <w:rPr>
          <w:rFonts w:hint="eastAsia" w:ascii="仿宋_GB2312" w:hAnsi="仿宋_GB2312" w:eastAsia="仿宋_GB2312" w:cs="仿宋_GB2312"/>
          <w:color w:val="auto"/>
          <w:sz w:val="32"/>
          <w:szCs w:val="32"/>
          <w:highlight w:val="none"/>
          <w:lang w:eastAsia="zh-CN"/>
        </w:rPr>
        <w:t>部门的监督和审计。</w:t>
      </w:r>
    </w:p>
    <w:p w14:paraId="217B14DA">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u w:val="single" w:color="auto"/>
          <w:lang w:eastAsia="zh-CN"/>
        </w:rPr>
      </w:pPr>
      <w:r>
        <w:rPr>
          <w:rFonts w:hint="eastAsia" w:ascii="黑体" w:hAnsi="黑体" w:eastAsia="黑体" w:cs="黑体"/>
          <w:color w:val="auto"/>
          <w:kern w:val="2"/>
          <w:sz w:val="32"/>
          <w:szCs w:val="32"/>
          <w:highlight w:val="none"/>
          <w:lang w:val="en-US" w:eastAsia="zh-CN" w:bidi="ar-SA"/>
        </w:rPr>
        <w:t xml:space="preserve">第二十三条  </w:t>
      </w:r>
      <w:r>
        <w:rPr>
          <w:rFonts w:hint="eastAsia" w:ascii="仿宋_GB2312" w:hAnsi="仿宋_GB2312" w:eastAsia="仿宋_GB2312" w:cs="仿宋_GB2312"/>
          <w:color w:val="auto"/>
          <w:sz w:val="32"/>
          <w:szCs w:val="32"/>
          <w:highlight w:val="none"/>
          <w:lang w:eastAsia="zh-CN"/>
        </w:rPr>
        <w:t>合作银行提供企业贷款应严格按照银保监会监管要求执行，加强风险管理，合理控制不良贷款率，如未能完成监管指标要求或</w:t>
      </w:r>
      <w:r>
        <w:rPr>
          <w:rFonts w:hint="eastAsia" w:ascii="仿宋_GB2312" w:hAnsi="仿宋_GB2312" w:eastAsia="仿宋_GB2312" w:cs="仿宋_GB2312"/>
          <w:color w:val="auto"/>
          <w:kern w:val="2"/>
          <w:sz w:val="32"/>
          <w:szCs w:val="32"/>
          <w:highlight w:val="none"/>
          <w:u w:val="none" w:color="auto"/>
          <w:lang w:val="en-US" w:eastAsia="zh-CN" w:bidi="ar-SA"/>
        </w:rPr>
        <w:t>不良贷款率超过4%，须</w:t>
      </w:r>
      <w:r>
        <w:rPr>
          <w:rFonts w:hint="eastAsia" w:ascii="仿宋_GB2312" w:hAnsi="仿宋_GB2312" w:eastAsia="仿宋_GB2312" w:cs="仿宋_GB2312"/>
          <w:color w:val="auto"/>
          <w:sz w:val="32"/>
          <w:szCs w:val="32"/>
          <w:highlight w:val="none"/>
          <w:lang w:eastAsia="zh-CN"/>
        </w:rPr>
        <w:t>及时主动向</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eastAsia" w:ascii="仿宋_GB2312" w:hAnsi="仿宋_GB2312" w:eastAsia="仿宋_GB2312" w:cs="仿宋_GB2312"/>
          <w:color w:val="auto"/>
          <w:sz w:val="32"/>
          <w:szCs w:val="32"/>
          <w:highlight w:val="none"/>
          <w:lang w:val="en-US" w:eastAsia="zh-CN"/>
        </w:rPr>
        <w:t>县科学技术和工业信息化局</w:t>
      </w:r>
      <w:r>
        <w:rPr>
          <w:rFonts w:hint="eastAsia" w:ascii="仿宋_GB2312" w:hAnsi="仿宋_GB2312" w:eastAsia="仿宋_GB2312" w:cs="仿宋_GB2312"/>
          <w:color w:val="auto"/>
          <w:sz w:val="32"/>
          <w:szCs w:val="32"/>
          <w:highlight w:val="none"/>
          <w:lang w:eastAsia="zh-CN"/>
        </w:rPr>
        <w:t>报告，</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color w:val="auto"/>
          <w:sz w:val="32"/>
          <w:szCs w:val="32"/>
          <w:highlight w:val="none"/>
          <w:lang w:val="en-US" w:eastAsia="zh-CN"/>
        </w:rPr>
        <w:t>正定</w:t>
      </w:r>
      <w:r>
        <w:rPr>
          <w:rFonts w:hint="eastAsia" w:ascii="仿宋_GB2312" w:hAnsi="仿宋_GB2312" w:eastAsia="仿宋_GB2312" w:cs="仿宋_GB2312"/>
          <w:color w:val="auto"/>
          <w:sz w:val="32"/>
          <w:szCs w:val="32"/>
          <w:highlight w:val="none"/>
          <w:lang w:val="en-US" w:eastAsia="zh-CN"/>
        </w:rPr>
        <w:t>县科学技术和工业信息化局</w:t>
      </w:r>
      <w:r>
        <w:rPr>
          <w:rFonts w:hint="eastAsia" w:ascii="仿宋_GB2312" w:hAnsi="仿宋_GB2312" w:eastAsia="仿宋_GB2312" w:cs="仿宋_GB2312"/>
          <w:color w:val="auto"/>
          <w:sz w:val="32"/>
          <w:szCs w:val="32"/>
          <w:highlight w:val="none"/>
          <w:lang w:eastAsia="zh-CN"/>
        </w:rPr>
        <w:t>暂停或停止与其合作。</w:t>
      </w:r>
    </w:p>
    <w:p w14:paraId="5D5C0C81">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kern w:val="2"/>
          <w:sz w:val="32"/>
          <w:szCs w:val="32"/>
          <w:highlight w:val="none"/>
          <w:lang w:val="en-US" w:eastAsia="zh-CN" w:bidi="ar-SA"/>
        </w:rPr>
        <w:t xml:space="preserve">第二十四条  </w:t>
      </w:r>
      <w:r>
        <w:rPr>
          <w:rFonts w:hint="eastAsia" w:ascii="仿宋_GB2312" w:hAnsi="仿宋_GB2312" w:eastAsia="仿宋_GB2312" w:cs="仿宋_GB2312"/>
          <w:color w:val="auto"/>
          <w:sz w:val="32"/>
          <w:szCs w:val="32"/>
          <w:highlight w:val="none"/>
          <w:lang w:eastAsia="zh-CN"/>
        </w:rPr>
        <w:t>合作银行弄虚作假或与企业合谋骗贷、套取风险补偿金的，一经查实，追回财政已拨付的贷款风险补偿金，取消其合作金融机构资格，三年内禁止其申请财政政策支持，并按照有关法律法规处理。</w:t>
      </w:r>
    </w:p>
    <w:p w14:paraId="03D9BC2C">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kern w:val="2"/>
          <w:sz w:val="32"/>
          <w:szCs w:val="32"/>
          <w:highlight w:val="none"/>
          <w:lang w:val="en-US" w:eastAsia="zh-CN" w:bidi="ar-SA"/>
        </w:rPr>
        <w:t xml:space="preserve">第二十五条  </w:t>
      </w:r>
      <w:r>
        <w:rPr>
          <w:rFonts w:hint="eastAsia" w:ascii="仿宋_GB2312" w:hAnsi="仿宋_GB2312" w:eastAsia="仿宋_GB2312" w:cs="仿宋_GB2312"/>
          <w:color w:val="auto"/>
          <w:sz w:val="32"/>
          <w:szCs w:val="32"/>
          <w:highlight w:val="none"/>
          <w:lang w:eastAsia="zh-CN"/>
        </w:rPr>
        <w:t>对恶意骗取、挪用银行贷款的企业，取消对其各类财政政策支持，并依法追究法律责任。</w:t>
      </w:r>
    </w:p>
    <w:p w14:paraId="095AEB4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auto"/>
        <w:outlineLvl w:val="9"/>
        <w:rPr>
          <w:rFonts w:hint="eastAsia" w:ascii="黑体" w:hAnsi="黑体" w:eastAsia="黑体" w:cs="黑体"/>
          <w:color w:val="auto"/>
          <w:kern w:val="2"/>
          <w:sz w:val="32"/>
          <w:szCs w:val="32"/>
          <w:highlight w:val="none"/>
          <w:lang w:val="en-US" w:eastAsia="zh-CN" w:bidi="ar-SA"/>
        </w:rPr>
      </w:pPr>
    </w:p>
    <w:p w14:paraId="64FE3B3B">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center"/>
        <w:textAlignment w:val="auto"/>
        <w:outlineLvl w:val="9"/>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第七章  附  则</w:t>
      </w:r>
    </w:p>
    <w:p w14:paraId="75CAFC0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auto"/>
        <w:outlineLvl w:val="9"/>
        <w:rPr>
          <w:rFonts w:hint="eastAsia" w:ascii="仿宋_GB2312" w:hAnsi="仿宋_GB2312" w:eastAsia="仿宋_GB2312" w:cs="仿宋_GB2312"/>
          <w:color w:val="auto"/>
          <w:sz w:val="32"/>
          <w:szCs w:val="32"/>
          <w:highlight w:val="none"/>
          <w:lang w:eastAsia="zh-CN"/>
        </w:rPr>
      </w:pPr>
    </w:p>
    <w:p w14:paraId="52100C6B">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kern w:val="2"/>
          <w:sz w:val="32"/>
          <w:szCs w:val="32"/>
          <w:highlight w:val="none"/>
          <w:lang w:val="en-US" w:eastAsia="zh-CN" w:bidi="ar-SA"/>
        </w:rPr>
        <w:t xml:space="preserve">第二十六条  </w:t>
      </w:r>
      <w:r>
        <w:rPr>
          <w:rFonts w:hint="eastAsia" w:ascii="仿宋_GB2312" w:hAnsi="仿宋_GB2312" w:eastAsia="仿宋_GB2312" w:cs="仿宋_GB2312"/>
          <w:color w:val="auto"/>
          <w:sz w:val="32"/>
          <w:szCs w:val="32"/>
          <w:highlight w:val="none"/>
          <w:lang w:eastAsia="zh-CN"/>
        </w:rPr>
        <w:t>本办法</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eastAsia" w:ascii="仿宋_GB2312" w:hAnsi="仿宋_GB2312" w:eastAsia="仿宋_GB2312" w:cs="仿宋_GB2312"/>
          <w:color w:val="auto"/>
          <w:sz w:val="32"/>
          <w:szCs w:val="32"/>
          <w:highlight w:val="none"/>
          <w:lang w:eastAsia="zh-CN"/>
        </w:rPr>
        <w:t>由</w:t>
      </w:r>
      <w:r>
        <w:rPr>
          <w:rFonts w:hint="default" w:ascii="仿宋_GB2312" w:hAnsi="仿宋_GB2312" w:eastAsia="仿宋_GB2312" w:cs="仿宋_GB2312"/>
          <w:color w:val="auto"/>
          <w:sz w:val="32"/>
          <w:szCs w:val="32"/>
          <w:highlight w:val="none"/>
          <w:lang w:val="en-US" w:eastAsia="zh-CN"/>
        </w:rPr>
        <w:t>正定</w:t>
      </w:r>
      <w:r>
        <w:rPr>
          <w:rFonts w:hint="eastAsia" w:ascii="仿宋_GB2312" w:hAnsi="仿宋_GB2312" w:eastAsia="仿宋_GB2312" w:cs="仿宋_GB2312"/>
          <w:color w:val="auto"/>
          <w:sz w:val="32"/>
          <w:szCs w:val="32"/>
          <w:highlight w:val="none"/>
          <w:lang w:eastAsia="zh-CN"/>
        </w:rPr>
        <w:t>县财政局、</w:t>
      </w:r>
      <w:r>
        <w:rPr>
          <w:rFonts w:hint="eastAsia" w:ascii="仿宋_GB2312" w:hAnsi="仿宋_GB2312" w:eastAsia="仿宋_GB2312" w:cs="仿宋_GB2312"/>
          <w:color w:val="auto"/>
          <w:sz w:val="32"/>
          <w:szCs w:val="32"/>
          <w:highlight w:val="none"/>
          <w:lang w:val="en-US" w:eastAsia="zh-CN"/>
        </w:rPr>
        <w:t>科学技术和工业信息化局</w:t>
      </w:r>
      <w:r>
        <w:rPr>
          <w:rFonts w:hint="eastAsia" w:ascii="仿宋_GB2312" w:hAnsi="仿宋_GB2312" w:eastAsia="仿宋_GB2312" w:cs="仿宋_GB2312"/>
          <w:color w:val="auto"/>
          <w:sz w:val="32"/>
          <w:szCs w:val="32"/>
          <w:highlight w:val="none"/>
          <w:lang w:eastAsia="zh-CN"/>
        </w:rPr>
        <w:t>负责解释。</w:t>
      </w:r>
    </w:p>
    <w:p w14:paraId="2C4A377A">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 xml:space="preserve">第二十七条  </w:t>
      </w:r>
      <w:r>
        <w:rPr>
          <w:rFonts w:hint="eastAsia" w:ascii="仿宋_GB2312" w:hAnsi="仿宋_GB2312" w:eastAsia="仿宋_GB2312" w:cs="仿宋_GB2312"/>
          <w:color w:val="auto"/>
          <w:sz w:val="32"/>
          <w:szCs w:val="32"/>
          <w:highlight w:val="none"/>
          <w:lang w:eastAsia="zh-CN"/>
        </w:rPr>
        <w:t>本办法自印发之日起施行，有效期两年。</w:t>
      </w:r>
    </w:p>
    <w:p w14:paraId="5467A73E">
      <w:pPr>
        <w:keepNext w:val="0"/>
        <w:keepLines w:val="0"/>
        <w:pageBreakBefore w:val="0"/>
        <w:widowControl w:val="0"/>
        <w:kinsoku/>
        <w:wordWrap/>
        <w:overflowPunct/>
        <w:topLinePunct w:val="0"/>
        <w:autoSpaceDE/>
        <w:autoSpaceDN/>
        <w:bidi w:val="0"/>
        <w:adjustRightInd/>
        <w:snapToGrid/>
        <w:spacing w:beforeAutospacing="0" w:afterAutospacing="0" w:line="570" w:lineRule="exact"/>
        <w:jc w:val="both"/>
        <w:textAlignment w:val="auto"/>
        <w:outlineLvl w:val="9"/>
        <w:rPr>
          <w:rFonts w:hint="eastAsia" w:ascii="仿宋_GB2312" w:hAnsi="仿宋_GB2312" w:eastAsia="仿宋_GB2312" w:cs="仿宋_GB2312"/>
          <w:color w:val="auto"/>
          <w:sz w:val="32"/>
          <w:szCs w:val="32"/>
          <w:highlight w:val="none"/>
          <w:lang w:eastAsia="zh-CN"/>
        </w:rPr>
      </w:pPr>
    </w:p>
    <w:p w14:paraId="29924A6C">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附件：1.正定县小微企业贷款风险补偿金申请表</w:t>
      </w:r>
    </w:p>
    <w:p w14:paraId="7791CF9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left="1600" w:leftChars="0" w:right="0" w:rightChars="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2.正定县小微企业贷款风险补偿金申请承诺书</w:t>
      </w:r>
    </w:p>
    <w:p w14:paraId="3171E7AF">
      <w:pPr>
        <w:rPr>
          <w:rFonts w:hint="eastAsia" w:ascii="黑体" w:hAnsi="Calibri" w:eastAsia="黑体" w:cs="Times New Roman"/>
          <w:color w:val="auto"/>
          <w:sz w:val="32"/>
          <w:szCs w:val="32"/>
          <w:highlight w:val="none"/>
        </w:rPr>
      </w:pPr>
      <w:r>
        <w:rPr>
          <w:rFonts w:hint="eastAsia" w:ascii="黑体" w:hAnsi="Calibri" w:eastAsia="黑体" w:cs="Times New Roman"/>
          <w:color w:val="auto"/>
          <w:sz w:val="32"/>
          <w:szCs w:val="32"/>
          <w:highlight w:val="none"/>
        </w:rPr>
        <w:br w:type="page"/>
      </w:r>
    </w:p>
    <w:p w14:paraId="056D3B48">
      <w:pPr>
        <w:spacing w:beforeAutospacing="0" w:afterAutospacing="0" w:line="600" w:lineRule="exact"/>
        <w:rPr>
          <w:rFonts w:hint="eastAsia" w:ascii="黑体" w:hAnsi="黑体" w:eastAsia="黑体" w:cs="黑体"/>
          <w:color w:val="auto"/>
          <w:sz w:val="32"/>
          <w:szCs w:val="32"/>
          <w:highlight w:val="none"/>
          <w:lang w:val="en-US" w:eastAsia="zh-CN"/>
        </w:rPr>
      </w:pPr>
      <w:r>
        <w:rPr>
          <w:rFonts w:hint="eastAsia" w:ascii="黑体" w:hAnsi="Calibri" w:eastAsia="黑体" w:cs="Times New Roman"/>
          <w:color w:val="auto"/>
          <w:sz w:val="32"/>
          <w:szCs w:val="32"/>
          <w:highlight w:val="none"/>
        </w:rPr>
        <w:t>附件</w:t>
      </w:r>
      <w:r>
        <w:rPr>
          <w:rFonts w:hint="eastAsia" w:ascii="黑体" w:hAnsi="Calibri" w:eastAsia="黑体" w:cs="Times New Roman"/>
          <w:color w:val="auto"/>
          <w:sz w:val="32"/>
          <w:szCs w:val="32"/>
          <w:highlight w:val="none"/>
          <w:lang w:val="en-US" w:eastAsia="zh-CN"/>
        </w:rPr>
        <w:t>1</w:t>
      </w:r>
    </w:p>
    <w:p w14:paraId="3158279A">
      <w:pPr>
        <w:spacing w:beforeAutospacing="0" w:afterAutospacing="0" w:line="600" w:lineRule="exact"/>
        <w:jc w:val="center"/>
        <w:rPr>
          <w:rFonts w:hint="eastAsia" w:ascii="方正小标宋简体" w:hAnsi="方正小标宋简体" w:eastAsia="方正小标宋简体" w:cs="方正小标宋简体"/>
          <w:b w:val="0"/>
          <w:bCs w:val="0"/>
          <w:color w:val="auto"/>
          <w:spacing w:val="-3"/>
          <w:sz w:val="44"/>
          <w:szCs w:val="44"/>
          <w:highlight w:val="none"/>
        </w:rPr>
      </w:pPr>
      <w:r>
        <w:rPr>
          <w:rFonts w:hint="eastAsia" w:ascii="方正小标宋简体" w:hAnsi="方正小标宋简体" w:eastAsia="方正小标宋简体" w:cs="方正小标宋简体"/>
          <w:b w:val="0"/>
          <w:bCs w:val="0"/>
          <w:color w:val="auto"/>
          <w:spacing w:val="-3"/>
          <w:sz w:val="44"/>
          <w:szCs w:val="44"/>
          <w:highlight w:val="none"/>
          <w:lang w:val="en-US" w:eastAsia="zh-CN"/>
        </w:rPr>
        <w:t>正定县小微企业</w:t>
      </w:r>
      <w:r>
        <w:rPr>
          <w:rFonts w:hint="eastAsia" w:ascii="方正小标宋简体" w:hAnsi="方正小标宋简体" w:eastAsia="方正小标宋简体" w:cs="方正小标宋简体"/>
          <w:b w:val="0"/>
          <w:bCs w:val="0"/>
          <w:color w:val="auto"/>
          <w:spacing w:val="-3"/>
          <w:sz w:val="44"/>
          <w:szCs w:val="44"/>
          <w:highlight w:val="none"/>
        </w:rPr>
        <w:t>贷款风险补偿金申请表</w:t>
      </w:r>
    </w:p>
    <w:p w14:paraId="4971E84B">
      <w:pPr>
        <w:spacing w:beforeAutospacing="0" w:afterAutospacing="0" w:line="600" w:lineRule="exact"/>
        <w:jc w:val="center"/>
        <w:rPr>
          <w:rFonts w:ascii="仿宋_GB2312" w:hAnsi="仿宋_GB2312" w:eastAsia="仿宋_GB2312" w:cs="仿宋_GB2312"/>
          <w:color w:val="auto"/>
          <w:spacing w:val="-3"/>
          <w:sz w:val="21"/>
          <w:szCs w:val="21"/>
          <w:highlight w:val="none"/>
        </w:rPr>
      </w:pPr>
      <w:r>
        <w:rPr>
          <w:rFonts w:hint="eastAsia" w:ascii="仿宋_GB2312" w:hAnsi="仿宋_GB2312" w:eastAsia="仿宋_GB2312" w:cs="仿宋_GB2312"/>
          <w:color w:val="auto"/>
          <w:spacing w:val="-3"/>
          <w:sz w:val="21"/>
          <w:szCs w:val="21"/>
          <w:highlight w:val="none"/>
        </w:rPr>
        <w:t xml:space="preserve">填报单位（盖章）：        </w:t>
      </w:r>
      <w:r>
        <w:rPr>
          <w:rFonts w:hint="eastAsia" w:ascii="仿宋_GB2312" w:hAnsi="仿宋_GB2312" w:eastAsia="仿宋_GB2312" w:cs="仿宋_GB2312"/>
          <w:color w:val="auto"/>
          <w:spacing w:val="-3"/>
          <w:sz w:val="21"/>
          <w:szCs w:val="21"/>
          <w:highlight w:val="none"/>
          <w:lang w:val="en-US" w:eastAsia="zh-CN"/>
        </w:rPr>
        <w:t xml:space="preserve">                                    </w:t>
      </w:r>
      <w:r>
        <w:rPr>
          <w:rFonts w:hint="eastAsia" w:ascii="仿宋_GB2312" w:hAnsi="仿宋_GB2312" w:eastAsia="仿宋_GB2312" w:cs="仿宋_GB2312"/>
          <w:color w:val="auto"/>
          <w:spacing w:val="-3"/>
          <w:sz w:val="21"/>
          <w:szCs w:val="21"/>
          <w:highlight w:val="none"/>
        </w:rPr>
        <w:t xml:space="preserve">            单位：万元</w:t>
      </w:r>
    </w:p>
    <w:tbl>
      <w:tblPr>
        <w:tblStyle w:val="5"/>
        <w:tblW w:w="9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80"/>
        <w:gridCol w:w="1979"/>
        <w:gridCol w:w="2506"/>
        <w:gridCol w:w="1900"/>
        <w:gridCol w:w="2495"/>
      </w:tblGrid>
      <w:tr w14:paraId="5CF29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14:paraId="1A7FC3FC">
            <w:pPr>
              <w:spacing w:beforeAutospacing="0" w:afterAutospacing="0" w:line="360" w:lineRule="exact"/>
              <w:jc w:val="center"/>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授信</w:t>
            </w:r>
          </w:p>
          <w:p w14:paraId="7A5009BC">
            <w:pPr>
              <w:spacing w:beforeAutospacing="0" w:afterAutospacing="0" w:line="360" w:lineRule="exact"/>
              <w:jc w:val="center"/>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企业</w:t>
            </w:r>
          </w:p>
          <w:p w14:paraId="2E7BC2E9">
            <w:pPr>
              <w:spacing w:beforeAutospacing="0" w:afterAutospacing="0" w:line="360" w:lineRule="exact"/>
              <w:jc w:val="center"/>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基本</w:t>
            </w:r>
          </w:p>
          <w:p w14:paraId="184D9231">
            <w:pPr>
              <w:spacing w:beforeAutospacing="0" w:afterAutospacing="0" w:line="360" w:lineRule="exact"/>
              <w:jc w:val="center"/>
              <w:textAlignment w:val="center"/>
              <w:rPr>
                <w:rFonts w:ascii="宋体" w:hAnsi="宋体" w:eastAsia="宋体" w:cs="宋体"/>
                <w:color w:val="auto"/>
                <w:sz w:val="24"/>
                <w:highlight w:val="none"/>
              </w:rPr>
            </w:pPr>
            <w:r>
              <w:rPr>
                <w:rFonts w:hint="eastAsia" w:ascii="宋体" w:hAnsi="宋体" w:eastAsia="宋体" w:cs="宋体"/>
                <w:color w:val="auto"/>
                <w:kern w:val="0"/>
                <w:sz w:val="24"/>
                <w:highlight w:val="none"/>
              </w:rPr>
              <w:t>信息</w:t>
            </w: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E10F7B">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企业名称</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7853F4">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004A5A">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组织机构代码证号</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AD838B">
            <w:pPr>
              <w:spacing w:beforeAutospacing="0" w:afterAutospacing="0" w:line="360" w:lineRule="exact"/>
              <w:rPr>
                <w:rFonts w:ascii="宋体" w:hAnsi="宋体" w:eastAsia="宋体" w:cs="宋体"/>
                <w:color w:val="auto"/>
                <w:szCs w:val="21"/>
                <w:highlight w:val="none"/>
              </w:rPr>
            </w:pPr>
          </w:p>
        </w:tc>
      </w:tr>
      <w:tr w14:paraId="160E1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left w:val="single" w:color="000000" w:sz="4" w:space="0"/>
              <w:right w:val="single" w:color="000000" w:sz="4" w:space="0"/>
            </w:tcBorders>
            <w:noWrap w:val="0"/>
            <w:tcMar>
              <w:top w:w="12" w:type="dxa"/>
              <w:left w:w="12" w:type="dxa"/>
              <w:right w:w="12" w:type="dxa"/>
            </w:tcMar>
            <w:vAlign w:val="center"/>
          </w:tcPr>
          <w:p w14:paraId="6725969D">
            <w:pPr>
              <w:spacing w:beforeAutospacing="0" w:afterAutospacing="0" w:line="360" w:lineRule="exact"/>
              <w:jc w:val="center"/>
              <w:rPr>
                <w:rFonts w:ascii="宋体" w:hAnsi="宋体" w:eastAsia="宋体" w:cs="宋体"/>
                <w:color w:val="auto"/>
                <w:sz w:val="24"/>
                <w:highlight w:val="none"/>
              </w:rPr>
            </w:pP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269C59">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企业注册地</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F2E321">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56F7E">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企业实际控制人</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6E6B18">
            <w:pPr>
              <w:spacing w:beforeAutospacing="0" w:afterAutospacing="0" w:line="360" w:lineRule="exact"/>
              <w:rPr>
                <w:rFonts w:ascii="宋体" w:hAnsi="宋体" w:eastAsia="宋体" w:cs="宋体"/>
                <w:color w:val="auto"/>
                <w:szCs w:val="21"/>
                <w:highlight w:val="none"/>
              </w:rPr>
            </w:pPr>
          </w:p>
        </w:tc>
      </w:tr>
      <w:tr w14:paraId="01D91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left w:val="single" w:color="000000" w:sz="4" w:space="0"/>
              <w:right w:val="single" w:color="000000" w:sz="4" w:space="0"/>
            </w:tcBorders>
            <w:noWrap w:val="0"/>
            <w:tcMar>
              <w:top w:w="12" w:type="dxa"/>
              <w:left w:w="12" w:type="dxa"/>
              <w:right w:w="12" w:type="dxa"/>
            </w:tcMar>
            <w:vAlign w:val="center"/>
          </w:tcPr>
          <w:p w14:paraId="5575465E">
            <w:pPr>
              <w:spacing w:beforeAutospacing="0" w:afterAutospacing="0" w:line="360" w:lineRule="exact"/>
              <w:jc w:val="center"/>
              <w:rPr>
                <w:rFonts w:ascii="宋体" w:hAnsi="宋体" w:eastAsia="宋体" w:cs="宋体"/>
                <w:color w:val="auto"/>
                <w:sz w:val="24"/>
                <w:highlight w:val="none"/>
              </w:rPr>
            </w:pP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39817A">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企业类型</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3759D0">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180CA8">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行业类型</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961DE0">
            <w:pPr>
              <w:spacing w:beforeAutospacing="0" w:afterAutospacing="0" w:line="360" w:lineRule="exact"/>
              <w:rPr>
                <w:rFonts w:ascii="宋体" w:hAnsi="宋体" w:eastAsia="宋体" w:cs="宋体"/>
                <w:color w:val="auto"/>
                <w:szCs w:val="21"/>
                <w:highlight w:val="none"/>
              </w:rPr>
            </w:pPr>
          </w:p>
        </w:tc>
      </w:tr>
      <w:tr w14:paraId="53897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left w:val="single" w:color="000000" w:sz="4" w:space="0"/>
              <w:right w:val="single" w:color="000000" w:sz="4" w:space="0"/>
            </w:tcBorders>
            <w:noWrap w:val="0"/>
            <w:tcMar>
              <w:top w:w="12" w:type="dxa"/>
              <w:left w:w="12" w:type="dxa"/>
              <w:right w:w="12" w:type="dxa"/>
            </w:tcMar>
            <w:vAlign w:val="center"/>
          </w:tcPr>
          <w:p w14:paraId="5A029E0C">
            <w:pPr>
              <w:spacing w:beforeAutospacing="0" w:afterAutospacing="0" w:line="360" w:lineRule="exact"/>
              <w:jc w:val="center"/>
              <w:rPr>
                <w:rFonts w:ascii="宋体" w:hAnsi="宋体" w:eastAsia="宋体" w:cs="宋体"/>
                <w:color w:val="auto"/>
                <w:sz w:val="24"/>
                <w:highlight w:val="none"/>
              </w:rPr>
            </w:pP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BA61AE">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企业法人名称</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A23744">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BBE97C">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是否属于小微企业</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B0F3D8">
            <w:pPr>
              <w:spacing w:beforeAutospacing="0" w:afterAutospacing="0" w:line="360" w:lineRule="exact"/>
              <w:rPr>
                <w:rFonts w:ascii="宋体" w:hAnsi="宋体" w:eastAsia="宋体" w:cs="宋体"/>
                <w:color w:val="auto"/>
                <w:szCs w:val="21"/>
                <w:highlight w:val="none"/>
              </w:rPr>
            </w:pPr>
          </w:p>
        </w:tc>
      </w:tr>
      <w:tr w14:paraId="770C4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14:paraId="3D400116">
            <w:pPr>
              <w:spacing w:beforeAutospacing="0" w:afterAutospacing="0" w:line="360" w:lineRule="exact"/>
              <w:jc w:val="center"/>
              <w:rPr>
                <w:rFonts w:ascii="宋体" w:hAnsi="宋体" w:eastAsia="宋体" w:cs="宋体"/>
                <w:color w:val="auto"/>
                <w:sz w:val="24"/>
                <w:highlight w:val="none"/>
              </w:rPr>
            </w:pP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7439A9">
            <w:pPr>
              <w:spacing w:beforeAutospacing="0" w:afterAutospacing="0" w:line="360" w:lineRule="exact"/>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是否</w:t>
            </w:r>
            <w:r>
              <w:rPr>
                <w:rFonts w:hint="eastAsia" w:ascii="宋体" w:hAnsi="宋体" w:cs="宋体"/>
                <w:color w:val="auto"/>
                <w:kern w:val="0"/>
                <w:szCs w:val="21"/>
                <w:highlight w:val="none"/>
                <w:lang w:eastAsia="zh-CN"/>
              </w:rPr>
              <w:t>属于</w:t>
            </w:r>
            <w:r>
              <w:rPr>
                <w:rFonts w:hint="eastAsia" w:ascii="宋体" w:hAnsi="宋体" w:eastAsia="宋体" w:cs="宋体"/>
                <w:color w:val="auto"/>
                <w:kern w:val="0"/>
                <w:szCs w:val="21"/>
                <w:highlight w:val="none"/>
              </w:rPr>
              <w:t>科技企业</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F2963B">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CB3083">
            <w:pPr>
              <w:spacing w:beforeAutospacing="0" w:afterAutospacing="0" w:line="360" w:lineRule="exact"/>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科技企业类型</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0306C1">
            <w:pPr>
              <w:spacing w:beforeAutospacing="0" w:afterAutospacing="0" w:line="360" w:lineRule="exact"/>
              <w:rPr>
                <w:rFonts w:ascii="宋体" w:hAnsi="宋体" w:eastAsia="宋体" w:cs="宋体"/>
                <w:color w:val="auto"/>
                <w:szCs w:val="21"/>
                <w:highlight w:val="none"/>
              </w:rPr>
            </w:pPr>
          </w:p>
        </w:tc>
      </w:tr>
      <w:tr w14:paraId="6223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BA1C44">
            <w:pPr>
              <w:spacing w:beforeAutospacing="0" w:afterAutospacing="0" w:line="360" w:lineRule="exact"/>
              <w:jc w:val="center"/>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授信</w:t>
            </w:r>
          </w:p>
          <w:p w14:paraId="61D5C027">
            <w:pPr>
              <w:spacing w:beforeAutospacing="0" w:afterAutospacing="0" w:line="360" w:lineRule="exact"/>
              <w:jc w:val="center"/>
              <w:textAlignment w:val="center"/>
              <w:rPr>
                <w:rFonts w:ascii="宋体" w:hAnsi="宋体" w:eastAsia="宋体" w:cs="宋体"/>
                <w:color w:val="auto"/>
                <w:sz w:val="24"/>
                <w:highlight w:val="none"/>
              </w:rPr>
            </w:pPr>
            <w:r>
              <w:rPr>
                <w:rFonts w:hint="eastAsia" w:ascii="宋体" w:hAnsi="宋体" w:eastAsia="宋体" w:cs="宋体"/>
                <w:color w:val="auto"/>
                <w:kern w:val="0"/>
                <w:sz w:val="24"/>
                <w:highlight w:val="none"/>
              </w:rPr>
              <w:t>信息</w:t>
            </w: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02DD95">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贷款合同编号</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23EFFB">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CA566E">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合同金额</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0163F5">
            <w:pPr>
              <w:spacing w:beforeAutospacing="0" w:afterAutospacing="0" w:line="360" w:lineRule="exact"/>
              <w:rPr>
                <w:rFonts w:ascii="宋体" w:hAnsi="宋体" w:eastAsia="宋体" w:cs="宋体"/>
                <w:color w:val="auto"/>
                <w:szCs w:val="21"/>
                <w:highlight w:val="none"/>
              </w:rPr>
            </w:pPr>
          </w:p>
        </w:tc>
      </w:tr>
      <w:tr w14:paraId="23CCE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851EF4">
            <w:pPr>
              <w:spacing w:beforeAutospacing="0" w:afterAutospacing="0" w:line="360" w:lineRule="exact"/>
              <w:jc w:val="center"/>
              <w:rPr>
                <w:rFonts w:ascii="宋体" w:hAnsi="宋体" w:eastAsia="宋体" w:cs="宋体"/>
                <w:color w:val="auto"/>
                <w:sz w:val="24"/>
                <w:highlight w:val="none"/>
              </w:rPr>
            </w:pP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8F2ECF">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贷款种类</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C79527">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8DAD63">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担保方式</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BBCC25">
            <w:pPr>
              <w:spacing w:beforeAutospacing="0" w:afterAutospacing="0" w:line="360" w:lineRule="exact"/>
              <w:rPr>
                <w:rFonts w:ascii="宋体" w:hAnsi="宋体" w:eastAsia="宋体" w:cs="宋体"/>
                <w:color w:val="auto"/>
                <w:szCs w:val="21"/>
                <w:highlight w:val="none"/>
              </w:rPr>
            </w:pPr>
          </w:p>
        </w:tc>
      </w:tr>
      <w:tr w14:paraId="37DE3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10A1F1">
            <w:pPr>
              <w:spacing w:beforeAutospacing="0" w:afterAutospacing="0" w:line="360" w:lineRule="exact"/>
              <w:jc w:val="center"/>
              <w:rPr>
                <w:rFonts w:ascii="宋体" w:hAnsi="宋体" w:eastAsia="宋体" w:cs="宋体"/>
                <w:color w:val="auto"/>
                <w:sz w:val="24"/>
                <w:highlight w:val="none"/>
              </w:rPr>
            </w:pP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28B61D">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贷款发放日</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0B737F">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32A201">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贷款期限</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FD5BDA">
            <w:pPr>
              <w:spacing w:beforeAutospacing="0" w:afterAutospacing="0" w:line="360" w:lineRule="exact"/>
              <w:rPr>
                <w:rFonts w:ascii="宋体" w:hAnsi="宋体" w:eastAsia="宋体" w:cs="宋体"/>
                <w:color w:val="auto"/>
                <w:szCs w:val="21"/>
                <w:highlight w:val="none"/>
              </w:rPr>
            </w:pPr>
          </w:p>
        </w:tc>
      </w:tr>
      <w:tr w14:paraId="11F18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43E805">
            <w:pPr>
              <w:spacing w:beforeAutospacing="0" w:afterAutospacing="0" w:line="360" w:lineRule="exact"/>
              <w:jc w:val="center"/>
              <w:rPr>
                <w:rFonts w:ascii="宋体" w:hAnsi="宋体" w:eastAsia="宋体" w:cs="宋体"/>
                <w:color w:val="auto"/>
                <w:sz w:val="24"/>
                <w:highlight w:val="none"/>
              </w:rPr>
            </w:pP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F35DBB">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贷款用途</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8CA418">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448D99">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是否属于首笔贷款</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131C21">
            <w:pPr>
              <w:spacing w:beforeAutospacing="0" w:afterAutospacing="0" w:line="360" w:lineRule="exact"/>
              <w:rPr>
                <w:rFonts w:ascii="宋体" w:hAnsi="宋体" w:eastAsia="宋体" w:cs="宋体"/>
                <w:color w:val="auto"/>
                <w:szCs w:val="21"/>
                <w:highlight w:val="none"/>
              </w:rPr>
            </w:pPr>
          </w:p>
        </w:tc>
      </w:tr>
      <w:tr w14:paraId="065EC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6"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938866">
            <w:pPr>
              <w:spacing w:beforeAutospacing="0" w:afterAutospacing="0" w:line="360" w:lineRule="exact"/>
              <w:jc w:val="center"/>
              <w:rPr>
                <w:rFonts w:ascii="宋体" w:hAnsi="宋体" w:eastAsia="宋体" w:cs="宋体"/>
                <w:color w:val="auto"/>
                <w:sz w:val="24"/>
                <w:highlight w:val="none"/>
              </w:rPr>
            </w:pPr>
          </w:p>
        </w:tc>
        <w:tc>
          <w:tcPr>
            <w:tcW w:w="6385"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698796">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是否为房地产公司贷款、融资平台公司贷款、非生产经营性固定资产投资项目贷款：</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FB07F6">
            <w:pPr>
              <w:spacing w:beforeAutospacing="0" w:afterAutospacing="0" w:line="360" w:lineRule="exact"/>
              <w:rPr>
                <w:rFonts w:ascii="宋体" w:hAnsi="宋体" w:eastAsia="宋体" w:cs="宋体"/>
                <w:color w:val="auto"/>
                <w:szCs w:val="21"/>
                <w:highlight w:val="none"/>
              </w:rPr>
            </w:pPr>
          </w:p>
        </w:tc>
      </w:tr>
      <w:tr w14:paraId="6ACA7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82A861">
            <w:pPr>
              <w:spacing w:beforeAutospacing="0" w:afterAutospacing="0" w:line="360" w:lineRule="exact"/>
              <w:jc w:val="center"/>
              <w:rPr>
                <w:rFonts w:ascii="宋体" w:hAnsi="宋体" w:eastAsia="宋体" w:cs="宋体"/>
                <w:color w:val="auto"/>
                <w:sz w:val="24"/>
                <w:highlight w:val="none"/>
              </w:rPr>
            </w:pPr>
          </w:p>
        </w:tc>
        <w:tc>
          <w:tcPr>
            <w:tcW w:w="888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12815D">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cs="宋体"/>
                <w:color w:val="auto"/>
                <w:kern w:val="0"/>
                <w:szCs w:val="21"/>
                <w:highlight w:val="none"/>
                <w:lang w:eastAsia="zh-CN"/>
              </w:rPr>
              <w:t>对该企业授信总额</w:t>
            </w:r>
            <w:r>
              <w:rPr>
                <w:rFonts w:hint="eastAsia" w:ascii="宋体" w:hAnsi="宋体" w:eastAsia="宋体" w:cs="宋体"/>
                <w:color w:val="auto"/>
                <w:kern w:val="0"/>
                <w:szCs w:val="21"/>
                <w:highlight w:val="none"/>
              </w:rPr>
              <w:t>：</w:t>
            </w:r>
          </w:p>
        </w:tc>
      </w:tr>
      <w:tr w14:paraId="2955A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8C03F2">
            <w:pPr>
              <w:spacing w:beforeAutospacing="0" w:afterAutospacing="0" w:line="360" w:lineRule="exact"/>
              <w:jc w:val="center"/>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申请</w:t>
            </w:r>
          </w:p>
          <w:p w14:paraId="79BFAEEC">
            <w:pPr>
              <w:spacing w:beforeAutospacing="0" w:afterAutospacing="0" w:line="360" w:lineRule="exact"/>
              <w:jc w:val="center"/>
              <w:textAlignment w:val="center"/>
              <w:rPr>
                <w:rFonts w:ascii="宋体" w:hAnsi="宋体" w:eastAsia="宋体" w:cs="宋体"/>
                <w:color w:val="auto"/>
                <w:sz w:val="24"/>
                <w:highlight w:val="none"/>
              </w:rPr>
            </w:pPr>
            <w:r>
              <w:rPr>
                <w:rFonts w:hint="eastAsia" w:ascii="宋体" w:hAnsi="宋体" w:eastAsia="宋体" w:cs="宋体"/>
                <w:color w:val="auto"/>
                <w:kern w:val="0"/>
                <w:sz w:val="24"/>
                <w:highlight w:val="none"/>
              </w:rPr>
              <w:t>信息</w:t>
            </w: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CE1039">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申请补偿金额</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198831">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353C8A">
            <w:pPr>
              <w:adjustRightInd/>
              <w:spacing w:beforeAutospacing="0" w:afterAutospacing="0" w:line="300" w:lineRule="exact"/>
              <w:jc w:val="both"/>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贷款</w:t>
            </w:r>
            <w:r>
              <w:rPr>
                <w:rFonts w:hint="eastAsia" w:ascii="宋体" w:hAnsi="宋体" w:cs="宋体"/>
                <w:color w:val="auto"/>
                <w:kern w:val="0"/>
                <w:szCs w:val="21"/>
                <w:highlight w:val="none"/>
                <w:lang w:eastAsia="zh-CN"/>
              </w:rPr>
              <w:t>本金</w:t>
            </w:r>
            <w:r>
              <w:rPr>
                <w:rFonts w:hint="eastAsia" w:ascii="宋体" w:hAnsi="宋体" w:eastAsia="宋体" w:cs="宋体"/>
                <w:color w:val="auto"/>
                <w:kern w:val="0"/>
                <w:szCs w:val="21"/>
                <w:highlight w:val="none"/>
              </w:rPr>
              <w:t>是否已逾期超过</w:t>
            </w:r>
            <w:r>
              <w:rPr>
                <w:rFonts w:hint="eastAsia" w:ascii="宋体" w:hAnsi="宋体" w:cs="宋体"/>
                <w:color w:val="auto"/>
                <w:kern w:val="0"/>
                <w:szCs w:val="21"/>
                <w:highlight w:val="none"/>
                <w:lang w:val="en-US" w:eastAsia="zh-CN"/>
              </w:rPr>
              <w:t>180</w:t>
            </w:r>
            <w:r>
              <w:rPr>
                <w:rFonts w:hint="eastAsia" w:ascii="宋体" w:hAnsi="宋体" w:eastAsia="宋体" w:cs="宋体"/>
                <w:color w:val="auto"/>
                <w:kern w:val="0"/>
                <w:szCs w:val="21"/>
                <w:highlight w:val="none"/>
              </w:rPr>
              <w:t>天，且</w:t>
            </w:r>
            <w:r>
              <w:rPr>
                <w:rFonts w:hint="eastAsia" w:ascii="宋体" w:hAnsi="宋体" w:cs="宋体"/>
                <w:color w:val="auto"/>
                <w:kern w:val="0"/>
                <w:szCs w:val="21"/>
                <w:highlight w:val="none"/>
                <w:lang w:eastAsia="zh-CN"/>
              </w:rPr>
              <w:t>启动法律程序</w:t>
            </w:r>
            <w:r>
              <w:rPr>
                <w:rFonts w:hint="eastAsia" w:ascii="宋体" w:hAnsi="宋体" w:eastAsia="宋体" w:cs="宋体"/>
                <w:color w:val="auto"/>
                <w:kern w:val="0"/>
                <w:szCs w:val="21"/>
                <w:highlight w:val="none"/>
              </w:rPr>
              <w:t>：</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E12195">
            <w:pPr>
              <w:spacing w:beforeAutospacing="0" w:afterAutospacing="0" w:line="360" w:lineRule="exact"/>
              <w:rPr>
                <w:rFonts w:ascii="宋体" w:hAnsi="宋体" w:eastAsia="宋体" w:cs="宋体"/>
                <w:color w:val="auto"/>
                <w:szCs w:val="21"/>
                <w:highlight w:val="none"/>
              </w:rPr>
            </w:pPr>
          </w:p>
        </w:tc>
      </w:tr>
      <w:tr w14:paraId="41E24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70882C">
            <w:pPr>
              <w:spacing w:beforeAutospacing="0" w:afterAutospacing="0" w:line="360" w:lineRule="exact"/>
              <w:jc w:val="center"/>
              <w:rPr>
                <w:rFonts w:ascii="宋体" w:hAnsi="宋体" w:eastAsia="宋体" w:cs="宋体"/>
                <w:color w:val="auto"/>
                <w:sz w:val="24"/>
                <w:highlight w:val="none"/>
              </w:rPr>
            </w:pPr>
          </w:p>
        </w:tc>
        <w:tc>
          <w:tcPr>
            <w:tcW w:w="197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CA4CFC">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坏账损失（本金）</w:t>
            </w:r>
          </w:p>
        </w:tc>
        <w:tc>
          <w:tcPr>
            <w:tcW w:w="250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AAF5BE">
            <w:pPr>
              <w:spacing w:beforeAutospacing="0" w:afterAutospacing="0" w:line="360" w:lineRule="exact"/>
              <w:rPr>
                <w:rFonts w:ascii="宋体" w:hAnsi="宋体" w:eastAsia="宋体" w:cs="宋体"/>
                <w:color w:val="auto"/>
                <w:szCs w:val="21"/>
                <w:highlight w:val="none"/>
              </w:rPr>
            </w:pPr>
          </w:p>
        </w:tc>
        <w:tc>
          <w:tcPr>
            <w:tcW w:w="190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902649">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坏账损失（利息）</w:t>
            </w:r>
          </w:p>
        </w:tc>
        <w:tc>
          <w:tcPr>
            <w:tcW w:w="249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AAA0B1">
            <w:pPr>
              <w:spacing w:beforeAutospacing="0" w:afterAutospacing="0" w:line="360" w:lineRule="exact"/>
              <w:rPr>
                <w:rFonts w:ascii="宋体" w:hAnsi="宋体" w:eastAsia="宋体" w:cs="宋体"/>
                <w:color w:val="auto"/>
                <w:szCs w:val="21"/>
                <w:highlight w:val="none"/>
              </w:rPr>
            </w:pPr>
          </w:p>
        </w:tc>
      </w:tr>
      <w:tr w14:paraId="687B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D0FB11">
            <w:pPr>
              <w:spacing w:beforeAutospacing="0" w:afterAutospacing="0" w:line="360" w:lineRule="exact"/>
              <w:jc w:val="center"/>
              <w:rPr>
                <w:rFonts w:ascii="宋体" w:hAnsi="宋体" w:eastAsia="宋体" w:cs="宋体"/>
                <w:color w:val="auto"/>
                <w:sz w:val="24"/>
                <w:highlight w:val="none"/>
              </w:rPr>
            </w:pPr>
          </w:p>
        </w:tc>
        <w:tc>
          <w:tcPr>
            <w:tcW w:w="1979"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8D42F6">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是否符合补偿标准及坏账损失情况介绍：</w:t>
            </w:r>
          </w:p>
        </w:tc>
        <w:tc>
          <w:tcPr>
            <w:tcW w:w="6901" w:type="dxa"/>
            <w:gridSpan w:val="3"/>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4A5CB8">
            <w:pPr>
              <w:spacing w:beforeAutospacing="0" w:afterAutospacing="0" w:line="360" w:lineRule="exact"/>
              <w:rPr>
                <w:rFonts w:ascii="宋体" w:hAnsi="宋体" w:eastAsia="宋体" w:cs="宋体"/>
                <w:color w:val="auto"/>
                <w:szCs w:val="21"/>
                <w:highlight w:val="none"/>
              </w:rPr>
            </w:pPr>
          </w:p>
        </w:tc>
      </w:tr>
      <w:tr w14:paraId="3E4C9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F123B3">
            <w:pPr>
              <w:spacing w:beforeAutospacing="0" w:afterAutospacing="0" w:line="360" w:lineRule="exact"/>
              <w:jc w:val="center"/>
              <w:rPr>
                <w:rFonts w:ascii="宋体" w:hAnsi="宋体" w:eastAsia="宋体" w:cs="宋体"/>
                <w:color w:val="auto"/>
                <w:sz w:val="24"/>
                <w:highlight w:val="none"/>
              </w:rPr>
            </w:pPr>
          </w:p>
        </w:tc>
        <w:tc>
          <w:tcPr>
            <w:tcW w:w="1979" w:type="dxa"/>
            <w:vMerge w:val="continue"/>
            <w:tcBorders>
              <w:left w:val="single" w:color="000000" w:sz="4" w:space="0"/>
              <w:right w:val="single" w:color="000000" w:sz="4" w:space="0"/>
            </w:tcBorders>
            <w:noWrap w:val="0"/>
            <w:tcMar>
              <w:top w:w="12" w:type="dxa"/>
              <w:left w:w="12" w:type="dxa"/>
              <w:right w:w="12" w:type="dxa"/>
            </w:tcMar>
            <w:vAlign w:val="center"/>
          </w:tcPr>
          <w:p w14:paraId="62C98BA4">
            <w:pPr>
              <w:spacing w:beforeAutospacing="0" w:afterAutospacing="0" w:line="360" w:lineRule="exact"/>
              <w:jc w:val="left"/>
              <w:textAlignment w:val="center"/>
              <w:rPr>
                <w:rFonts w:hint="eastAsia" w:ascii="宋体" w:hAnsi="宋体" w:eastAsia="宋体" w:cs="宋体"/>
                <w:color w:val="auto"/>
                <w:kern w:val="0"/>
                <w:szCs w:val="21"/>
                <w:highlight w:val="none"/>
              </w:rPr>
            </w:pPr>
          </w:p>
        </w:tc>
        <w:tc>
          <w:tcPr>
            <w:tcW w:w="6901" w:type="dxa"/>
            <w:gridSpan w:val="3"/>
            <w:vMerge w:val="continue"/>
            <w:tcBorders>
              <w:left w:val="single" w:color="000000" w:sz="4" w:space="0"/>
              <w:right w:val="single" w:color="000000" w:sz="4" w:space="0"/>
            </w:tcBorders>
            <w:noWrap w:val="0"/>
            <w:tcMar>
              <w:top w:w="12" w:type="dxa"/>
              <w:left w:w="12" w:type="dxa"/>
              <w:right w:w="12" w:type="dxa"/>
            </w:tcMar>
            <w:vAlign w:val="center"/>
          </w:tcPr>
          <w:p w14:paraId="7DE867CC">
            <w:pPr>
              <w:spacing w:beforeAutospacing="0" w:afterAutospacing="0" w:line="360" w:lineRule="exact"/>
              <w:rPr>
                <w:rFonts w:ascii="宋体" w:hAnsi="宋体" w:eastAsia="宋体" w:cs="宋体"/>
                <w:color w:val="auto"/>
                <w:szCs w:val="21"/>
                <w:highlight w:val="none"/>
              </w:rPr>
            </w:pPr>
          </w:p>
        </w:tc>
      </w:tr>
      <w:tr w14:paraId="70D6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jc w:val="center"/>
        </w:trPr>
        <w:tc>
          <w:tcPr>
            <w:tcW w:w="7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666EB6">
            <w:pPr>
              <w:spacing w:beforeAutospacing="0" w:afterAutospacing="0" w:line="360" w:lineRule="exact"/>
              <w:jc w:val="center"/>
              <w:rPr>
                <w:rFonts w:ascii="宋体" w:hAnsi="宋体" w:eastAsia="宋体" w:cs="宋体"/>
                <w:color w:val="auto"/>
                <w:sz w:val="24"/>
                <w:highlight w:val="none"/>
              </w:rPr>
            </w:pPr>
          </w:p>
        </w:tc>
        <w:tc>
          <w:tcPr>
            <w:tcW w:w="197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3EBBD7">
            <w:pPr>
              <w:spacing w:beforeAutospacing="0" w:afterAutospacing="0" w:line="360" w:lineRule="exact"/>
              <w:rPr>
                <w:rFonts w:ascii="宋体" w:hAnsi="宋体" w:eastAsia="宋体" w:cs="宋体"/>
                <w:color w:val="auto"/>
                <w:szCs w:val="21"/>
                <w:highlight w:val="none"/>
              </w:rPr>
            </w:pPr>
          </w:p>
        </w:tc>
        <w:tc>
          <w:tcPr>
            <w:tcW w:w="6901" w:type="dxa"/>
            <w:gridSpan w:val="3"/>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88FCA3">
            <w:pPr>
              <w:spacing w:beforeAutospacing="0" w:afterAutospacing="0" w:line="360" w:lineRule="exact"/>
              <w:rPr>
                <w:rFonts w:ascii="宋体" w:hAnsi="宋体" w:eastAsia="宋体" w:cs="宋体"/>
                <w:color w:val="auto"/>
                <w:szCs w:val="21"/>
                <w:highlight w:val="none"/>
              </w:rPr>
            </w:pPr>
          </w:p>
        </w:tc>
      </w:tr>
      <w:tr w14:paraId="4F847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1" w:hRule="atLeast"/>
          <w:jc w:val="center"/>
        </w:trPr>
        <w:tc>
          <w:tcPr>
            <w:tcW w:w="7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99ECF0">
            <w:pPr>
              <w:spacing w:beforeAutospacing="0" w:afterAutospacing="0" w:line="360" w:lineRule="exact"/>
              <w:jc w:val="center"/>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审核</w:t>
            </w:r>
          </w:p>
          <w:p w14:paraId="0D035EE3">
            <w:pPr>
              <w:spacing w:beforeAutospacing="0" w:afterAutospacing="0" w:line="360" w:lineRule="exact"/>
              <w:jc w:val="center"/>
              <w:textAlignment w:val="center"/>
              <w:rPr>
                <w:rFonts w:ascii="宋体" w:hAnsi="宋体" w:eastAsia="宋体" w:cs="宋体"/>
                <w:color w:val="auto"/>
                <w:sz w:val="24"/>
                <w:highlight w:val="none"/>
              </w:rPr>
            </w:pPr>
            <w:r>
              <w:rPr>
                <w:rFonts w:hint="eastAsia" w:ascii="宋体" w:hAnsi="宋体" w:eastAsia="宋体" w:cs="宋体"/>
                <w:color w:val="auto"/>
                <w:kern w:val="0"/>
                <w:sz w:val="24"/>
                <w:highlight w:val="none"/>
              </w:rPr>
              <w:t>意见</w:t>
            </w:r>
          </w:p>
        </w:tc>
        <w:tc>
          <w:tcPr>
            <w:tcW w:w="888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C3FB00">
            <w:pPr>
              <w:spacing w:beforeAutospacing="0" w:afterAutospacing="0" w:line="360" w:lineRule="exact"/>
              <w:ind w:firstLine="420" w:firstLineChars="200"/>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经审核，____（同意/不同意）给予该笔贷款风险补偿，补偿比例为</w:t>
            </w:r>
            <w:r>
              <w:rPr>
                <w:rFonts w:hint="eastAsia" w:ascii="宋体" w:hAnsi="宋体" w:cs="宋体"/>
                <w:color w:val="auto"/>
                <w:kern w:val="0"/>
                <w:szCs w:val="21"/>
                <w:highlight w:val="none"/>
                <w:lang w:eastAsia="zh-CN"/>
              </w:rPr>
              <w:t>不良贷款本金损失额的</w:t>
            </w:r>
            <w:r>
              <w:rPr>
                <w:rFonts w:hint="eastAsia" w:ascii="宋体" w:hAnsi="宋体" w:eastAsia="宋体" w:cs="宋体"/>
                <w:color w:val="auto"/>
                <w:kern w:val="0"/>
                <w:szCs w:val="21"/>
                <w:highlight w:val="none"/>
              </w:rPr>
              <w:t>___,补偿金额为_______</w:t>
            </w:r>
            <w:r>
              <w:rPr>
                <w:rFonts w:hint="eastAsia" w:ascii="宋体" w:hAnsi="宋体" w:cs="宋体"/>
                <w:color w:val="auto"/>
                <w:kern w:val="0"/>
                <w:szCs w:val="21"/>
                <w:highlight w:val="none"/>
                <w:lang w:eastAsia="zh-CN"/>
              </w:rPr>
              <w:t>万</w:t>
            </w:r>
            <w:r>
              <w:rPr>
                <w:rFonts w:hint="eastAsia" w:ascii="宋体" w:hAnsi="宋体" w:eastAsia="宋体" w:cs="宋体"/>
                <w:color w:val="auto"/>
                <w:kern w:val="0"/>
                <w:szCs w:val="21"/>
                <w:highlight w:val="none"/>
              </w:rPr>
              <w:t xml:space="preserve">元。                                                                                   </w:t>
            </w:r>
          </w:p>
          <w:p w14:paraId="52ECB4EE">
            <w:pPr>
              <w:spacing w:beforeAutospacing="0" w:afterAutospacing="0" w:line="360" w:lineRule="exact"/>
              <w:ind w:firstLine="3780" w:firstLineChars="1800"/>
              <w:jc w:val="left"/>
              <w:textAlignment w:val="center"/>
              <w:rPr>
                <w:rFonts w:ascii="宋体" w:hAnsi="宋体" w:eastAsia="宋体" w:cs="宋体"/>
                <w:color w:val="auto"/>
                <w:szCs w:val="21"/>
                <w:highlight w:val="none"/>
              </w:rPr>
            </w:pPr>
            <w:r>
              <w:rPr>
                <w:rFonts w:hint="eastAsia" w:ascii="宋体" w:hAnsi="宋体" w:cs="宋体"/>
                <w:color w:val="auto"/>
                <w:kern w:val="0"/>
                <w:szCs w:val="21"/>
                <w:highlight w:val="none"/>
                <w:lang w:eastAsia="zh-CN"/>
              </w:rPr>
              <w:t>审核单位盖章</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（县政府办公室、县科工局）</w:t>
            </w:r>
          </w:p>
          <w:p w14:paraId="2A64679E">
            <w:pPr>
              <w:spacing w:beforeAutospacing="0" w:afterAutospacing="0" w:line="360" w:lineRule="exact"/>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w:t>
            </w:r>
            <w:r>
              <w:rPr>
                <w:rFonts w:hint="eastAsia" w:ascii="宋体" w:hAnsi="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年  </w:t>
            </w:r>
            <w:r>
              <w:rPr>
                <w:rFonts w:hint="eastAsia" w:ascii="宋体" w:hAnsi="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月   </w:t>
            </w:r>
            <w:r>
              <w:rPr>
                <w:rFonts w:hint="eastAsia" w:ascii="宋体" w:hAnsi="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日</w:t>
            </w:r>
          </w:p>
        </w:tc>
      </w:tr>
    </w:tbl>
    <w:p w14:paraId="0F6677FA">
      <w:pPr>
        <w:spacing w:beforeAutospacing="0" w:afterAutospacing="0" w:line="600"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00498A7F">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
          <w:bCs/>
          <w:color w:val="auto"/>
          <w:spacing w:val="-3"/>
          <w:sz w:val="44"/>
          <w:szCs w:val="44"/>
          <w:highlight w:val="none"/>
          <w:lang w:val="en-US" w:eastAsia="zh-CN"/>
        </w:rPr>
      </w:pPr>
    </w:p>
    <w:p w14:paraId="1B363D0F">
      <w:pPr>
        <w:spacing w:beforeAutospacing="0" w:afterAutospacing="0" w:line="600" w:lineRule="exact"/>
        <w:jc w:val="center"/>
        <w:rPr>
          <w:rFonts w:hint="eastAsia" w:ascii="方正小标宋简体" w:hAnsi="方正小标宋简体" w:eastAsia="方正小标宋简体" w:cs="方正小标宋简体"/>
          <w:b w:val="0"/>
          <w:bCs w:val="0"/>
          <w:color w:val="auto"/>
          <w:spacing w:val="-3"/>
          <w:sz w:val="44"/>
          <w:szCs w:val="44"/>
          <w:highlight w:val="none"/>
        </w:rPr>
      </w:pPr>
      <w:r>
        <w:rPr>
          <w:rFonts w:hint="eastAsia" w:ascii="方正小标宋简体" w:hAnsi="方正小标宋简体" w:eastAsia="方正小标宋简体" w:cs="方正小标宋简体"/>
          <w:b w:val="0"/>
          <w:bCs w:val="0"/>
          <w:color w:val="auto"/>
          <w:spacing w:val="-3"/>
          <w:sz w:val="44"/>
          <w:szCs w:val="44"/>
          <w:highlight w:val="none"/>
          <w:lang w:val="en-US" w:eastAsia="zh-CN"/>
        </w:rPr>
        <w:t>正定县小微企业</w:t>
      </w:r>
      <w:r>
        <w:rPr>
          <w:rFonts w:hint="eastAsia" w:ascii="方正小标宋简体" w:hAnsi="方正小标宋简体" w:eastAsia="方正小标宋简体" w:cs="方正小标宋简体"/>
          <w:b w:val="0"/>
          <w:bCs w:val="0"/>
          <w:color w:val="auto"/>
          <w:spacing w:val="-3"/>
          <w:sz w:val="44"/>
          <w:szCs w:val="44"/>
          <w:highlight w:val="none"/>
        </w:rPr>
        <w:t>贷款风险补偿金申请承诺书</w:t>
      </w:r>
    </w:p>
    <w:p w14:paraId="101AF8F0">
      <w:pPr>
        <w:spacing w:beforeAutospacing="0" w:afterAutospacing="0" w:line="600" w:lineRule="exact"/>
        <w:rPr>
          <w:rFonts w:ascii="仿宋_GB2312" w:hAnsi="仿宋_GB2312" w:eastAsia="仿宋_GB2312" w:cs="仿宋_GB2312"/>
          <w:color w:val="auto"/>
          <w:sz w:val="32"/>
          <w:szCs w:val="32"/>
          <w:highlight w:val="none"/>
        </w:rPr>
      </w:pPr>
    </w:p>
    <w:p w14:paraId="2AF64BFD">
      <w:pPr>
        <w:spacing w:beforeAutospacing="0" w:afterAutospacing="0" w:line="60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正定县人民政府办公室/</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科学技术和工业信息化局</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w:t>
      </w:r>
    </w:p>
    <w:p w14:paraId="3B2BC61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val="en-US" w:eastAsia="zh-CN"/>
        </w:rPr>
        <w:t>正定县小微企业贷款风险补偿资金管理办法（试行）</w:t>
      </w:r>
      <w:r>
        <w:rPr>
          <w:rFonts w:ascii="仿宋_GB2312" w:hAnsi="仿宋_GB2312" w:eastAsia="仿宋_GB2312" w:cs="仿宋_GB2312"/>
          <w:color w:val="auto"/>
          <w:sz w:val="32"/>
          <w:szCs w:val="32"/>
          <w:highlight w:val="none"/>
        </w:rPr>
        <w:t>》有关规定，</w:t>
      </w:r>
      <w:r>
        <w:rPr>
          <w:rFonts w:hint="eastAsia" w:ascii="仿宋_GB2312" w:hAnsi="仿宋_GB2312" w:eastAsia="仿宋_GB2312" w:cs="仿宋_GB2312"/>
          <w:color w:val="auto"/>
          <w:sz w:val="32"/>
          <w:szCs w:val="32"/>
          <w:highlight w:val="none"/>
          <w:lang w:eastAsia="zh-CN"/>
        </w:rPr>
        <w:t>本机构</w:t>
      </w:r>
      <w:r>
        <w:rPr>
          <w:rFonts w:ascii="仿宋_GB2312" w:hAnsi="仿宋_GB2312" w:eastAsia="仿宋_GB2312" w:cs="仿宋_GB2312"/>
          <w:color w:val="auto"/>
          <w:sz w:val="32"/>
          <w:szCs w:val="32"/>
          <w:highlight w:val="none"/>
        </w:rPr>
        <w:t>郑重承诺如下：</w:t>
      </w:r>
    </w:p>
    <w:p w14:paraId="1D293182">
      <w:pPr>
        <w:spacing w:beforeAutospacing="0" w:afterAutospacing="0"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ascii="仿宋_GB2312" w:hAnsi="仿宋_GB2312" w:eastAsia="仿宋_GB2312" w:cs="仿宋_GB2312"/>
          <w:color w:val="auto"/>
          <w:sz w:val="32"/>
          <w:szCs w:val="32"/>
          <w:highlight w:val="none"/>
        </w:rPr>
        <w:t>本机构将严格遵守国家法律、法规、规章以及《</w:t>
      </w:r>
      <w:r>
        <w:rPr>
          <w:rFonts w:hint="eastAsia" w:ascii="仿宋_GB2312" w:hAnsi="仿宋_GB2312" w:eastAsia="仿宋_GB2312" w:cs="仿宋_GB2312"/>
          <w:color w:val="auto"/>
          <w:sz w:val="32"/>
          <w:szCs w:val="32"/>
          <w:highlight w:val="none"/>
          <w:lang w:eastAsia="zh-CN"/>
        </w:rPr>
        <w:t>正定县</w:t>
      </w:r>
      <w:r>
        <w:rPr>
          <w:rFonts w:hint="eastAsia" w:ascii="仿宋_GB2312" w:hAnsi="仿宋_GB2312" w:eastAsia="仿宋_GB2312" w:cs="仿宋_GB2312"/>
          <w:color w:val="auto"/>
          <w:sz w:val="32"/>
          <w:szCs w:val="32"/>
          <w:highlight w:val="none"/>
          <w:lang w:val="en-US" w:eastAsia="zh-CN"/>
        </w:rPr>
        <w:t>小微企业贷款风险补偿资金管理办法（试行）</w:t>
      </w:r>
      <w:r>
        <w:rPr>
          <w:rFonts w:ascii="仿宋_GB2312" w:hAnsi="仿宋_GB2312" w:eastAsia="仿宋_GB2312" w:cs="仿宋_GB2312"/>
          <w:color w:val="auto"/>
          <w:sz w:val="32"/>
          <w:szCs w:val="32"/>
          <w:highlight w:val="none"/>
        </w:rPr>
        <w:t>》的规定。</w:t>
      </w:r>
    </w:p>
    <w:p w14:paraId="6A73DA56">
      <w:pPr>
        <w:spacing w:beforeAutospacing="0" w:afterAutospacing="0" w:line="60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w:t>
      </w:r>
      <w:r>
        <w:rPr>
          <w:rFonts w:ascii="仿宋_GB2312" w:hAnsi="仿宋_GB2312" w:eastAsia="仿宋_GB2312" w:cs="仿宋_GB2312"/>
          <w:color w:val="auto"/>
          <w:sz w:val="32"/>
          <w:szCs w:val="32"/>
          <w:highlight w:val="none"/>
        </w:rPr>
        <w:t>本机构申请风险补偿金的材料真实、完整、准确</w:t>
      </w:r>
      <w:r>
        <w:rPr>
          <w:rFonts w:hint="eastAsia" w:ascii="仿宋_GB2312" w:hAnsi="仿宋_GB2312" w:eastAsia="仿宋_GB2312" w:cs="仿宋_GB2312"/>
          <w:color w:val="auto"/>
          <w:sz w:val="32"/>
          <w:szCs w:val="32"/>
          <w:highlight w:val="none"/>
          <w:lang w:eastAsia="zh-CN"/>
        </w:rPr>
        <w:t>。</w:t>
      </w:r>
    </w:p>
    <w:p w14:paraId="490A793F">
      <w:pPr>
        <w:spacing w:beforeAutospacing="0" w:afterAutospacing="0" w:line="60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三、</w:t>
      </w:r>
      <w:r>
        <w:rPr>
          <w:rFonts w:ascii="仿宋_GB2312" w:hAnsi="仿宋_GB2312" w:eastAsia="仿宋_GB2312" w:cs="仿宋_GB2312"/>
          <w:color w:val="auto"/>
          <w:sz w:val="32"/>
          <w:szCs w:val="32"/>
          <w:highlight w:val="none"/>
        </w:rPr>
        <w:t>本次申请符合《</w:t>
      </w:r>
      <w:r>
        <w:rPr>
          <w:rFonts w:hint="eastAsia" w:ascii="仿宋_GB2312" w:hAnsi="仿宋_GB2312" w:eastAsia="仿宋_GB2312" w:cs="仿宋_GB2312"/>
          <w:color w:val="auto"/>
          <w:sz w:val="32"/>
          <w:szCs w:val="32"/>
          <w:highlight w:val="none"/>
          <w:lang w:val="en-US" w:eastAsia="zh-CN"/>
        </w:rPr>
        <w:t>正定县小微企业贷款风险补偿资金管理办法（试行）</w:t>
      </w:r>
      <w:r>
        <w:rPr>
          <w:rFonts w:ascii="仿宋_GB2312" w:hAnsi="仿宋_GB2312" w:eastAsia="仿宋_GB2312" w:cs="仿宋_GB2312"/>
          <w:color w:val="auto"/>
          <w:sz w:val="32"/>
          <w:szCs w:val="32"/>
          <w:highlight w:val="none"/>
        </w:rPr>
        <w:t>》的有关申请条件，不存在弄虚作假或与企业合谋骗贷、套取风险补偿金的行为</w:t>
      </w:r>
      <w:r>
        <w:rPr>
          <w:rFonts w:hint="eastAsia" w:ascii="仿宋_GB2312" w:hAnsi="仿宋_GB2312" w:eastAsia="仿宋_GB2312" w:cs="仿宋_GB2312"/>
          <w:color w:val="auto"/>
          <w:sz w:val="32"/>
          <w:szCs w:val="32"/>
          <w:highlight w:val="none"/>
          <w:lang w:eastAsia="zh-CN"/>
        </w:rPr>
        <w:t>。</w:t>
      </w:r>
    </w:p>
    <w:p w14:paraId="13BF59A9">
      <w:pPr>
        <w:spacing w:beforeAutospacing="0" w:afterAutospacing="0" w:line="600" w:lineRule="exact"/>
        <w:ind w:firstLine="640" w:firstLineChars="200"/>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本机构将严格遵守本承诺，如有违反，愿意</w:t>
      </w:r>
      <w:r>
        <w:rPr>
          <w:rFonts w:hint="eastAsia" w:ascii="仿宋_GB2312" w:hAnsi="仿宋_GB2312" w:eastAsia="仿宋_GB2312" w:cs="仿宋_GB2312"/>
          <w:color w:val="auto"/>
          <w:sz w:val="32"/>
          <w:szCs w:val="32"/>
          <w:highlight w:val="none"/>
          <w:lang w:val="en-US" w:eastAsia="zh-CN"/>
        </w:rPr>
        <w:t>承担</w:t>
      </w:r>
      <w:r>
        <w:rPr>
          <w:rFonts w:ascii="仿宋_GB2312" w:hAnsi="仿宋_GB2312" w:eastAsia="仿宋_GB2312" w:cs="仿宋_GB2312"/>
          <w:color w:val="auto"/>
          <w:sz w:val="32"/>
          <w:szCs w:val="32"/>
          <w:highlight w:val="none"/>
        </w:rPr>
        <w:t>相应的法律责任。</w:t>
      </w:r>
    </w:p>
    <w:p w14:paraId="6F5F9DDB">
      <w:pPr>
        <w:spacing w:beforeAutospacing="0" w:afterAutospacing="0" w:line="600" w:lineRule="exact"/>
        <w:rPr>
          <w:rFonts w:ascii="仿宋_GB2312" w:hAnsi="仿宋_GB2312" w:eastAsia="仿宋_GB2312" w:cs="仿宋_GB2312"/>
          <w:color w:val="auto"/>
          <w:sz w:val="32"/>
          <w:szCs w:val="32"/>
          <w:highlight w:val="none"/>
        </w:rPr>
      </w:pPr>
    </w:p>
    <w:p w14:paraId="7EB339E7">
      <w:pPr>
        <w:spacing w:beforeAutospacing="0" w:afterAutospacing="0" w:line="600" w:lineRule="exact"/>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 xml:space="preserve">     申请</w:t>
      </w:r>
      <w:r>
        <w:rPr>
          <w:rFonts w:ascii="仿宋_GB2312" w:hAnsi="仿宋_GB2312" w:eastAsia="仿宋_GB2312" w:cs="仿宋_GB2312"/>
          <w:color w:val="auto"/>
          <w:sz w:val="32"/>
          <w:szCs w:val="32"/>
          <w:highlight w:val="none"/>
        </w:rPr>
        <w:t>机构名称</w:t>
      </w:r>
    </w:p>
    <w:p w14:paraId="703F31C1">
      <w:pPr>
        <w:spacing w:beforeAutospacing="0" w:afterAutospacing="0" w:line="600" w:lineRule="exact"/>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（单位公章）</w:t>
      </w:r>
    </w:p>
    <w:p w14:paraId="407CCEC5">
      <w:pPr>
        <w:spacing w:beforeAutospacing="0" w:afterAutospacing="0" w:line="600" w:lineRule="exact"/>
        <w:ind w:firstLine="5760" w:firstLineChars="1800"/>
        <w:rPr>
          <w:rFonts w:hint="eastAsia" w:ascii="仿宋_GB2312" w:hAnsi="仿宋_GB2312" w:eastAsia="仿宋_GB2312"/>
          <w:b w:val="0"/>
          <w:bCs w:val="0"/>
          <w:color w:val="auto"/>
          <w:sz w:val="28"/>
          <w:szCs w:val="28"/>
          <w:lang w:eastAsia="zh-CN"/>
        </w:rPr>
      </w:pPr>
      <w:r>
        <w:rPr>
          <w:rFonts w:ascii="仿宋_GB2312" w:hAnsi="仿宋_GB2312" w:eastAsia="仿宋_GB2312" w:cs="仿宋_GB2312"/>
          <w:color w:val="auto"/>
          <w:sz w:val="32"/>
          <w:szCs w:val="32"/>
          <w:highlight w:val="none"/>
        </w:rPr>
        <w:t>年    月    日</w:t>
      </w:r>
    </w:p>
    <w:p w14:paraId="1A9B6EE9">
      <w:pPr>
        <w:pStyle w:val="2"/>
        <w:wordWrap/>
        <w:ind w:left="0" w:leftChars="0" w:firstLine="0" w:firstLineChars="0"/>
        <w:rPr>
          <w:rFonts w:hint="eastAsia"/>
          <w:color w:val="auto"/>
          <w:lang w:eastAsia="zh-CN"/>
        </w:rPr>
      </w:pPr>
    </w:p>
    <w:sectPr>
      <w:footerReference r:id="rId3" w:type="default"/>
      <w:pgSz w:w="11906" w:h="16838"/>
      <w:pgMar w:top="2098" w:right="1531" w:bottom="1984" w:left="1531" w:header="851" w:footer="136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C03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555F4">
                          <w:pPr>
                            <w:pStyle w:val="3"/>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C555F4">
                    <w:pPr>
                      <w:pStyle w:val="3"/>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C14DDC"/>
    <w:rsid w:val="016D242E"/>
    <w:rsid w:val="02413956"/>
    <w:rsid w:val="034D3112"/>
    <w:rsid w:val="03696334"/>
    <w:rsid w:val="06F107C0"/>
    <w:rsid w:val="0791690F"/>
    <w:rsid w:val="091E5F34"/>
    <w:rsid w:val="0B1B7053"/>
    <w:rsid w:val="0C2E670D"/>
    <w:rsid w:val="0CAA6E21"/>
    <w:rsid w:val="0D414525"/>
    <w:rsid w:val="0EC0292C"/>
    <w:rsid w:val="0F1215C3"/>
    <w:rsid w:val="10051FA8"/>
    <w:rsid w:val="106F63B8"/>
    <w:rsid w:val="10793734"/>
    <w:rsid w:val="12C329EB"/>
    <w:rsid w:val="160253E6"/>
    <w:rsid w:val="18371EB1"/>
    <w:rsid w:val="216929AF"/>
    <w:rsid w:val="22A00653"/>
    <w:rsid w:val="27B96AA7"/>
    <w:rsid w:val="2A217AB6"/>
    <w:rsid w:val="2D72621A"/>
    <w:rsid w:val="327A73C5"/>
    <w:rsid w:val="327C4CB6"/>
    <w:rsid w:val="352B0250"/>
    <w:rsid w:val="370B7CB7"/>
    <w:rsid w:val="3971469F"/>
    <w:rsid w:val="3BA3473F"/>
    <w:rsid w:val="3C496D17"/>
    <w:rsid w:val="3E5652F0"/>
    <w:rsid w:val="3F347E99"/>
    <w:rsid w:val="411A73CB"/>
    <w:rsid w:val="46203C03"/>
    <w:rsid w:val="47F94792"/>
    <w:rsid w:val="4CEA61D7"/>
    <w:rsid w:val="4EC14DDC"/>
    <w:rsid w:val="51461A90"/>
    <w:rsid w:val="532517A2"/>
    <w:rsid w:val="55BD684B"/>
    <w:rsid w:val="573C5E95"/>
    <w:rsid w:val="5C8A31FF"/>
    <w:rsid w:val="5E825682"/>
    <w:rsid w:val="5FB21023"/>
    <w:rsid w:val="6076714F"/>
    <w:rsid w:val="644545DB"/>
    <w:rsid w:val="646C5B64"/>
    <w:rsid w:val="64C671FE"/>
    <w:rsid w:val="64D96096"/>
    <w:rsid w:val="652348C6"/>
    <w:rsid w:val="65A43583"/>
    <w:rsid w:val="65E47220"/>
    <w:rsid w:val="66D734AF"/>
    <w:rsid w:val="6B010100"/>
    <w:rsid w:val="6FB72105"/>
    <w:rsid w:val="6FE729EA"/>
    <w:rsid w:val="70F66FCB"/>
    <w:rsid w:val="721C06AC"/>
    <w:rsid w:val="74A94712"/>
    <w:rsid w:val="7A754590"/>
    <w:rsid w:val="7C324FED"/>
    <w:rsid w:val="7D0723E6"/>
    <w:rsid w:val="7D0A3E03"/>
    <w:rsid w:val="7DB826E9"/>
    <w:rsid w:val="7DB83C18"/>
    <w:rsid w:val="7ECF329B"/>
    <w:rsid w:val="AFEFE69F"/>
    <w:rsid w:val="FF92D5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BodyText"/>
    <w:basedOn w:val="1"/>
    <w:qFormat/>
    <w:uiPriority w:val="0"/>
    <w:pPr>
      <w:widowControl/>
      <w:spacing w:after="120"/>
      <w:textAlignment w:val="baseline"/>
    </w:pPr>
    <w:rPr>
      <w:rFonts w:cs="Times New Roman"/>
    </w:rPr>
  </w:style>
  <w:style w:type="character" w:customStyle="1" w:styleId="8">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1032</Words>
  <Characters>1058</Characters>
  <Lines>0</Lines>
  <Paragraphs>0</Paragraphs>
  <TotalTime>43</TotalTime>
  <ScaleCrop>false</ScaleCrop>
  <LinksUpToDate>false</LinksUpToDate>
  <CharactersWithSpaces>1186</CharactersWithSpaces>
  <Application>WPS Office_12.1.2.25897_F1E327BC-269C-435d-A152-05C5408002CA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2022-03-21T22:47:00Z</dcterms:created>
  <dc:creator>HP</dc:creator>
  <cp:lastModifiedBy>uos</cp:lastModifiedBy>
  <cp:lastPrinted>2026-07-17T22:13:00Z</cp:lastPrinted>
  <dcterms:modified xsi:type="dcterms:W3CDTF">2026-09-07T09:50:33Z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2052-12.1.2.25897</vt:lpwstr>
  </property>
  <property fmtid="{D5CDD505-2E9C-101B-9397-08002B2CF9AE}" pid="3" name="KSOTemplateDocerSaveRecord">
    <vt:lpwstr>eyJoZGlkIjoiN2E4NmI0YmVjNmRmYzQ5NGQwNDg3YTMwN2UzMzIxNzMiLCJ1c2VySWQiOiIxNTM1OTYxMjMzIn0=</vt:lpwstr>
  </property>
  <property fmtid="{D5CDD505-2E9C-101B-9397-08002B2CF9AE}" pid="4" name="ICV">
    <vt:lpwstr>34CB3D9D7E684E7BAC91D4B062A0F96D_12</vt:lpwstr>
  </property>
</Properties>
</file>