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正定县中小企业服务中心</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306003</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5CCD04A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正定县中小企业服务中心</w:t>
      </w:r>
    </w:p>
    <w:p w14:paraId="316BF73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70ED803">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正定县中小企业服务中心</w:t>
      </w:r>
    </w:p>
    <w:p w14:paraId="2D48D37B">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604A966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2DAF99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208E1FA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1A5AE9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1F66D8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6C848992">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6EBC4A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747EF4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47B11F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A9069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BFD9B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C3AA8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A7E2D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189C6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97C10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1FA2DC2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1037AA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036BB3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478259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518151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DD684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2C412E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6B218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7132E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BB426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A7B73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B8378E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CBD1D4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58C2BAF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503D49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掌握中小企业运行态势，向政府有关部门反映中小企业情况；配合政府有关部门落实中小企业扶持政策；促进中小企业发展和建立现代企业制度；维护中小企业合法权益；为中小企业的创立、生存和发展提供全面的社会化服务；联系或委托各类社会服务机构为中小企业提供融资、担保等项服务；加强培训服务，提升中小企业经营管理人员的素质和管理水平。</w:t>
      </w:r>
    </w:p>
    <w:p w14:paraId="0EDA6E0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A9223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正定县中小企业服务中心</w:t>
            </w:r>
          </w:p>
        </w:tc>
        <w:tc>
          <w:tcPr>
            <w:tcW w:w="2445" w:type="dxa"/>
          </w:tcPr>
          <w:p w14:paraId="2E44318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公益一类</w:t>
            </w:r>
          </w:p>
        </w:tc>
        <w:tc>
          <w:tcPr>
            <w:tcW w:w="2665" w:type="dxa"/>
            <w:vAlign w:val="center"/>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bookmarkStart w:id="0" w:name="_GoBack"/>
      <w:bookmarkEnd w:id="0"/>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63F41D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部门（单位）：正定县中小企业服务中心</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部门（单位）：正定县中小企业服务中心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360.09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360.09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EE1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2CC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834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030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630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33A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77F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E14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B06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795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0D6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023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89F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0FD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612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EFE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054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17B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C0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A9D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部门（单位）：正定县中小企业服务中心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640A7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442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531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B24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8AA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2E4F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346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D92A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50DB4">
            <w:pPr>
              <w:jc w:val="right"/>
              <w:rPr>
                <w:rFonts w:hint="default" w:ascii="Times New Roman" w:hAnsi="Times New Roman" w:eastAsia="宋体" w:cs="Times New Roman"/>
                <w:i w:val="0"/>
                <w:iCs w:val="0"/>
                <w:color w:val="000000"/>
                <w:sz w:val="20"/>
                <w:szCs w:val="20"/>
                <w:highlight w:val="none"/>
                <w:u w:val="none"/>
              </w:rPr>
            </w:pPr>
          </w:p>
        </w:tc>
      </w:tr>
      <w:tr w14:paraId="74C57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DFC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611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E07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03F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3FD2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4A9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9F4A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DE4A3">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部门（单位）：正定县中小企业服务中心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360.09</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816"/>
        <w:gridCol w:w="832"/>
        <w:gridCol w:w="1076"/>
        <w:gridCol w:w="1137"/>
        <w:gridCol w:w="422"/>
        <w:gridCol w:w="1879"/>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部门（单位）：正定县中小企业服务中心</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360.09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p>
        </w:tc>
      </w:tr>
      <w:tr w14:paraId="5041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B4BD7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AD6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885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F1A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7D7D2D4">
            <w:pPr>
              <w:jc w:val="right"/>
              <w:rPr>
                <w:rFonts w:hint="default" w:ascii="Times New Roman" w:hAnsi="Times New Roman" w:eastAsia="宋体" w:cs="Times New Roman"/>
                <w:i w:val="0"/>
                <w:iCs w:val="0"/>
                <w:color w:val="000000"/>
                <w:sz w:val="20"/>
                <w:szCs w:val="20"/>
                <w:highlight w:val="none"/>
                <w:u w:val="none"/>
              </w:rPr>
            </w:pPr>
          </w:p>
        </w:tc>
      </w:tr>
      <w:tr w14:paraId="7BBCA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8826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F8B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86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68A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90EDD1">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部门（单位）：正定县中小企业服务中心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300.56</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4.22</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81.49</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12.91</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127.91</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26.94</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13.47</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9.31</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1.83</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22.78</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55.30</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55.00</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0.56</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355.87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4.22</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部门（单位）：正定县中小企业服务中心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部门（单位）：正定县中小企业服务中心</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部门（单位）：正定县中小企业服务中心</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59B1DE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03AD87F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2B9CB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本单位2025年度收、支总计（含结转和结余）均为360.09万元。与2024年度决算相比，收支各增加46.91万元，增长15.0%，主要原因是本年度单位人员经费增加。</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6EA19D9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139C6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360.09万元，其中：财政拨款收入360.09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F8E7A0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78914D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本单位2025年度本年支出合计360.09万元，其中：基本支出360.09万元，占100.0%；项目支出0.00万元，占0.0%；经营支出0.00万元，占0.0%；上缴上级支出0.00万元，占0.0%；对附属单位补助支出0.00万元，占0.0%。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7D7DBF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FB5D1C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EECBE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本单位2025年度财政拨款收、支总计（含结转和结余）均为360.09万元。与2024年度相比，财政拨款收支各增加46.91万元，增长15.0%，主要原因是本年度单位人员经费增加。</w:t>
      </w:r>
    </w:p>
    <w:p w14:paraId="5A1F2D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360.09万元,比上年增加46.91万元，增长15.0%，主要原因是单位人员经费收入增加；本年支出360.09万元，比上年增加46.91万元，增长15.0%，主要原因是单位人员经费支出增加。具体情况如下：</w:t>
      </w:r>
    </w:p>
    <w:p w14:paraId="3E7BD70A">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一般公共预算财政拨款本年收入360.09万元,比上年增加46.91万元，增长15.0%，主要原因是单位人员经费收入增加；本年支出360.09万元，比上年增加46.91万元，增长15.0%，主要原因是单位人员经费支出增加。</w:t>
      </w:r>
    </w:p>
    <w:p w14:paraId="5CFDACA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政府性基金预算财政拨款本年收入0.00万元，比上年增加0.00万元，增长0.00%，主要原因是无政府性基金预算财政拨款收入；本年支出0.00万元，比上年增加0.00万元，增长0.00%，主要原因是</w:t>
      </w:r>
      <w:r>
        <w:rPr>
          <w:rFonts w:hint="eastAsia" w:ascii="Times New Roman" w:eastAsia="仿宋_GB2312"/>
          <w:b w:val="0"/>
          <w:sz w:val="32"/>
          <w:szCs w:val="32"/>
          <w:lang w:eastAsia="zh-CN"/>
        </w:rPr>
        <w:t>本年度</w:t>
      </w:r>
      <w:r>
        <w:rPr>
          <w:rFonts w:ascii="Times New Roman" w:eastAsia="仿宋_GB2312"/>
          <w:b w:val="0"/>
          <w:sz w:val="32"/>
          <w:szCs w:val="32"/>
        </w:rPr>
        <w:t>无政府性基金预算财政拨款支出。</w:t>
      </w:r>
    </w:p>
    <w:p w14:paraId="409594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eastAsia="zh-CN"/>
        </w:rPr>
        <w:t>本年度</w:t>
      </w:r>
      <w:r>
        <w:rPr>
          <w:rFonts w:ascii="Times New Roman" w:eastAsia="仿宋_GB2312"/>
          <w:b w:val="0"/>
          <w:sz w:val="32"/>
          <w:szCs w:val="32"/>
        </w:rPr>
        <w:t>无国有资本预算财政拨款收入；本年支出0.00万元，比上年增加0.00万元，增长0.00%，主要原因是</w:t>
      </w:r>
      <w:r>
        <w:rPr>
          <w:rFonts w:hint="eastAsia" w:ascii="Times New Roman" w:eastAsia="仿宋_GB2312"/>
          <w:b w:val="0"/>
          <w:sz w:val="32"/>
          <w:szCs w:val="32"/>
          <w:lang w:eastAsia="zh-CN"/>
        </w:rPr>
        <w:t>本年度无</w:t>
      </w:r>
      <w:r>
        <w:rPr>
          <w:rFonts w:ascii="Times New Roman" w:eastAsia="仿宋_GB2312"/>
          <w:b w:val="0"/>
          <w:sz w:val="32"/>
          <w:szCs w:val="32"/>
        </w:rPr>
        <w:t>国有资本预算财政拨款支出。</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3C28AC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F087D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360.09万元，完成年初预算的106.8%，比年初预算增加23.03万元，决算数大于预算数主要原因是单位人员经费收入增加；本年支出360.09万元，完成年初预算的106.8%，比年初预算增加23.03万元，决算数大于预算数主要原因是单位人员经费支出增加。具体情况如下：</w:t>
      </w:r>
    </w:p>
    <w:p w14:paraId="6F1324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一般公共预算财政拨款本年收入完成年初预算的106.8%，比年初预算增加23.03万元，主要原因是单位人员经费收入增加；支出完成年初预算的106.8%，比年初预算增加23.03万元，主要原因是单位人员经费支出增加。</w:t>
      </w:r>
    </w:p>
    <w:p w14:paraId="0D134E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eastAsia="仿宋_GB2312"/>
          <w:b w:val="0"/>
          <w:sz w:val="32"/>
          <w:szCs w:val="32"/>
          <w:lang w:eastAsia="zh-CN"/>
        </w:rPr>
        <w:t>本年度</w:t>
      </w:r>
      <w:r>
        <w:rPr>
          <w:rFonts w:ascii="Times New Roman" w:eastAsia="仿宋_GB2312"/>
          <w:b w:val="0"/>
          <w:sz w:val="32"/>
          <w:szCs w:val="32"/>
        </w:rPr>
        <w:t>无政府性基金预算财政拨款收入；支出完成年初预算的0.0%，比年初预算增加0.00万元，主要原因是</w:t>
      </w:r>
      <w:r>
        <w:rPr>
          <w:rFonts w:hint="eastAsia" w:ascii="Times New Roman" w:eastAsia="仿宋_GB2312"/>
          <w:b w:val="0"/>
          <w:sz w:val="32"/>
          <w:szCs w:val="32"/>
          <w:lang w:eastAsia="zh-CN"/>
        </w:rPr>
        <w:t>本年度</w:t>
      </w:r>
      <w:r>
        <w:rPr>
          <w:rFonts w:ascii="Times New Roman" w:eastAsia="仿宋_GB2312"/>
          <w:b w:val="0"/>
          <w:sz w:val="32"/>
          <w:szCs w:val="32"/>
        </w:rPr>
        <w:t>无政府性基金预算财政拨款支出。</w:t>
      </w:r>
    </w:p>
    <w:p w14:paraId="06EEA4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lang w:eastAsia="zh-CN"/>
        </w:rPr>
        <w:t>本年度</w:t>
      </w:r>
      <w:r>
        <w:rPr>
          <w:rFonts w:ascii="Times New Roman" w:eastAsia="仿宋_GB2312"/>
          <w:b w:val="0"/>
          <w:sz w:val="32"/>
          <w:szCs w:val="32"/>
        </w:rPr>
        <w:t>无国有资本预算财政拨款收入；支出完成年初预算的0.0%，比年初预算增加0.00万元，主要原因是</w:t>
      </w:r>
      <w:r>
        <w:rPr>
          <w:rFonts w:hint="eastAsia" w:ascii="Times New Roman" w:eastAsia="仿宋_GB2312"/>
          <w:b w:val="0"/>
          <w:sz w:val="32"/>
          <w:szCs w:val="32"/>
          <w:lang w:eastAsia="zh-CN"/>
        </w:rPr>
        <w:t>本年度</w:t>
      </w:r>
      <w:r>
        <w:rPr>
          <w:rFonts w:ascii="Times New Roman" w:eastAsia="仿宋_GB2312"/>
          <w:b w:val="0"/>
          <w:sz w:val="32"/>
          <w:szCs w:val="32"/>
        </w:rPr>
        <w:t>无国有资本预算财政拨款支出。</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8B6B5C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4237B7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2025年度财政拨款支出360.09万元，主要用于以下方面：</w:t>
      </w:r>
    </w:p>
    <w:p w14:paraId="16DBB1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39997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国防（类）支出0.00万元，占0.0%；公共安全类（类）支出0.00万元，占0.0%；教育（类）支出0.00万元，占0.0%；科学技术（类）支出360.09万元，占100.0%，主要用于单位人员和公用经费等支出；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06D052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2D8B7EE">
      <w:pPr>
        <w:widowControl/>
        <w:spacing w:before="0" w:beforeLines="0" w:beforeAutospacing="0" w:after="0" w:afterLines="0" w:afterAutospacing="0" w:line="360" w:lineRule="auto"/>
        <w:ind w:firstLine="640" w:firstLineChars="200"/>
        <w:jc w:val="left"/>
        <w:rPr>
          <w:rFonts w:hint="eastAsia" w:ascii="Times New Roman" w:eastAsia="仿宋_GB2312"/>
          <w:b w:val="0"/>
          <w:bCs w:val="0"/>
          <w:sz w:val="32"/>
          <w:szCs w:val="32"/>
          <w:lang w:eastAsia="zh-CN"/>
        </w:rPr>
      </w:pPr>
      <w:r>
        <w:rPr>
          <w:rFonts w:hint="eastAsia" w:ascii="Times New Roman" w:eastAsia="仿宋_GB2312"/>
          <w:b w:val="0"/>
          <w:sz w:val="32"/>
          <w:szCs w:val="32"/>
          <w:lang w:eastAsia="zh-CN"/>
        </w:rPr>
        <w:t>本单位</w:t>
      </w:r>
      <w:r>
        <w:rPr>
          <w:rFonts w:hint="eastAsia" w:ascii="Times New Roman" w:eastAsia="仿宋_GB2312"/>
          <w:b w:val="0"/>
          <w:sz w:val="32"/>
          <w:szCs w:val="32"/>
          <w:lang w:val="en-US" w:eastAsia="zh-CN"/>
        </w:rPr>
        <w:t>2025</w:t>
      </w:r>
      <w:r>
        <w:rPr>
          <w:rFonts w:hint="eastAsia" w:ascii="Times New Roman" w:eastAsia="仿宋_GB2312"/>
          <w:b w:val="0"/>
          <w:sz w:val="32"/>
          <w:szCs w:val="32"/>
          <w:lang w:eastAsia="zh-CN"/>
        </w:rPr>
        <w:t>年度无</w:t>
      </w:r>
      <w:r>
        <w:rPr>
          <w:rFonts w:ascii="Times New Roman" w:eastAsia="仿宋_GB2312"/>
          <w:b w:val="0"/>
          <w:bCs/>
          <w:sz w:val="32"/>
          <w:szCs w:val="32"/>
        </w:rPr>
        <w:t>政府性基金预算财政拨款支出</w:t>
      </w:r>
      <w:r>
        <w:rPr>
          <w:rFonts w:hint="eastAsia" w:ascii="Times New Roman" w:eastAsia="仿宋_GB2312"/>
          <w:b w:val="0"/>
          <w:bCs w:val="0"/>
          <w:sz w:val="32"/>
          <w:szCs w:val="32"/>
          <w:lang w:eastAsia="zh-CN"/>
        </w:rPr>
        <w:t>。</w:t>
      </w:r>
    </w:p>
    <w:p w14:paraId="2312B13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50E941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eastAsia="zh-CN"/>
        </w:rPr>
        <w:t>本单位</w:t>
      </w:r>
      <w:r>
        <w:rPr>
          <w:rFonts w:hint="eastAsia" w:ascii="Times New Roman" w:eastAsia="仿宋_GB2312"/>
          <w:b w:val="0"/>
          <w:sz w:val="32"/>
          <w:szCs w:val="32"/>
          <w:lang w:val="en-US" w:eastAsia="zh-CN"/>
        </w:rPr>
        <w:t>2025</w:t>
      </w:r>
      <w:r>
        <w:rPr>
          <w:rFonts w:hint="eastAsia" w:ascii="Times New Roman" w:eastAsia="仿宋_GB2312"/>
          <w:b w:val="0"/>
          <w:sz w:val="32"/>
          <w:szCs w:val="32"/>
          <w:lang w:eastAsia="zh-CN"/>
        </w:rPr>
        <w:t>年度</w:t>
      </w:r>
      <w:r>
        <w:rPr>
          <w:rFonts w:hint="eastAsia" w:ascii="Times New Roman" w:eastAsia="仿宋_GB2312"/>
          <w:b w:val="0"/>
          <w:bCs w:val="0"/>
          <w:sz w:val="32"/>
          <w:szCs w:val="32"/>
          <w:lang w:eastAsia="zh-CN"/>
        </w:rPr>
        <w:t>无</w:t>
      </w:r>
      <w:r>
        <w:rPr>
          <w:rFonts w:ascii="Times New Roman" w:eastAsia="仿宋_GB2312"/>
          <w:b w:val="0"/>
          <w:bCs w:val="0"/>
          <w:sz w:val="32"/>
          <w:szCs w:val="32"/>
        </w:rPr>
        <w:t>国有资本经营预算财政拨款支出</w:t>
      </w:r>
      <w:r>
        <w:rPr>
          <w:rFonts w:hint="eastAsia" w:ascii="Times New Roman" w:eastAsia="仿宋_GB2312"/>
          <w:b w:val="0"/>
          <w:bCs w:val="0"/>
          <w:sz w:val="32"/>
          <w:szCs w:val="32"/>
          <w:lang w:eastAsia="zh-CN"/>
        </w:rPr>
        <w:t>。</w:t>
      </w:r>
    </w:p>
    <w:p w14:paraId="1146656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028B26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2025年度财政拨款基本支出360.09万元，其中：</w:t>
      </w:r>
    </w:p>
    <w:p w14:paraId="4611DF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355.87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1A84C9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4.22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1A87D65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E8F17A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DABFF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0.00万元，支出决算为0.00万元，完成预算的0.0%，较预算增加0.00万元，增长0.0%，主要原因是严格落实预算；较2024年度决算增加0.00万元，增长0.00%，主要原因是严格落实预算。</w:t>
      </w:r>
    </w:p>
    <w:p w14:paraId="669D8A3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D564E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无因公出国（境）费支出；较上年增加0.00万元，增长0.00%,主要原因是无因公出国（境）费支出。因公出国（境）团组0个、共0人、参加其他单位组织的因公出国（境）团组0个、共0人/无本部门组织的出国（境）团组。</w:t>
      </w:r>
    </w:p>
    <w:p w14:paraId="27FA6F2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本单位2025年度公务用车购置及运行维护费预算为0.00万元，支出决算0.00万元，完成预算的0.0%,较预算增加0.00万元，增长0.0%,主要原因是与预算持平；较上年增加0.00万元，增长0.00%,主要原因是与预算持平。其中：</w:t>
      </w:r>
    </w:p>
    <w:p w14:paraId="6C6689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未发生‘公务用车购置’经费支出；较上年增加0.00万元，增长0.00%,主要原因是与预算持平。</w:t>
      </w:r>
    </w:p>
    <w:p w14:paraId="6CF41E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本单位2025年度单位公务用车保有量0辆，发生运行维护费支出0.00万元。公车运行维护费支出较预算增加0.00万元，增长0.0%,主要原因是与预算持平；较上年增加0.00万元，增长0.00%，主要原因是与预算持平。</w:t>
      </w:r>
    </w:p>
    <w:p w14:paraId="746D238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与预算持平；较上年度增加0.00万元，增长0.00%,主要原因是与预算持平。本年度共发生公务接待0批次、0人次。</w:t>
      </w:r>
    </w:p>
    <w:p w14:paraId="3D57A50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79745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本单位2025年度机关运行经费支出0.00万元，较2024年度增加0.00万元，增长0.00%。主要原因是无机关运行经费。</w:t>
      </w:r>
    </w:p>
    <w:p w14:paraId="5BE974F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15A866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1106A5A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0EEB5F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主要是单位无车辆编制。其中，副部（省）级及以上领导用车0辆，主要负责人用车0辆，机要通信用车0辆，应急保障用车0辆，执法执勤用车0辆，特种专业技术用车0辆，离退休干部用车0辆，其他用车0辆，主要是无其他车辆。单位价值100万元（含）以上设备（不含车辆）0台（套）。</w:t>
      </w:r>
    </w:p>
    <w:p w14:paraId="56A534C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DADACD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624EEB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0万元（决算金额）。其中，一般公共预算项目0个，涉及资金0万元，占一般公共预算项目支出总额的0%；政府性基金预算项目0个，涉及资金0万元，占政府性基金预算项目支出总额的0%；国有资本经营预算项目0个，涉及资金0万元，占国有资本经营预算项目支出总额的0%。</w:t>
      </w:r>
    </w:p>
    <w:p w14:paraId="6E9475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组织对等0个项目开展了部门重点评价，涉及一般公共预算支出0万元，政府性基金预算支出0万元，国有资本经营预算支出0万元，从评价情况来看，本单位无项目支出。</w:t>
      </w:r>
    </w:p>
    <w:p w14:paraId="7B32ED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3EFADE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本单位在今年部门决算公开中反映等0个项目绩效自评结果。</w:t>
      </w:r>
    </w:p>
    <w:p w14:paraId="6F60C22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项目绩效自评情况：根据年初设定的绩效目标，项目绩效自评得分为0分（绩效自评表附后）。全年预算数为0万元，执行数为0万元，完成预算的0%。项目绩效目标完成情况：</w:t>
      </w:r>
      <w:r>
        <w:rPr>
          <w:rFonts w:hint="eastAsia" w:ascii="Times New Roman" w:eastAsia="仿宋_GB2312"/>
          <w:b w:val="0"/>
          <w:sz w:val="32"/>
          <w:szCs w:val="32"/>
          <w:lang w:eastAsia="zh-CN"/>
        </w:rPr>
        <w:t>本单位本年度无项目资金预算收支。</w:t>
      </w:r>
    </w:p>
    <w:p w14:paraId="35EDCD8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4021C6E9">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78787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1.本单位2025年度政府性基金预算财政拨款收入支出决算表（公开07表）、国有资本经营预算财政拨款支出决算表（公开08表）、财政拨款“三公”经费支出决算表（公开09表）无相应收支，故空表列示。</w:t>
      </w:r>
    </w:p>
    <w:p w14:paraId="0ED625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C55B1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F3306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4F33D30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D669CC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49F374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E778E7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65C76F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1C4DDA7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D8F4F8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594AFC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70951C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361336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5620837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31ED9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E7B0A8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07DF7D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C31B94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767B8D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2C3886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317F959-D049-4211-A97B-D96B1E938BD4}"/>
  </w:font>
  <w:font w:name="黑体">
    <w:panose1 w:val="02010609060101010101"/>
    <w:charset w:val="86"/>
    <w:family w:val="auto"/>
    <w:pitch w:val="default"/>
    <w:sig w:usb0="800002BF" w:usb1="38CF7CFA" w:usb2="00000016" w:usb3="00000000" w:csb0="00040001" w:csb1="00000000"/>
    <w:embedRegular r:id="rId2" w:fontKey="{E6CBB22F-2F29-4A3C-A0FA-4D1B3007FF5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DD93AD04-6C44-4DA7-8674-7E2115B6B50B}"/>
  </w:font>
  <w:font w:name="仿宋">
    <w:panose1 w:val="02010609060101010101"/>
    <w:charset w:val="86"/>
    <w:family w:val="modern"/>
    <w:pitch w:val="default"/>
    <w:sig w:usb0="800002BF" w:usb1="38CF7CFA" w:usb2="00000016" w:usb3="00000000" w:csb0="00040001" w:csb1="00000000"/>
    <w:embedRegular r:id="rId4" w:fontKey="{1D907DE5-4D27-4487-90AF-E18E3F8CE5E9}"/>
  </w:font>
  <w:font w:name="Calibri Light">
    <w:altName w:val="Calibri"/>
    <w:panose1 w:val="020F0302020204030204"/>
    <w:charset w:val="00"/>
    <w:family w:val="auto"/>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5C85515A-1A4E-47B6-ADD2-035F0B272DBB}"/>
  </w:font>
  <w:font w:name="楷体_GB2312">
    <w:panose1 w:val="02010609030101010101"/>
    <w:charset w:val="86"/>
    <w:family w:val="auto"/>
    <w:pitch w:val="default"/>
    <w:sig w:usb0="00000001" w:usb1="080E0000" w:usb2="00000000" w:usb3="00000000" w:csb0="00040000" w:csb1="00000000"/>
    <w:embedRegular r:id="rId6" w:fontKey="{21568435-31E5-477F-B931-29828D48C073}"/>
  </w:font>
  <w:font w:name="微软雅黑">
    <w:panose1 w:val="020B0503020204020204"/>
    <w:charset w:val="86"/>
    <w:family w:val="auto"/>
    <w:pitch w:val="default"/>
    <w:sig w:usb0="80000287" w:usb1="280F3C52" w:usb2="00000016" w:usb3="00000000" w:csb0="0004001F" w:csb1="00000000"/>
    <w:embedRegular r:id="rId7" w:fontKey="{92B2DAE1-D0F5-479E-9F00-50739E0868A2}"/>
  </w:font>
  <w:font w:name="方正小标宋_GBK">
    <w:panose1 w:val="02000000000000000000"/>
    <w:charset w:val="86"/>
    <w:family w:val="script"/>
    <w:pitch w:val="default"/>
    <w:sig w:usb0="A00002BF" w:usb1="38CF7CFA" w:usb2="00082016" w:usb3="00000000" w:csb0="00040001" w:csb1="00000000"/>
    <w:embedRegular r:id="rId8" w:fontKey="{AE864A91-BD53-43FD-99DD-0F8C436112DA}"/>
  </w:font>
  <w:font w:name="仿宋_GB2312">
    <w:panose1 w:val="02010609030101010101"/>
    <w:charset w:val="86"/>
    <w:family w:val="auto"/>
    <w:pitch w:val="default"/>
    <w:sig w:usb0="00000001" w:usb1="080E0000" w:usb2="00000000" w:usb3="00000000" w:csb0="00040000" w:csb1="00000000"/>
    <w:embedRegular r:id="rId9" w:fontKey="{E71AC4E7-ABF8-49E9-8D26-AF0B571FFDB6}"/>
  </w:font>
  <w:font w:name="ArialUnicodeMS">
    <w:altName w:val="Malgun Gothic"/>
    <w:panose1 w:val="00000000000000000000"/>
    <w:charset w:val="81"/>
    <w:family w:val="auto"/>
    <w:pitch w:val="default"/>
    <w:sig w:usb0="00000000" w:usb1="00000000" w:usb2="00000010" w:usb3="00000000" w:csb0="00080001" w:csb1="00000000"/>
    <w:embedRegular r:id="rId10" w:fontKey="{76E4A294-C236-4BBD-925F-112214A06651}"/>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09AB2">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85623">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C0930">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65A1">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9FE29B2"/>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70B2D"/>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6F134E"/>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A53D1B"/>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009A"/>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0960"/>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1E77"/>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DF179C"/>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6E7BFF"/>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06926"/>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9FD78AA"/>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6733BC"/>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360.09</c:v>
                </c:pt>
                <c:pt idx="1">
                  <c:v>313.18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3600858.16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3600858.16</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313.18</c:v>
                </c:pt>
                <c:pt idx="1">
                  <c:v>313.18</c:v>
                </c:pt>
                <c:pt idx="2">
                  <c:v>313.18</c:v>
                </c:pt>
                <c:pt idx="3">
                  <c:v>313.18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360.09</c:v>
                </c:pt>
                <c:pt idx="1">
                  <c:v>360.09</c:v>
                </c:pt>
                <c:pt idx="2">
                  <c:v>360.09</c:v>
                </c:pt>
                <c:pt idx="3">
                  <c:v>360.09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337.06</c:v>
                </c:pt>
                <c:pt idx="1">
                  <c:v>337.06</c:v>
                </c:pt>
                <c:pt idx="2">
                  <c:v>337.06</c:v>
                </c:pt>
                <c:pt idx="3">
                  <c:v>337.06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360.09</c:v>
                </c:pt>
                <c:pt idx="1">
                  <c:v>360.09</c:v>
                </c:pt>
                <c:pt idx="2">
                  <c:v>360.09</c:v>
                </c:pt>
                <c:pt idx="3">
                  <c:v>360.09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36</Pages>
  <Words>1660</Words>
  <Characters>6225</Characters>
  <Lines>86</Lines>
  <Paragraphs>24</Paragraphs>
  <TotalTime>2</TotalTime>
  <ScaleCrop>false</ScaleCrop>
  <LinksUpToDate>false</LinksUpToDate>
  <CharactersWithSpaces>6550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2026-10-10T08:05:25Z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eyJoZGlkIjoiZDJmYWE2NTE1NTAxMzkyNGZiOGU5NzU3NzI3ZjkyMGUifQ==</vt:lpwstr>
  </property>
</Properties>
</file>