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正定县科学技术和工业信息化局（本级）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306001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F88568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正定县科学技术和工业信息化局（本级）</w:t>
      </w:r>
    </w:p>
    <w:p w14:paraId="15BC569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E36EF2A">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正定县科学技术和工业信息化局（本级）</w:t>
      </w:r>
    </w:p>
    <w:p w14:paraId="4D2EC3D4">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2A0CAD0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CB4153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1AF316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89262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DD3AF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228D64F">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1D186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498FC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2E1FA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A7F51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6D190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93BAA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0F1C4F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42C5A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12ECF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7A88AE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063C5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36A74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492CB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626068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5A603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1EFE6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2E48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2E92E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7AB21B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07884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9A6A37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D2B7ED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D139C4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42DCCE2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根据《正定县科学技术和工业信息化局职能配置、内设机构和人员编制规定》，正定县科学技术和工业信息化局的主要职责是：</w:t>
      </w:r>
    </w:p>
    <w:p w14:paraId="591A4E21">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贯彻落实创新驱动发展战略方针，拟订科技发</w:t>
      </w:r>
    </w:p>
    <w:p w14:paraId="12176C32">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展、引进国外智力规划并组织实施，起草有关科技方面的地方性法规、政府规章草案。提出全县新型工业化发展战略和政策,协调解决新型工业化进程中的重大问题,推进产业结构战略性调整和优化升级。</w:t>
      </w:r>
    </w:p>
    <w:p w14:paraId="62948C8F">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统筹推进全县创新体系建设和科技体制改革，会</w:t>
      </w:r>
    </w:p>
    <w:p w14:paraId="43DEA800">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同有关部门健全技术创新激励机制。优化科研体系建设，推进科研机构改革发展，推动企业科技创新能力建设，承担推进军民融合发展相关工作。拟订科学普及和科学传播政策措施。制订并组织实施全县工业行业规划、计划和产业政策,提出优化产业布局、结构的政策建议,推进现代产业体系建设,组织实施行业技术规范和标准,指导行业质量管理工作；协调推进工业系统名牌战略工作。 </w:t>
      </w:r>
    </w:p>
    <w:p w14:paraId="11F71A62">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牵头建立统一的县级科技管理平台和科研项目</w:t>
      </w:r>
    </w:p>
    <w:p w14:paraId="51748171">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资金协调、评估、监管机制。会同有关部门提出优化配置科技资源的措施建议，推动多元化科技投入体系建设，协调管理县级财政科技计划（专项、基金等）并监督实施；负责提出全县工业转型升级（技术改造）投资方向；按照权限对工业企业技术改造项目备案。 </w:t>
      </w:r>
    </w:p>
    <w:p w14:paraId="54542828">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负责全县中小企业和民营经济的宏观指导、综合</w:t>
      </w:r>
    </w:p>
    <w:p w14:paraId="21E2C38B">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协调，会同有关部门拟订全县中小企业、民营经济发展规划和扶持政策并组织实施，协调解决发展中的重大问题；指导和推进中小企业转变发展方式，推动结构调整优化；统筹指导小微型企业创业创新基地和创业辅导师的建设和管理;推动建立完善中小企业服务体系，引导各类中介组织为中小企业提供服务。</w:t>
      </w:r>
    </w:p>
    <w:p w14:paraId="1435D6D6">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编制县科技项目计划并监督实施，统筹先进适用</w:t>
      </w:r>
    </w:p>
    <w:p w14:paraId="50FB90FF">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技术、关键共性技术、前沿引领技术、现代工程技术研发和创新，牵头组织重大技术攻关和成果应用示范。贯彻国家政策和标准,拟订高新技术产业中涉及生物医药、新材料、信息产业的规划并组织实施；组织实施有关国家、省、市科技重大专项,推进相关科研成果产业化，推动全县软件业和信息服务业发展。指导工业企业研发机构建设。</w:t>
      </w:r>
    </w:p>
    <w:p w14:paraId="01779604">
      <w:pPr>
        <w:widowControl/>
        <w:numPr>
          <w:ilvl w:val="0"/>
          <w:numId w:val="2"/>
        </w:numPr>
        <w:spacing w:before="0" w:beforeLines="0" w:beforeAutospacing="0" w:after="0" w:afterLines="0" w:afterAutospacing="0" w:line="360" w:lineRule="auto"/>
        <w:ind w:left="800" w:leftChars="0" w:firstLine="0" w:firstLineChars="0"/>
        <w:jc w:val="left"/>
        <w:rPr>
          <w:rFonts w:hint="eastAsia" w:ascii="Times New Roman" w:eastAsia="仿宋_GB2312"/>
          <w:b w:val="0"/>
          <w:sz w:val="32"/>
          <w:szCs w:val="32"/>
          <w:lang w:val="en-US" w:eastAsia="zh-CN"/>
        </w:rPr>
      </w:pPr>
      <w:r>
        <w:rPr>
          <w:rFonts w:ascii="Times New Roman" w:eastAsia="仿宋_GB2312"/>
          <w:b w:val="0"/>
          <w:sz w:val="32"/>
          <w:szCs w:val="32"/>
        </w:rPr>
        <w:t>拟订科技创新基地建设政策措施并监督实施，推</w:t>
      </w:r>
    </w:p>
    <w:p w14:paraId="6DE858AA">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ascii="Times New Roman" w:eastAsia="仿宋_GB2312"/>
          <w:b w:val="0"/>
          <w:sz w:val="32"/>
          <w:szCs w:val="32"/>
        </w:rPr>
        <w:t xml:space="preserve">动科研条件保障、科技平台建设和科技资源开放共享；承担全县振兴装备制造业、原材料工业、消费品工业、电子信息产业等行业的组织协调责任,贯彻执行国家、省、市重大技术装备发展和自主创新规划、政策,依托国家、省、市重点工程建设，协调有关重大专项的实施,推进重大技术装备国产化,指导引进重大技术装备的消化创新。 </w:t>
      </w:r>
      <w:r>
        <w:rPr>
          <w:rFonts w:hint="eastAsia" w:ascii="Times New Roman" w:eastAsia="仿宋_GB2312"/>
          <w:b w:val="0"/>
          <w:sz w:val="32"/>
          <w:szCs w:val="32"/>
          <w:lang w:val="en-US" w:eastAsia="zh-CN"/>
        </w:rPr>
        <w:t xml:space="preserve">   </w:t>
      </w:r>
    </w:p>
    <w:p w14:paraId="09C0C22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组织拟订高新技术发展及产业化、科技促进农业</w:t>
      </w:r>
    </w:p>
    <w:p w14:paraId="619063E8">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农村和社会发展的规划和措施。组织开展重点领域技术发展需求分析，提出重大任务并组织实施。指导高新技术产业开发区、农业科技园区等建设。组织协调相关重大示范工程和新产品、新技术、新设备、新材料的推广应用。 </w:t>
      </w:r>
    </w:p>
    <w:p w14:paraId="5239E76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拟订国际科技合作与创新能力开放合作规划和</w:t>
      </w:r>
    </w:p>
    <w:p w14:paraId="18E1304F">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措施，组织开展国际科技合作交流。负责引进国外智力工作，建立外国高层次人才吸引集聚机制和重点外国专家联系服务机制。会同有关部门拟订科技人才队伍建设政策措施，组织实施科技人才相关计划，推动高端科技创新人才队伍建设；组织开展工业、信息化的对外合作与交流，会同有关部门组织开展工业和信息化利用外资工作。 </w:t>
      </w:r>
    </w:p>
    <w:p w14:paraId="567C3F65">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牵头技术转移体系建设，拟订科技成果转移转化</w:t>
      </w:r>
    </w:p>
    <w:p w14:paraId="75D9D90B">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和促进产学研结合相关措施并组织实施。指导科技服务业、技术市场和科技中介组织发展。统筹推进全县工业领域信息化发展；研究拟订信息化和工业化融合发展、规划、标准和政策措施；统筹指导工业领域信息安全。</w:t>
      </w:r>
    </w:p>
    <w:p w14:paraId="2916A20D">
      <w:pPr>
        <w:widowControl/>
        <w:numPr>
          <w:ilvl w:val="0"/>
          <w:numId w:val="2"/>
        </w:numPr>
        <w:spacing w:before="0" w:beforeLines="0" w:beforeAutospacing="0" w:after="0" w:afterLines="0" w:afterAutospacing="0" w:line="360" w:lineRule="auto"/>
        <w:ind w:left="800" w:leftChars="0" w:firstLine="0" w:firstLineChars="0"/>
        <w:jc w:val="left"/>
        <w:rPr>
          <w:rFonts w:ascii="Times New Roman" w:eastAsia="仿宋_GB2312"/>
          <w:b w:val="0"/>
          <w:sz w:val="32"/>
          <w:szCs w:val="32"/>
        </w:rPr>
      </w:pPr>
      <w:r>
        <w:rPr>
          <w:rFonts w:ascii="Times New Roman" w:eastAsia="仿宋_GB2312"/>
          <w:b w:val="0"/>
          <w:sz w:val="32"/>
          <w:szCs w:val="32"/>
        </w:rPr>
        <w:t>拟订并组织实施全县工业能源节约和资源综合</w:t>
      </w:r>
    </w:p>
    <w:p w14:paraId="3DA8C308">
      <w:pPr>
        <w:widowControl/>
        <w:numPr>
          <w:ilvl w:val="0"/>
          <w:numId w:val="0"/>
        </w:numPr>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 xml:space="preserve">利用、清洁生产促进政策，参与拟订能源节约和资源综合利用、清洁生产促进规划，组织协调相关重大示范工程;承担工业料堆管理、采暖季重点工业行业错峰生产等环境保护方面的工作。 </w:t>
      </w:r>
    </w:p>
    <w:p w14:paraId="1CB810D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7097D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正定县科学技术和工业信息化局（本级）</w:t>
            </w:r>
          </w:p>
        </w:tc>
        <w:tc>
          <w:tcPr>
            <w:tcW w:w="2445" w:type="dxa"/>
            <w:vAlign w:val="center"/>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vAlign w:val="center"/>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bookmarkStart w:id="0" w:name="_GoBack"/>
      <w:bookmarkEnd w:id="0"/>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4C62A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4,672.82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1,387.63</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5,195.30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5,195.30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1,387.63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1,387.63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9E0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1A0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80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4EF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591.64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05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591.64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294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837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E45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16B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57E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DB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12A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94B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471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589.28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3E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589.28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D70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62B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9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3BC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3E1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97D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528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806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24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D0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813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BAD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386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149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8C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4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F8F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5EB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基础研究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B2C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216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FC4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6CE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171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92B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DC2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23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476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5A6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科技人才队伍建设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BED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20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F2D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D4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CEF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555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E5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02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639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4F4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其他基础研究支出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A34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B09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5F6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36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FF9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BEC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D1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0C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FF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06F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3D8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DB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77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5ED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B3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A3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5BC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94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100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7BF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其他技术研究与开发支出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18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4F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060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2ED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639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937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CB9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D5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1C9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E7D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科技条件与服务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E74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EB4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40D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6CB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107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CC7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8B8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447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246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6BA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技术创新服务体系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AF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4EE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A9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DC8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38F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A6C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F6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30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AEE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5D9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科技交流与合作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C67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C75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FC2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FF9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F5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33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9B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C7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F1D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E35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国际交流与合作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B0D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750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88F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3A9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360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2F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297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83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A1F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066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科技重大项目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E8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55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D26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69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6F1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043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8D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74C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102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52F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重点研发计划</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7D5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F4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191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E5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AE6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1C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5B2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E1F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CF7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CA7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C8C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90F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CCC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2F4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448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644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DA1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1D7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C2F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693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科技奖励</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473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BF2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ADC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86C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456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418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86E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92C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2CA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B2D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D3C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DE1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9A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5CA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2B6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48C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EF2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6D7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C8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1F3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E8C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84D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81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5B1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500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824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970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2FE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4E1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E62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E90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B6B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378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7A0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1BC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916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B13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2C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DCF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71F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A7B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31C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AEA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35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8C9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4A5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160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30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9B5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BAE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A8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CE4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D9D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FE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62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15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ED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1A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9F5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A14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580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8AF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E07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D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456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77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F70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73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0CA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E96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30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A0D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B0D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DCB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8C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8C7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DE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3AB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607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AE8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07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2CE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C0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9B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F3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120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2D6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0A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6E9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3FE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污染减排</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7F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D25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C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88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465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F30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03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BB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8F4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D43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减排专项支出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C7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EA7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65B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DB5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16D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08C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47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14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8E0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9D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A6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83A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721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1C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583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4C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67E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7F8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44A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B0F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508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978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833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7E1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9BA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533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A5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250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569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B36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C5E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44E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364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0B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B73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6F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2F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D2F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408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8E2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9C2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A99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B23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24D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26F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7A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DC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6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B63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工业和信息产业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5B9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587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995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8FD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3E4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E80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AC0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9C4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A0A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2150517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DB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产业发展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4E2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313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A72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BC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D11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89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A53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97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5BE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C0A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支持中小企业发展和管理支出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17A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409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C67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5E6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61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BF9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288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3D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67E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839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中小企业发展专项</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822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4A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52C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F4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1E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2E8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50C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639.17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1,387.63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04CD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B04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C53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1FA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591.64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99B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74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FD8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92DA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3D41D">
            <w:pPr>
              <w:jc w:val="right"/>
              <w:rPr>
                <w:rFonts w:hint="default" w:ascii="Times New Roman" w:hAnsi="Times New Roman" w:eastAsia="宋体" w:cs="Times New Roman"/>
                <w:i w:val="0"/>
                <w:iCs w:val="0"/>
                <w:color w:val="000000"/>
                <w:sz w:val="20"/>
                <w:szCs w:val="20"/>
                <w:highlight w:val="none"/>
                <w:u w:val="none"/>
              </w:rPr>
            </w:pPr>
          </w:p>
        </w:tc>
      </w:tr>
      <w:tr w14:paraId="742A6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00B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D83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753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9B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F30E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F0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64C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80B23">
            <w:pPr>
              <w:jc w:val="right"/>
              <w:rPr>
                <w:rFonts w:hint="default" w:ascii="Times New Roman" w:hAnsi="Times New Roman" w:eastAsia="宋体" w:cs="Times New Roman"/>
                <w:i w:val="0"/>
                <w:iCs w:val="0"/>
                <w:color w:val="000000"/>
                <w:sz w:val="20"/>
                <w:szCs w:val="20"/>
                <w:highlight w:val="none"/>
                <w:u w:val="none"/>
              </w:rPr>
            </w:pPr>
          </w:p>
        </w:tc>
      </w:tr>
      <w:tr w14:paraId="5B6E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325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2D0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AC9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960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1D9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6DE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E970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3D3A3">
            <w:pPr>
              <w:jc w:val="right"/>
              <w:rPr>
                <w:rFonts w:hint="default" w:ascii="Times New Roman" w:hAnsi="Times New Roman" w:eastAsia="宋体" w:cs="Times New Roman"/>
                <w:i w:val="0"/>
                <w:iCs w:val="0"/>
                <w:color w:val="000000"/>
                <w:sz w:val="20"/>
                <w:szCs w:val="20"/>
                <w:highlight w:val="none"/>
                <w:u w:val="none"/>
              </w:rPr>
            </w:pPr>
          </w:p>
        </w:tc>
      </w:tr>
      <w:tr w14:paraId="6F31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BB1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A64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BC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AB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9B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FB8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C3B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1BDB1">
            <w:pPr>
              <w:jc w:val="right"/>
              <w:rPr>
                <w:rFonts w:hint="default" w:ascii="Times New Roman" w:hAnsi="Times New Roman" w:eastAsia="宋体" w:cs="Times New Roman"/>
                <w:i w:val="0"/>
                <w:iCs w:val="0"/>
                <w:color w:val="000000"/>
                <w:sz w:val="20"/>
                <w:szCs w:val="20"/>
                <w:highlight w:val="none"/>
                <w:u w:val="none"/>
              </w:rPr>
            </w:pPr>
          </w:p>
        </w:tc>
      </w:tr>
      <w:tr w14:paraId="06F38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6E0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3FA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科技人才队伍建设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6C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594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A03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F2F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237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23EF2">
            <w:pPr>
              <w:jc w:val="right"/>
              <w:rPr>
                <w:rFonts w:hint="default" w:ascii="Times New Roman" w:hAnsi="Times New Roman" w:eastAsia="宋体" w:cs="Times New Roman"/>
                <w:i w:val="0"/>
                <w:iCs w:val="0"/>
                <w:color w:val="000000"/>
                <w:sz w:val="20"/>
                <w:szCs w:val="20"/>
                <w:highlight w:val="none"/>
                <w:u w:val="none"/>
              </w:rPr>
            </w:pPr>
          </w:p>
        </w:tc>
      </w:tr>
      <w:tr w14:paraId="15BF7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330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C0A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其他基础研究支出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EA6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ABA5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4A4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3CC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F8E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41F86">
            <w:pPr>
              <w:jc w:val="right"/>
              <w:rPr>
                <w:rFonts w:hint="default" w:ascii="Times New Roman" w:hAnsi="Times New Roman" w:eastAsia="宋体" w:cs="Times New Roman"/>
                <w:i w:val="0"/>
                <w:iCs w:val="0"/>
                <w:color w:val="000000"/>
                <w:sz w:val="20"/>
                <w:szCs w:val="20"/>
                <w:highlight w:val="none"/>
                <w:u w:val="none"/>
              </w:rPr>
            </w:pPr>
          </w:p>
        </w:tc>
      </w:tr>
      <w:tr w14:paraId="60ACE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294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4B5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B36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932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248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D93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866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212CA">
            <w:pPr>
              <w:jc w:val="right"/>
              <w:rPr>
                <w:rFonts w:hint="default" w:ascii="Times New Roman" w:hAnsi="Times New Roman" w:eastAsia="宋体" w:cs="Times New Roman"/>
                <w:i w:val="0"/>
                <w:iCs w:val="0"/>
                <w:color w:val="000000"/>
                <w:sz w:val="20"/>
                <w:szCs w:val="20"/>
                <w:highlight w:val="none"/>
                <w:u w:val="none"/>
              </w:rPr>
            </w:pPr>
          </w:p>
        </w:tc>
      </w:tr>
      <w:tr w14:paraId="79F0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B68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CF1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5D5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A78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A28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E9C5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264C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E77E3">
            <w:pPr>
              <w:jc w:val="right"/>
              <w:rPr>
                <w:rFonts w:hint="default" w:ascii="Times New Roman" w:hAnsi="Times New Roman" w:eastAsia="宋体" w:cs="Times New Roman"/>
                <w:i w:val="0"/>
                <w:iCs w:val="0"/>
                <w:color w:val="000000"/>
                <w:sz w:val="20"/>
                <w:szCs w:val="20"/>
                <w:highlight w:val="none"/>
                <w:u w:val="none"/>
              </w:rPr>
            </w:pPr>
          </w:p>
        </w:tc>
      </w:tr>
      <w:tr w14:paraId="6CA51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20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F46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C18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879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25C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435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663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9FAC3">
            <w:pPr>
              <w:jc w:val="right"/>
              <w:rPr>
                <w:rFonts w:hint="default" w:ascii="Times New Roman" w:hAnsi="Times New Roman" w:eastAsia="宋体" w:cs="Times New Roman"/>
                <w:i w:val="0"/>
                <w:iCs w:val="0"/>
                <w:color w:val="000000"/>
                <w:sz w:val="20"/>
                <w:szCs w:val="20"/>
                <w:highlight w:val="none"/>
                <w:u w:val="none"/>
              </w:rPr>
            </w:pPr>
          </w:p>
        </w:tc>
      </w:tr>
      <w:tr w14:paraId="2B91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6C9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725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82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5C4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34D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71F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697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06CF4">
            <w:pPr>
              <w:jc w:val="right"/>
              <w:rPr>
                <w:rFonts w:hint="default" w:ascii="Times New Roman" w:hAnsi="Times New Roman" w:eastAsia="宋体" w:cs="Times New Roman"/>
                <w:i w:val="0"/>
                <w:iCs w:val="0"/>
                <w:color w:val="000000"/>
                <w:sz w:val="20"/>
                <w:szCs w:val="20"/>
                <w:highlight w:val="none"/>
                <w:u w:val="none"/>
              </w:rPr>
            </w:pPr>
          </w:p>
        </w:tc>
      </w:tr>
      <w:tr w14:paraId="2C374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617D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12B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科技交流与合作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C47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C87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CD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C9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244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B6673">
            <w:pPr>
              <w:jc w:val="right"/>
              <w:rPr>
                <w:rFonts w:hint="default" w:ascii="Times New Roman" w:hAnsi="Times New Roman" w:eastAsia="宋体" w:cs="Times New Roman"/>
                <w:i w:val="0"/>
                <w:iCs w:val="0"/>
                <w:color w:val="000000"/>
                <w:sz w:val="20"/>
                <w:szCs w:val="20"/>
                <w:highlight w:val="none"/>
                <w:u w:val="none"/>
              </w:rPr>
            </w:pPr>
          </w:p>
        </w:tc>
      </w:tr>
      <w:tr w14:paraId="562AC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94C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9E6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国际交流与合作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70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AAD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27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513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7D7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DA2CA">
            <w:pPr>
              <w:jc w:val="right"/>
              <w:rPr>
                <w:rFonts w:hint="default" w:ascii="Times New Roman" w:hAnsi="Times New Roman" w:eastAsia="宋体" w:cs="Times New Roman"/>
                <w:i w:val="0"/>
                <w:iCs w:val="0"/>
                <w:color w:val="000000"/>
                <w:sz w:val="20"/>
                <w:szCs w:val="20"/>
                <w:highlight w:val="none"/>
                <w:u w:val="none"/>
              </w:rPr>
            </w:pPr>
          </w:p>
        </w:tc>
      </w:tr>
      <w:tr w14:paraId="00B03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9BF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E9A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科技重大项目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D50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516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DB1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BD2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6B5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C73C">
            <w:pPr>
              <w:jc w:val="right"/>
              <w:rPr>
                <w:rFonts w:hint="default" w:ascii="Times New Roman" w:hAnsi="Times New Roman" w:eastAsia="宋体" w:cs="Times New Roman"/>
                <w:i w:val="0"/>
                <w:iCs w:val="0"/>
                <w:color w:val="000000"/>
                <w:sz w:val="20"/>
                <w:szCs w:val="20"/>
                <w:highlight w:val="none"/>
                <w:u w:val="none"/>
              </w:rPr>
            </w:pPr>
          </w:p>
        </w:tc>
      </w:tr>
      <w:tr w14:paraId="35DD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DC2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CF0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重点研发计划</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31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E60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C7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96F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91B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AAC2E">
            <w:pPr>
              <w:jc w:val="right"/>
              <w:rPr>
                <w:rFonts w:hint="default" w:ascii="Times New Roman" w:hAnsi="Times New Roman" w:eastAsia="宋体" w:cs="Times New Roman"/>
                <w:i w:val="0"/>
                <w:iCs w:val="0"/>
                <w:color w:val="000000"/>
                <w:sz w:val="20"/>
                <w:szCs w:val="20"/>
                <w:highlight w:val="none"/>
                <w:u w:val="none"/>
              </w:rPr>
            </w:pPr>
          </w:p>
        </w:tc>
      </w:tr>
      <w:tr w14:paraId="5698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6CB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A56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7C9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DEA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25F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713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DDA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1DC7D">
            <w:pPr>
              <w:jc w:val="right"/>
              <w:rPr>
                <w:rFonts w:hint="default" w:ascii="Times New Roman" w:hAnsi="Times New Roman" w:eastAsia="宋体" w:cs="Times New Roman"/>
                <w:i w:val="0"/>
                <w:iCs w:val="0"/>
                <w:color w:val="000000"/>
                <w:sz w:val="20"/>
                <w:szCs w:val="20"/>
                <w:highlight w:val="none"/>
                <w:u w:val="none"/>
              </w:rPr>
            </w:pPr>
          </w:p>
        </w:tc>
      </w:tr>
      <w:tr w14:paraId="49E8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83B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B44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科技奖励</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7AB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814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16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33D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65D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71FED">
            <w:pPr>
              <w:jc w:val="right"/>
              <w:rPr>
                <w:rFonts w:hint="default" w:ascii="Times New Roman" w:hAnsi="Times New Roman" w:eastAsia="宋体" w:cs="Times New Roman"/>
                <w:i w:val="0"/>
                <w:iCs w:val="0"/>
                <w:color w:val="000000"/>
                <w:sz w:val="20"/>
                <w:szCs w:val="20"/>
                <w:highlight w:val="none"/>
                <w:u w:val="none"/>
              </w:rPr>
            </w:pPr>
          </w:p>
        </w:tc>
      </w:tr>
      <w:tr w14:paraId="1AD0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CEE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13E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412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2E2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16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46C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0E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9879C">
            <w:pPr>
              <w:jc w:val="right"/>
              <w:rPr>
                <w:rFonts w:hint="default" w:ascii="Times New Roman" w:hAnsi="Times New Roman" w:eastAsia="宋体" w:cs="Times New Roman"/>
                <w:i w:val="0"/>
                <w:iCs w:val="0"/>
                <w:color w:val="000000"/>
                <w:sz w:val="20"/>
                <w:szCs w:val="20"/>
                <w:highlight w:val="none"/>
                <w:u w:val="none"/>
              </w:rPr>
            </w:pPr>
          </w:p>
        </w:tc>
      </w:tr>
      <w:tr w14:paraId="79E2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29B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803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9EA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4C9D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F32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6C8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F2F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563EC">
            <w:pPr>
              <w:jc w:val="right"/>
              <w:rPr>
                <w:rFonts w:hint="default" w:ascii="Times New Roman" w:hAnsi="Times New Roman" w:eastAsia="宋体" w:cs="Times New Roman"/>
                <w:i w:val="0"/>
                <w:iCs w:val="0"/>
                <w:color w:val="000000"/>
                <w:sz w:val="20"/>
                <w:szCs w:val="20"/>
                <w:highlight w:val="none"/>
                <w:u w:val="none"/>
              </w:rPr>
            </w:pPr>
          </w:p>
        </w:tc>
      </w:tr>
      <w:tr w14:paraId="133DE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750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280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844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C69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93F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181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3494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A983E">
            <w:pPr>
              <w:jc w:val="right"/>
              <w:rPr>
                <w:rFonts w:hint="default" w:ascii="Times New Roman" w:hAnsi="Times New Roman" w:eastAsia="宋体" w:cs="Times New Roman"/>
                <w:i w:val="0"/>
                <w:iCs w:val="0"/>
                <w:color w:val="000000"/>
                <w:sz w:val="20"/>
                <w:szCs w:val="20"/>
                <w:highlight w:val="none"/>
                <w:u w:val="none"/>
              </w:rPr>
            </w:pPr>
          </w:p>
        </w:tc>
      </w:tr>
      <w:tr w14:paraId="3E10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A05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485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807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E2C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F77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C9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CF4F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B717C">
            <w:pPr>
              <w:jc w:val="right"/>
              <w:rPr>
                <w:rFonts w:hint="default" w:ascii="Times New Roman" w:hAnsi="Times New Roman" w:eastAsia="宋体" w:cs="Times New Roman"/>
                <w:i w:val="0"/>
                <w:iCs w:val="0"/>
                <w:color w:val="000000"/>
                <w:sz w:val="20"/>
                <w:szCs w:val="20"/>
                <w:highlight w:val="none"/>
                <w:u w:val="none"/>
              </w:rPr>
            </w:pPr>
          </w:p>
        </w:tc>
      </w:tr>
      <w:tr w14:paraId="5257F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1E7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18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129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DD6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3275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693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860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456CA">
            <w:pPr>
              <w:jc w:val="right"/>
              <w:rPr>
                <w:rFonts w:hint="default" w:ascii="Times New Roman" w:hAnsi="Times New Roman" w:eastAsia="宋体" w:cs="Times New Roman"/>
                <w:i w:val="0"/>
                <w:iCs w:val="0"/>
                <w:color w:val="000000"/>
                <w:sz w:val="20"/>
                <w:szCs w:val="20"/>
                <w:highlight w:val="none"/>
                <w:u w:val="none"/>
              </w:rPr>
            </w:pPr>
          </w:p>
        </w:tc>
      </w:tr>
      <w:tr w14:paraId="5CD71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8B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4B3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803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0BE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66D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8B7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2B0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A7898">
            <w:pPr>
              <w:jc w:val="right"/>
              <w:rPr>
                <w:rFonts w:hint="default" w:ascii="Times New Roman" w:hAnsi="Times New Roman" w:eastAsia="宋体" w:cs="Times New Roman"/>
                <w:i w:val="0"/>
                <w:iCs w:val="0"/>
                <w:color w:val="000000"/>
                <w:sz w:val="20"/>
                <w:szCs w:val="20"/>
                <w:highlight w:val="none"/>
                <w:u w:val="none"/>
              </w:rPr>
            </w:pPr>
          </w:p>
        </w:tc>
      </w:tr>
      <w:tr w14:paraId="5F1A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421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AD9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401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A82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2526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B11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199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1E10E">
            <w:pPr>
              <w:jc w:val="right"/>
              <w:rPr>
                <w:rFonts w:hint="default" w:ascii="Times New Roman" w:hAnsi="Times New Roman" w:eastAsia="宋体" w:cs="Times New Roman"/>
                <w:i w:val="0"/>
                <w:iCs w:val="0"/>
                <w:color w:val="000000"/>
                <w:sz w:val="20"/>
                <w:szCs w:val="20"/>
                <w:highlight w:val="none"/>
                <w:u w:val="none"/>
              </w:rPr>
            </w:pPr>
          </w:p>
        </w:tc>
      </w:tr>
      <w:tr w14:paraId="0AE53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331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9F8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BE1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AFF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DB5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E87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9991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02401">
            <w:pPr>
              <w:jc w:val="right"/>
              <w:rPr>
                <w:rFonts w:hint="default" w:ascii="Times New Roman" w:hAnsi="Times New Roman" w:eastAsia="宋体" w:cs="Times New Roman"/>
                <w:i w:val="0"/>
                <w:iCs w:val="0"/>
                <w:color w:val="000000"/>
                <w:sz w:val="20"/>
                <w:szCs w:val="20"/>
                <w:highlight w:val="none"/>
                <w:u w:val="none"/>
              </w:rPr>
            </w:pPr>
          </w:p>
        </w:tc>
      </w:tr>
      <w:tr w14:paraId="79BEB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225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191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污染减排</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E63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998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415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A51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ADF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E9264">
            <w:pPr>
              <w:jc w:val="right"/>
              <w:rPr>
                <w:rFonts w:hint="default" w:ascii="Times New Roman" w:hAnsi="Times New Roman" w:eastAsia="宋体" w:cs="Times New Roman"/>
                <w:i w:val="0"/>
                <w:iCs w:val="0"/>
                <w:color w:val="000000"/>
                <w:sz w:val="20"/>
                <w:szCs w:val="20"/>
                <w:highlight w:val="none"/>
                <w:u w:val="none"/>
              </w:rPr>
            </w:pPr>
          </w:p>
        </w:tc>
      </w:tr>
      <w:tr w14:paraId="6D6C9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C2A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46C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减排专项支出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D43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C9A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201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F14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C8BC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E4C97">
            <w:pPr>
              <w:jc w:val="right"/>
              <w:rPr>
                <w:rFonts w:hint="default" w:ascii="Times New Roman" w:hAnsi="Times New Roman" w:eastAsia="宋体" w:cs="Times New Roman"/>
                <w:i w:val="0"/>
                <w:iCs w:val="0"/>
                <w:color w:val="000000"/>
                <w:sz w:val="20"/>
                <w:szCs w:val="20"/>
                <w:highlight w:val="none"/>
                <w:u w:val="none"/>
              </w:rPr>
            </w:pPr>
          </w:p>
        </w:tc>
      </w:tr>
      <w:tr w14:paraId="27FB2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BA2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AFD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90C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E17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97B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1E9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D08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16F6">
            <w:pPr>
              <w:jc w:val="right"/>
              <w:rPr>
                <w:rFonts w:hint="default" w:ascii="Times New Roman" w:hAnsi="Times New Roman" w:eastAsia="宋体" w:cs="Times New Roman"/>
                <w:i w:val="0"/>
                <w:iCs w:val="0"/>
                <w:color w:val="000000"/>
                <w:sz w:val="20"/>
                <w:szCs w:val="20"/>
                <w:highlight w:val="none"/>
                <w:u w:val="none"/>
              </w:rPr>
            </w:pPr>
          </w:p>
        </w:tc>
      </w:tr>
      <w:tr w14:paraId="72D9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C3E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47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E1F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6E0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39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733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310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2B29">
            <w:pPr>
              <w:jc w:val="right"/>
              <w:rPr>
                <w:rFonts w:hint="default" w:ascii="Times New Roman" w:hAnsi="Times New Roman" w:eastAsia="宋体" w:cs="Times New Roman"/>
                <w:i w:val="0"/>
                <w:iCs w:val="0"/>
                <w:color w:val="000000"/>
                <w:sz w:val="20"/>
                <w:szCs w:val="20"/>
                <w:highlight w:val="none"/>
                <w:u w:val="none"/>
              </w:rPr>
            </w:pPr>
          </w:p>
        </w:tc>
      </w:tr>
      <w:tr w14:paraId="55534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62A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4E6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6EC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2C80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41B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D43D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89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E751A">
            <w:pPr>
              <w:jc w:val="right"/>
              <w:rPr>
                <w:rFonts w:hint="default" w:ascii="Times New Roman" w:hAnsi="Times New Roman" w:eastAsia="宋体" w:cs="Times New Roman"/>
                <w:i w:val="0"/>
                <w:iCs w:val="0"/>
                <w:color w:val="000000"/>
                <w:sz w:val="20"/>
                <w:szCs w:val="20"/>
                <w:highlight w:val="none"/>
                <w:u w:val="none"/>
              </w:rPr>
            </w:pPr>
          </w:p>
        </w:tc>
      </w:tr>
      <w:tr w14:paraId="24E67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CE0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D8B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6D6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3CB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E0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C6C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7BF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6A0E6">
            <w:pPr>
              <w:jc w:val="right"/>
              <w:rPr>
                <w:rFonts w:hint="default" w:ascii="Times New Roman" w:hAnsi="Times New Roman" w:eastAsia="宋体" w:cs="Times New Roman"/>
                <w:i w:val="0"/>
                <w:iCs w:val="0"/>
                <w:color w:val="000000"/>
                <w:sz w:val="20"/>
                <w:szCs w:val="20"/>
                <w:highlight w:val="none"/>
                <w:u w:val="none"/>
              </w:rPr>
            </w:pPr>
          </w:p>
        </w:tc>
      </w:tr>
      <w:tr w14:paraId="5EE2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74B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BA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48E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75D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37F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89C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CF1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050B">
            <w:pPr>
              <w:jc w:val="right"/>
              <w:rPr>
                <w:rFonts w:hint="default" w:ascii="Times New Roman" w:hAnsi="Times New Roman" w:eastAsia="宋体" w:cs="Times New Roman"/>
                <w:i w:val="0"/>
                <w:iCs w:val="0"/>
                <w:color w:val="000000"/>
                <w:sz w:val="20"/>
                <w:szCs w:val="20"/>
                <w:highlight w:val="none"/>
                <w:u w:val="none"/>
              </w:rPr>
            </w:pPr>
          </w:p>
        </w:tc>
      </w:tr>
      <w:tr w14:paraId="5DC41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5AB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613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B51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E23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D06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74D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7EDC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463B4">
            <w:pPr>
              <w:jc w:val="right"/>
              <w:rPr>
                <w:rFonts w:hint="default" w:ascii="Times New Roman" w:hAnsi="Times New Roman" w:eastAsia="宋体" w:cs="Times New Roman"/>
                <w:i w:val="0"/>
                <w:iCs w:val="0"/>
                <w:color w:val="000000"/>
                <w:sz w:val="20"/>
                <w:szCs w:val="20"/>
                <w:highlight w:val="none"/>
                <w:u w:val="none"/>
              </w:rPr>
            </w:pPr>
          </w:p>
        </w:tc>
      </w:tr>
      <w:tr w14:paraId="23EE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3F1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5CD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77A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FED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77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B43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EE4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4C4DF">
            <w:pPr>
              <w:jc w:val="right"/>
              <w:rPr>
                <w:rFonts w:hint="default" w:ascii="Times New Roman" w:hAnsi="Times New Roman" w:eastAsia="宋体" w:cs="Times New Roman"/>
                <w:i w:val="0"/>
                <w:iCs w:val="0"/>
                <w:color w:val="000000"/>
                <w:sz w:val="20"/>
                <w:szCs w:val="20"/>
                <w:highlight w:val="none"/>
                <w:u w:val="none"/>
              </w:rPr>
            </w:pPr>
          </w:p>
        </w:tc>
      </w:tr>
      <w:tr w14:paraId="571B7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923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9AE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11D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E03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3F1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D6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42B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E1CE2">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4,672.82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1,387.63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1,387.63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584.31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4,672.82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5,195.30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4,672.82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522.48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2"/>
        <w:gridCol w:w="2692"/>
        <w:gridCol w:w="1085"/>
        <w:gridCol w:w="726"/>
        <w:gridCol w:w="760"/>
        <w:gridCol w:w="363"/>
        <w:gridCol w:w="1189"/>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4,672.82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639.17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4,033.66</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1,387.63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798.35</w:t>
            </w:r>
          </w:p>
        </w:tc>
      </w:tr>
      <w:tr w14:paraId="6FCBC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CA89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C5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A4F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591.64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482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E6D6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r>
      <w:tr w14:paraId="5C1B1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FA4C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0E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A24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7E4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589.28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650AE6">
            <w:pPr>
              <w:jc w:val="right"/>
              <w:rPr>
                <w:rFonts w:hint="default" w:ascii="Times New Roman" w:hAnsi="Times New Roman" w:eastAsia="宋体" w:cs="Times New Roman"/>
                <w:i w:val="0"/>
                <w:iCs w:val="0"/>
                <w:color w:val="000000"/>
                <w:sz w:val="20"/>
                <w:szCs w:val="20"/>
                <w:highlight w:val="none"/>
                <w:u w:val="none"/>
              </w:rPr>
            </w:pPr>
          </w:p>
        </w:tc>
      </w:tr>
      <w:tr w14:paraId="5F074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F8BE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3CF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8B2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6AF3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10F1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w:t>
            </w:r>
          </w:p>
        </w:tc>
      </w:tr>
      <w:tr w14:paraId="45598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0ACF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7BD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基础研究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616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5794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9BB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112.50</w:t>
            </w:r>
          </w:p>
        </w:tc>
      </w:tr>
      <w:tr w14:paraId="40C6A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0CEB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7BC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科技人才队伍建设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C07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D0E7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0667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14:paraId="3BB9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DBF3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624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其他基础研究支出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BA7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751B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2F3B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12.50</w:t>
            </w:r>
          </w:p>
        </w:tc>
      </w:tr>
      <w:tr w14:paraId="309D2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CC62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B9D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623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890E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D044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r>
      <w:tr w14:paraId="0746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C105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5B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99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C2C8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AFF7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w:t>
            </w:r>
          </w:p>
        </w:tc>
      </w:tr>
      <w:tr w14:paraId="4D1F1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554D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75B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科技条件与服务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80B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54AB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47B8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r>
      <w:tr w14:paraId="555E4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A918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95A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技术创新服务体系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30F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9BEE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E4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118.69</w:t>
            </w:r>
          </w:p>
        </w:tc>
      </w:tr>
      <w:tr w14:paraId="6B57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C3A2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0A0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科技交流与合作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BFC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B67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FAE9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0AB4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92B8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E03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国际交流与合作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795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9470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574A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4B88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929B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FD9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科技重大项目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711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15B9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5230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1BF6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71E4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D6A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重点研发计划</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A81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1FA6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74B3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512D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8C10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9FB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D29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63AF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C477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435.50</w:t>
            </w:r>
          </w:p>
        </w:tc>
      </w:tr>
      <w:tr w14:paraId="3C6E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9438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57F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科技奖励</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3C7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923A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C31B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0A9C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54A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A2E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DE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ACD6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1B06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425.50</w:t>
            </w:r>
          </w:p>
        </w:tc>
      </w:tr>
      <w:tr w14:paraId="00036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B41F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2C8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1B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FF4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421D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4B8CC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68C3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97E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EB6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2E56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A8C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634B4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8E46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5ED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08A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93A1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BB7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14:paraId="1E8F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0460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C83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1F0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1FF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412986">
            <w:pPr>
              <w:jc w:val="right"/>
              <w:rPr>
                <w:rFonts w:hint="default" w:ascii="Times New Roman" w:hAnsi="Times New Roman" w:eastAsia="宋体" w:cs="Times New Roman"/>
                <w:i w:val="0"/>
                <w:iCs w:val="0"/>
                <w:color w:val="000000"/>
                <w:sz w:val="20"/>
                <w:szCs w:val="20"/>
                <w:highlight w:val="none"/>
                <w:u w:val="none"/>
              </w:rPr>
            </w:pPr>
          </w:p>
        </w:tc>
      </w:tr>
      <w:tr w14:paraId="2D27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2BC9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4E2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1ED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5D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4AF3A1">
            <w:pPr>
              <w:jc w:val="right"/>
              <w:rPr>
                <w:rFonts w:hint="default" w:ascii="Times New Roman" w:hAnsi="Times New Roman" w:eastAsia="宋体" w:cs="Times New Roman"/>
                <w:i w:val="0"/>
                <w:iCs w:val="0"/>
                <w:color w:val="000000"/>
                <w:sz w:val="20"/>
                <w:szCs w:val="20"/>
                <w:highlight w:val="none"/>
                <w:u w:val="none"/>
              </w:rPr>
            </w:pPr>
          </w:p>
        </w:tc>
      </w:tr>
      <w:tr w14:paraId="431F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0570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0D3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840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96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913651">
            <w:pPr>
              <w:jc w:val="right"/>
              <w:rPr>
                <w:rFonts w:hint="default" w:ascii="Times New Roman" w:hAnsi="Times New Roman" w:eastAsia="宋体" w:cs="Times New Roman"/>
                <w:i w:val="0"/>
                <w:iCs w:val="0"/>
                <w:color w:val="000000"/>
                <w:sz w:val="20"/>
                <w:szCs w:val="20"/>
                <w:highlight w:val="none"/>
                <w:u w:val="none"/>
              </w:rPr>
            </w:pPr>
          </w:p>
        </w:tc>
      </w:tr>
      <w:tr w14:paraId="72F3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B250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082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CFC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6230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FC4F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70AF8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F256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A16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污染减排</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645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3AEA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D1E9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4069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6C5A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620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减排专项支出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9CD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6BB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6B28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2,451.00</w:t>
            </w:r>
          </w:p>
        </w:tc>
      </w:tr>
      <w:tr w14:paraId="4F9DF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21B7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CF8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D7A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14A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8005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584.31</w:t>
            </w:r>
          </w:p>
        </w:tc>
      </w:tr>
      <w:tr w14:paraId="728B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DA66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860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工业和信息产业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756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6192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C9FA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r>
      <w:tr w14:paraId="76F2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CEE4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2150517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F66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产业发展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844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E070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431F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133.60</w:t>
            </w:r>
          </w:p>
        </w:tc>
      </w:tr>
      <w:tr w14:paraId="2306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87E3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1FC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支持中小企业发展和管理支出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196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5C4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C42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r>
      <w:tr w14:paraId="09C1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FDDA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149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中小企业发展专项</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973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1F13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4098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450.71</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部门（单位）：正定县科学技术和工业信息化局（本级）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219.68</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26.82</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60.07</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47.46</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55.36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20.16</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6.72</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3.41</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17.25</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8.77</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392.66</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4.48</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324.50</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49.88</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612.35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26.82</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部门（单位）：正定县科学技术和工业信息化局（本级）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4541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911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2F2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E6BF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B3A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C4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FCF1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86D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56FCD">
            <w:pPr>
              <w:jc w:val="right"/>
              <w:rPr>
                <w:rFonts w:hint="default" w:ascii="Times New Roman" w:hAnsi="Times New Roman" w:eastAsia="宋体" w:cs="Times New Roman"/>
                <w:i w:val="0"/>
                <w:iCs w:val="0"/>
                <w:color w:val="000000"/>
                <w:sz w:val="20"/>
                <w:szCs w:val="20"/>
                <w:highlight w:val="none"/>
                <w:u w:val="none"/>
              </w:rPr>
            </w:pPr>
          </w:p>
        </w:tc>
      </w:tr>
      <w:tr w14:paraId="1E440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937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9C1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67E6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143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BC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A167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8FD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522.48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430FC">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部门（单位）：正定县科学技术和工业信息化局（本级）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部门（单位）：正定县科学技术和工业信息化局（本级）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2F068F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FB8A71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52E0E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本单位2025年度收、支总计（含结转和结余）均为5,195.30万元。与2024年度决算相比，收支各减少745.73万元，下降12.6%，主要原因是本年度上级专款项目收支减少。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8DCFEB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B518B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5,195.30万元，其中：财政拨款收入5,195.30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92E5C1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7E7CB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本单位2025年度本年支出合计5,195.30万元，其中：基本支出639.17万元，占12.3%；项目支出4,556.14万元，占87.7%；经营支出0.00万元，占0.0%；上缴上级支出0.00万元，占0.0%；对附属单位补助支出0.00万元，占0.0%。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C8DF2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A89F2A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AF0C0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本单位2025年度财政拨款收、支总计（含结转和结余）均为5,195.30万元。与2024年度相比，财政拨款收支各减少745.73万元，降低12.6%，主要原因是本年度上级专款项目收支减少。</w:t>
      </w:r>
    </w:p>
    <w:p w14:paraId="1D1710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5,195.30万元,比上年减少745.73万元，降低12.6%，主要原因是本年度上级专款项目收入减少；本年支出5,195.30万元，比上年减少745.73万元，降低12.6%，主要原因是本年度上级专款项目支出减少。具体情况如下：</w:t>
      </w:r>
    </w:p>
    <w:p w14:paraId="3D72253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4,672.82万元,比上年增加864.89万元，增长22.7%，主要原因是本年度上级专款项目收入中一般公共预算财政拨款项目收入增加；本年支出4,672.82万元，比上年增加864.89万元，增长22.7%，主要原因是本年度上级专款项目支出中一般公共预算财政拨款项目支出增加。</w:t>
      </w:r>
    </w:p>
    <w:p w14:paraId="273EB8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政府性基金预算财政拨款本年收入522.48万元，比上年减少1,610.62万元，降低75.5%，主要原因是本年度企业退城搬迁补偿等政府性基金预算项目</w:t>
      </w:r>
      <w:r>
        <w:rPr>
          <w:rFonts w:hint="eastAsia" w:ascii="Times New Roman" w:eastAsia="仿宋_GB2312"/>
          <w:b w:val="0"/>
          <w:sz w:val="32"/>
          <w:szCs w:val="32"/>
          <w:lang w:eastAsia="zh-CN"/>
        </w:rPr>
        <w:t>收入</w:t>
      </w:r>
      <w:r>
        <w:rPr>
          <w:rFonts w:ascii="Times New Roman" w:eastAsia="仿宋_GB2312"/>
          <w:b w:val="0"/>
          <w:sz w:val="32"/>
          <w:szCs w:val="32"/>
        </w:rPr>
        <w:t>减少；本年支出522.48万元，比上年减少1,610.62万元，降低75.5%，主要原因是本年度企业退城搬迁补偿等政府性基金预算项目</w:t>
      </w:r>
      <w:r>
        <w:rPr>
          <w:rFonts w:hint="eastAsia" w:ascii="Times New Roman" w:eastAsia="仿宋_GB2312"/>
          <w:b w:val="0"/>
          <w:sz w:val="32"/>
          <w:szCs w:val="32"/>
          <w:lang w:eastAsia="zh-CN"/>
        </w:rPr>
        <w:t>支出</w:t>
      </w:r>
      <w:r>
        <w:rPr>
          <w:rFonts w:ascii="Times New Roman" w:eastAsia="仿宋_GB2312"/>
          <w:b w:val="0"/>
          <w:sz w:val="32"/>
          <w:szCs w:val="32"/>
        </w:rPr>
        <w:t>减少。</w:t>
      </w:r>
    </w:p>
    <w:p w14:paraId="2EBA33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度无国有资本经营预算财政拨款收入；本年支出0.00万元，比上年增加0.00万元，增长0.00%，主要原因是本年度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327DA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6047F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5,195.30万元，完成年初预算的165.3%，比年初预算增加2,051.91万元，决算数大于预算数主要原因是本年度追加上级专款项目收入增加；本年支出5,195.30万元，完成年初预算的150.9%，比年初预算增加1,753.46万元，决算数大于预算数主要原因是本年度追加上级专款项目支出增加。具体情况如下：</w:t>
      </w:r>
    </w:p>
    <w:p w14:paraId="7BD0CA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148.7%，比年初预算增加1,529.43万元，主要原因是本年度追加上级专款项目收入增加；支出完成年初预算的135.8%，比年初预算增加1,230.98万元，主要原因是本年度追加上级专款项目支出增加。</w:t>
      </w:r>
    </w:p>
    <w:p w14:paraId="352606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522.48万元，主要原因是本年度政府性基金预算收入为追加的防疫物资货款项目收入；支出完成年初预算的0.0%，比年初预算增加522.48万元，主要原因是本年度政府性基金预算收入为追加的防疫物资货款项目支出。</w:t>
      </w:r>
    </w:p>
    <w:p w14:paraId="30386C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无国有资本经营预算收入；支出完成年初预算的0.0%，比年初预算增加0.00万元，主要原因是本年度无国有资本经营预算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3CA13B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6036D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2025年度财政拨款支出5,195.30万元，主要用于以下方面：</w:t>
      </w:r>
    </w:p>
    <w:p w14:paraId="307E55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66928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1,387.63万元，占26.7%，主要用于于机关运行、人员经费、上级项 目专款等支出等支出等支出等支出；文化旅游体育与传媒（类）支出200.00万元，占3.8%，主要用于防疫物资货款等支出；社会保障和就业 （类）支出49.88万元，占1.0%，主要用于人员社保缴费等支出；卫生健康（类）支出0.00万元，占0.0%；节能环保（类）支出2,451.00万元，占47.2%，主要用于新能源汽车推广等支出；城乡社区（类）支出0.00万元，占0.0%；农林水（类）支出0.00万元，占0.0%；交通运输（类）支出0.00万元，占0.0%；资源勘探信息等（类）支出584.31万元，占11.2%，主要用于特色产业集群培育等支出；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06AA1F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F1F7D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522.48万元，占10.1%，主要用于防疫物资货款等支出；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7C0597A7">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国有资本经营预算财政拨款支出：</w:t>
      </w:r>
    </w:p>
    <w:p w14:paraId="20C34E75">
      <w:pPr>
        <w:widowControl/>
        <w:spacing w:before="0" w:beforeLines="0" w:beforeAutospacing="0" w:after="0" w:afterLines="0" w:afterAutospacing="0" w:line="360" w:lineRule="auto"/>
        <w:ind w:firstLine="640" w:firstLineChars="200"/>
        <w:jc w:val="left"/>
        <w:rPr>
          <w:rFonts w:ascii="Times New Roman" w:eastAsia="仿宋_GB2312"/>
          <w:b/>
          <w:sz w:val="32"/>
          <w:szCs w:val="32"/>
        </w:rPr>
      </w:pPr>
      <w:r>
        <w:rPr>
          <w:rFonts w:hint="eastAsia" w:ascii="Times New Roman" w:eastAsia="仿宋_GB2312"/>
          <w:b w:val="0"/>
          <w:sz w:val="32"/>
          <w:szCs w:val="32"/>
          <w:lang w:eastAsia="zh-CN"/>
        </w:rPr>
        <w:t>本单位</w:t>
      </w:r>
      <w:r>
        <w:rPr>
          <w:rFonts w:hint="eastAsia" w:ascii="Times New Roman" w:eastAsia="仿宋_GB2312"/>
          <w:b w:val="0"/>
          <w:sz w:val="32"/>
          <w:szCs w:val="32"/>
          <w:lang w:val="en-US" w:eastAsia="zh-CN"/>
        </w:rPr>
        <w:t>2025</w:t>
      </w:r>
      <w:r>
        <w:rPr>
          <w:rFonts w:hint="eastAsia" w:ascii="Times New Roman" w:eastAsia="仿宋_GB2312"/>
          <w:b w:val="0"/>
          <w:sz w:val="32"/>
          <w:szCs w:val="32"/>
          <w:lang w:eastAsia="zh-CN"/>
        </w:rPr>
        <w:t>年度</w:t>
      </w:r>
      <w:r>
        <w:rPr>
          <w:rFonts w:hint="eastAsia" w:ascii="Times New Roman" w:eastAsia="仿宋_GB2312"/>
          <w:b w:val="0"/>
          <w:bCs w:val="0"/>
          <w:sz w:val="32"/>
          <w:szCs w:val="32"/>
          <w:lang w:eastAsia="zh-CN"/>
        </w:rPr>
        <w:t>无</w:t>
      </w:r>
      <w:r>
        <w:rPr>
          <w:rFonts w:ascii="Times New Roman" w:eastAsia="仿宋_GB2312"/>
          <w:b w:val="0"/>
          <w:bCs w:val="0"/>
          <w:sz w:val="32"/>
          <w:szCs w:val="32"/>
        </w:rPr>
        <w:t>国有资本经营预算财政拨款支出</w:t>
      </w:r>
      <w:r>
        <w:rPr>
          <w:rFonts w:hint="eastAsia" w:ascii="Times New Roman" w:eastAsia="仿宋_GB2312"/>
          <w:b w:val="0"/>
          <w:bCs w:val="0"/>
          <w:sz w:val="32"/>
          <w:szCs w:val="32"/>
          <w:lang w:eastAsia="zh-CN"/>
        </w:rPr>
        <w:t>。</w:t>
      </w:r>
    </w:p>
    <w:p w14:paraId="115F8EA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2A8FB8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DB58F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2025年度财政拨款基本支出639.17万元，其中：</w:t>
      </w:r>
    </w:p>
    <w:p w14:paraId="1DB375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612.35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F72C6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26.82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BCB594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D7AA75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C8788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1.14万元，支出决算为1.14万元，完成预算的100.0%，较预算减少0.00万元，降低0.0%，主要原因是严格执行预算安排；较2024年度决算减少0.00万元，降低0.0%，主要原因是严格执行预算安排。</w:t>
      </w:r>
    </w:p>
    <w:p w14:paraId="51FCCE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86862A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本单位无因公出国（境）费支出；较上年增加0.00万元，增长0.00%,主要原因是本单位无因公出国（境）费支出。因公出国（境）团组0个、共0人、参加其他单位组织的因公出国（境）团组0个、共0人/无本部门组织的出国（境）团组。</w:t>
      </w:r>
    </w:p>
    <w:p w14:paraId="71FBCF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1.14万元，支出决算1.14万元，完成预算的100.0%,较预算减少0.00万元，降低0.0%,主要原因是严格执行预算；较上年减少0.00万元，降低0.0%,主要原因是严格执行预算。其中：</w:t>
      </w:r>
    </w:p>
    <w:p w14:paraId="540B8B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费支出；较上年增加0.00万元，增长0.00%,主要原因是未发生公务用车购置费支出。</w:t>
      </w:r>
    </w:p>
    <w:p w14:paraId="045EBE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公务用车运行维护费支出1.14万元：</w:t>
      </w:r>
      <w:r>
        <w:rPr>
          <w:rFonts w:ascii="Times New Roman" w:eastAsia="仿宋_GB2312"/>
          <w:b w:val="0"/>
          <w:sz w:val="32"/>
          <w:szCs w:val="32"/>
        </w:rPr>
        <w:t>本单位2025年度单位公务用车保有量1辆，发生运行维护费支出1.14万元。公车运行维护费支出较预算减少0.00万元，降低0.0%,主要原因是严格执行预算；较上年减少0.00万元，降低0.0%，主要原因是严格执行预算。</w:t>
      </w:r>
    </w:p>
    <w:p w14:paraId="0221F9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无公务接待费支出；较上年度增加0.00万元，增长0.00%,主要原因是无公务接待费支出。本年度共发生公务接待0批次、0人次。</w:t>
      </w:r>
    </w:p>
    <w:p w14:paraId="53896F1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35DC0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本单位2025年度机关运行经费支出26.82万元，较2024年度减少3.21万元，降低10.7%。主要原因是节约公用经费开支。</w:t>
      </w:r>
    </w:p>
    <w:p w14:paraId="01E73CE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D3188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2DDC857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F8E07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严格落实单位车辆编制数。其中，副部（省）级及以上领导用车0辆，主要负责人用车0辆，机要通信用车1辆，应急保障用车0辆，执法执勤用车0辆，特种专业技术用车0辆，离退休干部用车0辆，其他用车0辆，</w:t>
      </w:r>
      <w:r>
        <w:rPr>
          <w:rFonts w:hint="eastAsia" w:ascii="Times New Roman" w:eastAsia="仿宋_GB2312"/>
          <w:b w:val="0"/>
          <w:sz w:val="32"/>
          <w:szCs w:val="32"/>
          <w:lang w:eastAsia="zh-CN"/>
        </w:rPr>
        <w:t>主要是</w:t>
      </w:r>
      <w:r>
        <w:rPr>
          <w:rFonts w:ascii="Times New Roman" w:eastAsia="仿宋_GB2312"/>
          <w:b w:val="0"/>
          <w:sz w:val="32"/>
          <w:szCs w:val="32"/>
        </w:rPr>
        <w:t>无其他车辆。单位价值100万元（含）以上设备（不含车辆）0台（套）。</w:t>
      </w:r>
    </w:p>
    <w:p w14:paraId="120FF0B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23D20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3FE40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4,556.14万元（决算金额）。其中，一般公共预算项目29个，涉及资金4,033.66万元，占一般公共预算项目支出总额的100%；政府性基金预算项目3个，涉及资金522.48万元，占政府性基金预算项目支出总额的100%；国有资本经营预算项目0个，涉及资金0万元，占国有资本经营预算项目支出总额的0%。</w:t>
      </w:r>
    </w:p>
    <w:p w14:paraId="76F7CD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提前下达2025年节能减排补助资金石财建【2024】91号等1个项目开展了部门重点评价，涉及一般公共预算支出2,251万元，政府性基金预算支出0万元，国有资本经营预算支出0万元，从评价情况来看，项目立项合理合规，绩效指标体系明确合理。项目实施过程中，资金拨付及时足额到位，资金到位率和到位及时率均达到100%，支出合理合规，服务对象满意度90以上%，实现了预定的绩效目标。</w:t>
      </w:r>
    </w:p>
    <w:p w14:paraId="6BCD73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B96F1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中小企业数字化转型试点中央奖补资金（第八批）石财建【2024】101号、中小企业数字化转型试点市级奖补资金（第三批）石财建【2024】102号、提前下达2025年节能减排补助资金石财建【2024】91号、提前下达2025年科技企业研发投入后补助资金石财教【2024】88号、提前下达2025年县域特色产业集群“领跑者”企业培育等项目资金预算的通知石财建【2024】106号、2024年度“专精特新”中小企业贷款贴息补助石财建【2025】23号、2025年高新技术企业认定奖补市级资金石财教【2025】34号、2025年引进创新创业领军人才（团队）市级资金的通知石财教【2025】35号、2025年支持市县科技创新和科学普及专项资金（高新技术企业认定奖补）石财教【2025】53号2025年市级工业转型升级（技改）专项资金石财建【2025】53号等10个项目绩效自评结果。</w:t>
      </w:r>
    </w:p>
    <w:p w14:paraId="7CA4249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中小企业数字化转型试点中央奖补资金（第八批）石财建【2024】101号项目绩效自评情况：根据年初设定的绩效目标，中小企业数字化转型试点中央奖补资金（第八批）石财建【2024】101号项目绩效自评得分为100分（绩效自评表附后）。全年预算数为175.9万元，执行数为175.9万元，完成预算的100%。项目绩效目标完成情况：一是中小企业数字化转型得到有效引导和支持；二是企业数字化水平得到进一步提升。</w:t>
      </w:r>
      <w:r>
        <w:rPr>
          <w:rFonts w:hint="eastAsia" w:ascii="Times New Roman" w:eastAsia="仿宋_GB2312"/>
          <w:b w:val="0"/>
          <w:sz w:val="32"/>
          <w:szCs w:val="32"/>
          <w:lang w:eastAsia="zh-CN"/>
        </w:rPr>
        <w:t>未发现问题。</w:t>
      </w:r>
    </w:p>
    <w:p w14:paraId="5CBE68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6D688C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06DD5D31">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C91BA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2538D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4018B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E001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06183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BE65F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C307B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2C0E51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FA513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F5264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4CBB3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64245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55A535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6731E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EB52E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43E92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2533C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4A548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35D93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4E417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7AAE40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2B18A1B-A56A-4B2A-9C6B-C500936CCC8F}"/>
  </w:font>
  <w:font w:name="黑体">
    <w:panose1 w:val="02010609060101010101"/>
    <w:charset w:val="86"/>
    <w:family w:val="auto"/>
    <w:pitch w:val="default"/>
    <w:sig w:usb0="800002BF" w:usb1="38CF7CFA" w:usb2="00000016" w:usb3="00000000" w:csb0="00040001" w:csb1="00000000"/>
    <w:embedRegular r:id="rId2" w:fontKey="{8CE90896-8231-494B-9071-D43BCF99F8D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FB357992-70AD-4BFC-ADD0-CCC09B218145}"/>
  </w:font>
  <w:font w:name="仿宋">
    <w:panose1 w:val="02010609060101010101"/>
    <w:charset w:val="86"/>
    <w:family w:val="modern"/>
    <w:pitch w:val="default"/>
    <w:sig w:usb0="800002BF" w:usb1="38CF7CFA" w:usb2="00000016" w:usb3="00000000" w:csb0="00040001" w:csb1="00000000"/>
    <w:embedRegular r:id="rId4" w:fontKey="{9376732C-050C-478C-A301-EEB4BC17534C}"/>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91C998EB-C3B1-4C66-8426-ABAB1A77F62A}"/>
  </w:font>
  <w:font w:name="楷体_GB2312">
    <w:panose1 w:val="02010609030101010101"/>
    <w:charset w:val="86"/>
    <w:family w:val="auto"/>
    <w:pitch w:val="default"/>
    <w:sig w:usb0="00000001" w:usb1="080E0000" w:usb2="00000000" w:usb3="00000000" w:csb0="00040000" w:csb1="00000000"/>
    <w:embedRegular r:id="rId6" w:fontKey="{2E1F041C-D80B-42B4-A2B1-139E9B46395E}"/>
  </w:font>
  <w:font w:name="微软雅黑">
    <w:panose1 w:val="020B0503020204020204"/>
    <w:charset w:val="86"/>
    <w:family w:val="auto"/>
    <w:pitch w:val="default"/>
    <w:sig w:usb0="80000287" w:usb1="280F3C52" w:usb2="00000016" w:usb3="00000000" w:csb0="0004001F" w:csb1="00000000"/>
    <w:embedRegular r:id="rId7" w:fontKey="{67FD38C6-81D8-484F-8403-C8F546B255D6}"/>
  </w:font>
  <w:font w:name="方正小标宋_GBK">
    <w:panose1 w:val="02000000000000000000"/>
    <w:charset w:val="86"/>
    <w:family w:val="script"/>
    <w:pitch w:val="default"/>
    <w:sig w:usb0="A00002BF" w:usb1="38CF7CFA" w:usb2="00082016" w:usb3="00000000" w:csb0="00040001" w:csb1="00000000"/>
    <w:embedRegular r:id="rId8" w:fontKey="{078909EF-7422-47C1-85FA-47CEE33D472C}"/>
  </w:font>
  <w:font w:name="仿宋_GB2312">
    <w:panose1 w:val="02010609030101010101"/>
    <w:charset w:val="86"/>
    <w:family w:val="auto"/>
    <w:pitch w:val="default"/>
    <w:sig w:usb0="00000001" w:usb1="080E0000" w:usb2="00000000" w:usb3="00000000" w:csb0="00040000" w:csb1="00000000"/>
    <w:embedRegular r:id="rId9" w:fontKey="{9F2DEF69-2BC7-4DB3-9452-10CF62605371}"/>
  </w:font>
  <w:font w:name="ArialUnicodeMS">
    <w:altName w:val="Malgun Gothic"/>
    <w:panose1 w:val="00000000000000000000"/>
    <w:charset w:val="81"/>
    <w:family w:val="auto"/>
    <w:pitch w:val="default"/>
    <w:sig w:usb0="00000000" w:usb1="00000000" w:usb2="00000010" w:usb3="00000000" w:csb0="00080001" w:csb1="00000000"/>
    <w:embedRegular r:id="rId10" w:fontKey="{96FBC37B-AD70-4E99-A734-A8A7D8DEF94F}"/>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BB208">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8C7A9">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561B">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BA82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E36B2"/>
    <w:multiLevelType w:val="singleLevel"/>
    <w:tmpl w:val="DBFE36B2"/>
    <w:lvl w:ilvl="0" w:tentative="0">
      <w:start w:val="1"/>
      <w:numFmt w:val="decimal"/>
      <w:lvlText w:val="%1."/>
      <w:lvlJc w:val="left"/>
      <w:pPr>
        <w:tabs>
          <w:tab w:val="left" w:pos="312"/>
        </w:tabs>
        <w:ind w:left="800" w:leftChars="0" w:firstLine="0" w:firstLineChars="0"/>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072A94"/>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EB7FF4"/>
    <w:rsid w:val="23FC3864"/>
    <w:rsid w:val="24144476"/>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EC7411"/>
    <w:rsid w:val="31FD161E"/>
    <w:rsid w:val="32270449"/>
    <w:rsid w:val="323E4515"/>
    <w:rsid w:val="326A4E14"/>
    <w:rsid w:val="3286389B"/>
    <w:rsid w:val="328E04C8"/>
    <w:rsid w:val="32994FDB"/>
    <w:rsid w:val="32CF5C94"/>
    <w:rsid w:val="32D337C7"/>
    <w:rsid w:val="32E200EC"/>
    <w:rsid w:val="32E5408B"/>
    <w:rsid w:val="32EB0D70"/>
    <w:rsid w:val="330E785B"/>
    <w:rsid w:val="332824BC"/>
    <w:rsid w:val="332868BB"/>
    <w:rsid w:val="333211F3"/>
    <w:rsid w:val="33504B41"/>
    <w:rsid w:val="338B4A07"/>
    <w:rsid w:val="338D4C23"/>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7A5EA1"/>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66BE8"/>
    <w:rsid w:val="693F26C7"/>
    <w:rsid w:val="697E12B2"/>
    <w:rsid w:val="69C8706D"/>
    <w:rsid w:val="6A0E3FB4"/>
    <w:rsid w:val="6A292754"/>
    <w:rsid w:val="6A5E3B28"/>
    <w:rsid w:val="6A6B1EBE"/>
    <w:rsid w:val="6A8B4D12"/>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61386E"/>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5195.3</c:v>
                </c:pt>
                <c:pt idx="1">
                  <c:v>5941.04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51953048.33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6391668.83</c:v>
                </c:pt>
                <c:pt idx="1">
                  <c:v>45561379.5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5941.04</c:v>
                </c:pt>
                <c:pt idx="1">
                  <c:v>5941.04</c:v>
                </c:pt>
                <c:pt idx="2">
                  <c:v>3807.93</c:v>
                </c:pt>
                <c:pt idx="3">
                  <c:v>3807.93</c:v>
                </c:pt>
                <c:pt idx="4">
                  <c:v>2133.1</c:v>
                </c:pt>
                <c:pt idx="5">
                  <c:v>2133.1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5195.3</c:v>
                </c:pt>
                <c:pt idx="1">
                  <c:v>5195.3</c:v>
                </c:pt>
                <c:pt idx="2">
                  <c:v>4672.82</c:v>
                </c:pt>
                <c:pt idx="3">
                  <c:v>4672.82</c:v>
                </c:pt>
                <c:pt idx="4">
                  <c:v>522.48</c:v>
                </c:pt>
                <c:pt idx="5">
                  <c:v>522.48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3143.39</c:v>
                </c:pt>
                <c:pt idx="1">
                  <c:v>3441.84</c:v>
                </c:pt>
                <c:pt idx="2">
                  <c:v>3143.39</c:v>
                </c:pt>
                <c:pt idx="3">
                  <c:v>3441.84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5195.3</c:v>
                </c:pt>
                <c:pt idx="1">
                  <c:v>5195.3</c:v>
                </c:pt>
                <c:pt idx="2">
                  <c:v>4672.82</c:v>
                </c:pt>
                <c:pt idx="3">
                  <c:v>4672.82</c:v>
                </c:pt>
                <c:pt idx="4">
                  <c:v>522.48</c:v>
                </c:pt>
                <c:pt idx="5">
                  <c:v>522.48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1660</Words>
  <Characters>6225</Characters>
  <Lines>86</Lines>
  <Paragraphs>24</Paragraphs>
  <TotalTime>0</TotalTime>
  <ScaleCrop>false</ScaleCrop>
  <LinksUpToDate>false</LinksUpToDate>
  <CharactersWithSpaces>6550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2026-10-10T08:04:46Z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eyJoZGlkIjoiZDJmYWE2NTE1NTAxMzkyNGZiOGU5NzU3NzI3ZjkyMGUifQ==</vt:lpwstr>
  </property>
</Properties>
</file>