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正定县发展和改革局</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本级</w:t>
      </w: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w:t>
      </w:r>
    </w:p>
    <w:p w14:paraId="419C6711">
      <w:pPr>
        <w:jc w:val="center"/>
        <w:rPr>
          <w:rFonts w:hint="default" w:ascii="楷体_GB2312" w:hAnsi="楷体_GB2312" w:eastAsia="楷体_GB2312" w:cs="楷体_GB2312"/>
          <w:b/>
          <w:bCs/>
          <w:color w:val="0D0D0D" w:themeColor="text1" w:themeTint="F2"/>
          <w:kern w:val="2"/>
          <w:sz w:val="48"/>
          <w:szCs w:val="56"/>
          <w:lang w:val="en-US"/>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303001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64130FE">
      <w:pPr>
        <w:widowControl/>
        <w:spacing w:before="0" w:beforeLines="0" w:beforeAutospacing="0" w:after="0" w:afterLines="0" w:afterAutospacing="0" w:line="360" w:lineRule="auto"/>
        <w:jc w:val="center"/>
        <w:rPr>
          <w:rFonts w:hint="eastAsia" w:ascii="Times New Roman" w:eastAsia="方正小标宋_GBK"/>
          <w:sz w:val="72"/>
          <w:szCs w:val="72"/>
          <w:lang w:eastAsia="zh-CN"/>
        </w:rPr>
      </w:pPr>
      <w:r>
        <w:rPr>
          <w:rFonts w:ascii="Times New Roman" w:eastAsia="方正小标宋_GBK"/>
          <w:b w:val="0"/>
          <w:sz w:val="72"/>
          <w:szCs w:val="72"/>
        </w:rPr>
        <w:t>正定县发展和改革局</w:t>
      </w:r>
      <w:r>
        <w:rPr>
          <w:rFonts w:hint="eastAsia" w:ascii="Times New Roman" w:eastAsia="方正小标宋_GBK"/>
          <w:b w:val="0"/>
          <w:sz w:val="72"/>
          <w:szCs w:val="72"/>
          <w:lang w:eastAsia="zh-CN"/>
        </w:rPr>
        <w:t>（</w:t>
      </w:r>
      <w:r>
        <w:rPr>
          <w:rFonts w:hint="eastAsia" w:ascii="Times New Roman" w:eastAsia="方正小标宋_GBK"/>
          <w:b w:val="0"/>
          <w:sz w:val="72"/>
          <w:szCs w:val="72"/>
          <w:lang w:val="en-US" w:eastAsia="zh-CN"/>
        </w:rPr>
        <w:t>本级</w:t>
      </w:r>
      <w:r>
        <w:rPr>
          <w:rFonts w:hint="eastAsia" w:ascii="Times New Roman" w:eastAsia="方正小标宋_GBK"/>
          <w:b w:val="0"/>
          <w:sz w:val="72"/>
          <w:szCs w:val="72"/>
          <w:lang w:eastAsia="zh-CN"/>
        </w:rPr>
        <w:t>）</w:t>
      </w:r>
    </w:p>
    <w:p w14:paraId="7A10B0D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2BE1C06">
      <w:pPr>
        <w:widowControl/>
        <w:spacing w:before="0" w:beforeLines="0" w:beforeAutospacing="0" w:after="0" w:afterLines="0" w:afterAutospacing="0" w:line="360" w:lineRule="auto"/>
        <w:jc w:val="center"/>
        <w:rPr>
          <w:rFonts w:hint="eastAsia" w:ascii="Times New Roman" w:eastAsia="楷体_GB2312"/>
          <w:sz w:val="44"/>
          <w:szCs w:val="44"/>
          <w:lang w:eastAsia="zh-CN"/>
        </w:rPr>
      </w:pPr>
      <w:r>
        <w:rPr>
          <w:rFonts w:ascii="Times New Roman" w:eastAsia="楷体_GB2312"/>
          <w:b w:val="0"/>
          <w:sz w:val="44"/>
          <w:szCs w:val="44"/>
        </w:rPr>
        <w:t>正定县发展和改革局</w:t>
      </w:r>
      <w:r>
        <w:rPr>
          <w:rFonts w:hint="eastAsia" w:ascii="Times New Roman" w:eastAsia="楷体_GB2312"/>
          <w:b w:val="0"/>
          <w:sz w:val="44"/>
          <w:szCs w:val="44"/>
          <w:lang w:eastAsia="zh-CN"/>
        </w:rPr>
        <w:t>（</w:t>
      </w:r>
      <w:r>
        <w:rPr>
          <w:rFonts w:hint="eastAsia" w:ascii="Times New Roman" w:eastAsia="楷体_GB2312"/>
          <w:b w:val="0"/>
          <w:sz w:val="44"/>
          <w:szCs w:val="44"/>
          <w:lang w:val="en-US" w:eastAsia="zh-CN"/>
        </w:rPr>
        <w:t>本级</w:t>
      </w:r>
      <w:r>
        <w:rPr>
          <w:rFonts w:hint="eastAsia" w:ascii="Times New Roman" w:eastAsia="楷体_GB2312"/>
          <w:b w:val="0"/>
          <w:sz w:val="44"/>
          <w:szCs w:val="44"/>
          <w:lang w:eastAsia="zh-CN"/>
        </w:rPr>
        <w:t>）</w:t>
      </w:r>
    </w:p>
    <w:p w14:paraId="6FF8350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530A2C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029CFD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单位</w:t>
      </w:r>
      <w:r>
        <w:rPr>
          <w:rFonts w:ascii="Times New Roman" w:eastAsia="黑体"/>
          <w:b w:val="0"/>
          <w:sz w:val="32"/>
          <w:szCs w:val="32"/>
        </w:rPr>
        <w:t>概况</w:t>
      </w:r>
    </w:p>
    <w:p w14:paraId="151F3A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单位</w:t>
      </w:r>
      <w:r>
        <w:rPr>
          <w:rFonts w:ascii="Times New Roman" w:eastAsia="仿宋_GB2312"/>
          <w:b w:val="0"/>
          <w:sz w:val="32"/>
          <w:szCs w:val="32"/>
        </w:rPr>
        <w:t>职责</w:t>
      </w:r>
    </w:p>
    <w:p w14:paraId="3EEEA6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00FE87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val="en-US" w:eastAsia="zh-CN"/>
        </w:rPr>
        <w:t>部门</w:t>
      </w:r>
      <w:r>
        <w:rPr>
          <w:rFonts w:ascii="Times New Roman" w:eastAsia="黑体"/>
          <w:b w:val="0"/>
          <w:sz w:val="32"/>
          <w:szCs w:val="32"/>
        </w:rPr>
        <w:t>决算报表</w:t>
      </w:r>
    </w:p>
    <w:p w14:paraId="786762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B8151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0308B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A9892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ACD9B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AEC26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5BD2B0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544176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94406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8F7088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39EB65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45215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31B7C7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0909E8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5B944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2C4870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0B5B1B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CA074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2634B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2C1979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C89CDB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CA4955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单位</w:t>
      </w:r>
      <w:r>
        <w:rPr>
          <w:rFonts w:ascii="Times New Roman" w:eastAsia="黑体"/>
          <w:b w:val="0"/>
          <w:sz w:val="44"/>
          <w:szCs w:val="44"/>
        </w:rPr>
        <w:t>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F8CF40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单位</w:t>
      </w:r>
      <w:r>
        <w:rPr>
          <w:rFonts w:ascii="Times New Roman" w:eastAsia="黑体"/>
          <w:b w:val="0"/>
          <w:sz w:val="32"/>
          <w:szCs w:val="32"/>
        </w:rPr>
        <w:t>职责</w:t>
      </w:r>
    </w:p>
    <w:p w14:paraId="206E1CAA">
      <w:pPr>
        <w:pStyle w:val="10"/>
        <w:widowControl/>
        <w:shd w:val="clear" w:color="auto" w:fill="FFFFFF"/>
        <w:spacing w:beforeAutospacing="0" w:afterAutospacing="0"/>
        <w:ind w:firstLine="640" w:firstLineChars="200"/>
        <w:rPr>
          <w:rFonts w:ascii="仿宋_GB2312" w:eastAsia="仿宋_GB2312"/>
          <w:sz w:val="32"/>
          <w:szCs w:val="32"/>
        </w:rPr>
      </w:pPr>
      <w:r>
        <w:rPr>
          <w:rFonts w:hint="eastAsia" w:ascii="仿宋_GB2312" w:eastAsia="仿宋_GB2312"/>
          <w:sz w:val="32"/>
          <w:szCs w:val="32"/>
        </w:rPr>
        <w:t>（一）拟订并组织实施全县国民经济和社会发展战略、中长期规划和年度计划。牵头组织统一规划体系建设。负责</w:t>
      </w:r>
      <w:r>
        <w:rPr>
          <w:rFonts w:hint="eastAsia" w:ascii="仿宋_GB2312" w:hAnsi="宋体" w:eastAsia="仿宋_GB2312"/>
          <w:sz w:val="32"/>
          <w:szCs w:val="32"/>
        </w:rPr>
        <w:t>县</w:t>
      </w:r>
      <w:r>
        <w:rPr>
          <w:rFonts w:hint="eastAsia" w:ascii="仿宋_GB2312" w:eastAsia="仿宋_GB2312"/>
          <w:sz w:val="32"/>
          <w:szCs w:val="32"/>
        </w:rPr>
        <w:t>级专项规划、区域规划、空间规划与全县发展规划的统筹衔接。贯彻落实国民经济和社会发展、经济体制改革和对外开放的有关地方性法规，政府规章，制定规范性文件。</w:t>
      </w:r>
    </w:p>
    <w:p w14:paraId="497A2F9F">
      <w:pPr>
        <w:widowControl/>
        <w:ind w:firstLine="640"/>
        <w:rPr>
          <w:rFonts w:ascii="仿宋_GB2312" w:eastAsia="仿宋_GB2312"/>
          <w:sz w:val="32"/>
          <w:szCs w:val="32"/>
        </w:rPr>
      </w:pPr>
      <w:r>
        <w:rPr>
          <w:rFonts w:hint="eastAsia" w:ascii="仿宋_GB2312" w:eastAsia="仿宋_GB2312"/>
          <w:sz w:val="32"/>
          <w:szCs w:val="32"/>
        </w:rPr>
        <w:t>（二）提出加快建设全县现代化经济体系、推动高质量发展的总体目标、重大任务以及相关政策。组织开展重大战略规划、重大政策、重大工程等的评估督导，提出相关调整建议。</w:t>
      </w:r>
    </w:p>
    <w:p w14:paraId="08809ABE">
      <w:pPr>
        <w:widowControl/>
        <w:ind w:firstLine="640"/>
        <w:rPr>
          <w:rFonts w:ascii="仿宋_GB2312" w:eastAsia="仿宋_GB2312"/>
          <w:sz w:val="32"/>
          <w:szCs w:val="32"/>
        </w:rPr>
      </w:pPr>
      <w:r>
        <w:rPr>
          <w:rFonts w:hint="eastAsia" w:ascii="仿宋_GB2312" w:eastAsia="仿宋_GB2312"/>
          <w:sz w:val="32"/>
          <w:szCs w:val="32"/>
        </w:rPr>
        <w:t>（三）贯彻落实国家、省、市宏观调控政策，统筹提出全县国民经济和社会发展主要目标，监测预测预警宏观经济和社会发展态势趋势，提出经济调节政策建议。综合协调经济调节政策，牵头研究应对措施。调节经济运行，协调解决经济运行中的重大问题。参与贯彻落实国家、省、市财政政策、货币政策和土地政策。</w:t>
      </w:r>
    </w:p>
    <w:p w14:paraId="5B6D03F5">
      <w:pPr>
        <w:widowControl/>
        <w:ind w:firstLine="640"/>
        <w:rPr>
          <w:rFonts w:ascii="仿宋_GB2312" w:eastAsia="仿宋_GB2312"/>
          <w:sz w:val="32"/>
          <w:szCs w:val="32"/>
        </w:rPr>
      </w:pPr>
      <w:r>
        <w:rPr>
          <w:rFonts w:hint="eastAsia" w:ascii="仿宋_GB2312" w:eastAsia="仿宋_GB2312"/>
          <w:sz w:val="32"/>
          <w:szCs w:val="32"/>
        </w:rPr>
        <w:t>（四）指导推进和综合协调经济体制改革有关工作，提出相关改革建议。牵头推进供给侧结构性改革。协调推进产权制度和要素市场化配置改革。落实国家、省、市完善基本经济制度政策，推动现代化市场体系建设，会同有关部门组织实施市场准入负面清单制度。牵头推进优化营商环境工作。负责生产经营类事业单位管理体制改革工作。</w:t>
      </w:r>
    </w:p>
    <w:p w14:paraId="2EA38092">
      <w:pPr>
        <w:widowControl/>
        <w:ind w:firstLine="640"/>
        <w:rPr>
          <w:rFonts w:ascii="仿宋_GB2312" w:eastAsia="仿宋_GB2312"/>
          <w:sz w:val="32"/>
          <w:szCs w:val="32"/>
        </w:rPr>
      </w:pPr>
      <w:r>
        <w:rPr>
          <w:rFonts w:hint="eastAsia" w:ascii="仿宋_GB2312" w:eastAsia="仿宋_GB2312"/>
          <w:sz w:val="32"/>
          <w:szCs w:val="32"/>
        </w:rPr>
        <w:t>（五）提出全县利用外资和境外投资的战略、规划、总量平衡和结构优化政策。牵头推进实施全县“一带一路”建设有关工作。承担统筹协调走出去有关工作。负责全</w:t>
      </w:r>
      <w:r>
        <w:rPr>
          <w:rFonts w:hint="eastAsia" w:ascii="宋体" w:hAnsi="宋体"/>
          <w:sz w:val="32"/>
          <w:szCs w:val="32"/>
        </w:rPr>
        <w:t>县</w:t>
      </w:r>
      <w:r>
        <w:rPr>
          <w:rFonts w:hint="eastAsia" w:ascii="仿宋_GB2312" w:eastAsia="仿宋_GB2312"/>
          <w:sz w:val="32"/>
          <w:szCs w:val="32"/>
        </w:rPr>
        <w:t>全口径外债的总量控制、结构优化和监测工作。</w:t>
      </w:r>
    </w:p>
    <w:p w14:paraId="388CE93B">
      <w:pPr>
        <w:widowControl/>
        <w:ind w:firstLine="640"/>
        <w:rPr>
          <w:rFonts w:ascii="仿宋_GB2312" w:eastAsia="仿宋_GB2312"/>
          <w:sz w:val="32"/>
          <w:szCs w:val="32"/>
        </w:rPr>
      </w:pPr>
      <w:r>
        <w:rPr>
          <w:rFonts w:hint="eastAsia" w:ascii="仿宋_GB2312" w:eastAsia="仿宋_GB2312"/>
          <w:sz w:val="32"/>
          <w:szCs w:val="32"/>
        </w:rPr>
        <w:t>（六）负责全县投资综合管理。拟订全县固定资产投资总规模、结构调控目标和政策，会同相关部门拟订政府投资项目审批权限和政府核准的固定资产投资项目目录。安排</w:t>
      </w:r>
      <w:r>
        <w:rPr>
          <w:rFonts w:hint="eastAsia" w:ascii="仿宋_GB2312" w:hAnsi="宋体" w:eastAsia="仿宋_GB2312"/>
          <w:sz w:val="32"/>
          <w:szCs w:val="32"/>
        </w:rPr>
        <w:t>县</w:t>
      </w:r>
      <w:r>
        <w:rPr>
          <w:rFonts w:hint="eastAsia" w:ascii="仿宋_GB2312" w:eastAsia="仿宋_GB2312"/>
          <w:sz w:val="32"/>
          <w:szCs w:val="32"/>
        </w:rPr>
        <w:t>级预算内基本建设资金和有关发展性专项资金，按规定权限对投资项目进行事中事后监管。规划全</w:t>
      </w:r>
      <w:r>
        <w:rPr>
          <w:rFonts w:hint="eastAsia" w:ascii="仿宋_GB2312" w:hAnsi="宋体" w:eastAsia="仿宋_GB2312"/>
          <w:sz w:val="32"/>
          <w:szCs w:val="32"/>
        </w:rPr>
        <w:t>县</w:t>
      </w:r>
      <w:r>
        <w:rPr>
          <w:rFonts w:hint="eastAsia" w:ascii="仿宋_GB2312" w:eastAsia="仿宋_GB2312"/>
          <w:sz w:val="32"/>
          <w:szCs w:val="32"/>
        </w:rPr>
        <w:t>重点建设项目和生产力布局，组织推动重点建设项目。拟订并推动落实鼓励民间投资政策措施。</w:t>
      </w:r>
    </w:p>
    <w:p w14:paraId="79307D4A">
      <w:pPr>
        <w:widowControl/>
        <w:ind w:firstLine="640"/>
        <w:rPr>
          <w:rFonts w:ascii="仿宋_GB2312" w:eastAsia="仿宋_GB2312"/>
          <w:sz w:val="32"/>
          <w:szCs w:val="32"/>
        </w:rPr>
      </w:pPr>
      <w:r>
        <w:rPr>
          <w:rFonts w:hint="eastAsia" w:ascii="仿宋_GB2312" w:eastAsia="仿宋_GB2312"/>
          <w:sz w:val="32"/>
          <w:szCs w:val="32"/>
        </w:rPr>
        <w:t>（七）推进落实区域协调发展战略、新型城镇化战略和重大政策，组织拟订相关区域规划和政策。落实推进实施京津冀协同发展等区域发展战略。统筹协调区域合作和对口支援工作。组织编制并推动实施新型城镇化规划。</w:t>
      </w:r>
    </w:p>
    <w:p w14:paraId="6CAD0217">
      <w:pPr>
        <w:widowControl/>
        <w:ind w:firstLine="640"/>
        <w:rPr>
          <w:rFonts w:ascii="仿宋_GB2312" w:eastAsia="仿宋_GB2312"/>
          <w:sz w:val="32"/>
          <w:szCs w:val="32"/>
        </w:rPr>
      </w:pPr>
      <w:r>
        <w:rPr>
          <w:rFonts w:hint="eastAsia" w:ascii="仿宋_GB2312" w:eastAsia="仿宋_GB2312"/>
          <w:sz w:val="32"/>
          <w:szCs w:val="32"/>
        </w:rPr>
        <w:t>（八）贯彻实施国家、省、市产业政策，拟订全县综合性产业政策。协调一二三产业发展重大问题并统筹衔接相关发展规划和重大政策。协调推进重大基础设施建设发展，拟订服务业及现代物流业战略规划和重大政策并组织实施。综合研判消费变动趋势，拟订实施促进消费的综合性政策措施。</w:t>
      </w:r>
    </w:p>
    <w:p w14:paraId="3FB6C412">
      <w:pPr>
        <w:widowControl/>
        <w:ind w:firstLine="640"/>
        <w:rPr>
          <w:rFonts w:ascii="仿宋_GB2312" w:eastAsia="仿宋_GB2312"/>
          <w:sz w:val="32"/>
          <w:szCs w:val="32"/>
        </w:rPr>
      </w:pPr>
      <w:r>
        <w:rPr>
          <w:rFonts w:hint="eastAsia" w:ascii="仿宋_GB2312" w:eastAsia="仿宋_GB2312"/>
          <w:sz w:val="32"/>
          <w:szCs w:val="32"/>
        </w:rPr>
        <w:t>（九）推动实施全县创新驱动发展战略。会同相关部门拟订全</w:t>
      </w:r>
      <w:r>
        <w:rPr>
          <w:rFonts w:hint="eastAsia" w:ascii="宋体" w:hAnsi="宋体"/>
          <w:sz w:val="32"/>
          <w:szCs w:val="32"/>
        </w:rPr>
        <w:t>县</w:t>
      </w:r>
      <w:r>
        <w:rPr>
          <w:rFonts w:hint="eastAsia" w:ascii="仿宋_GB2312" w:eastAsia="仿宋_GB2312"/>
          <w:sz w:val="32"/>
          <w:szCs w:val="32"/>
        </w:rPr>
        <w:t>推进创新创业的规划和政策，提出创新发展和培育经济发展新动能的政策。会同相关部门规划布局县级重大科技基础设施。组织拟订并推动实施高技术产业和战略性新兴产业及数字经济发展规划政策，协调产业升级、重大技术装备推广应用等方面重大问题。</w:t>
      </w:r>
    </w:p>
    <w:p w14:paraId="30A8DC99">
      <w:pPr>
        <w:widowControl/>
        <w:ind w:firstLine="640"/>
        <w:rPr>
          <w:rFonts w:ascii="仿宋_GB2312" w:eastAsia="仿宋_GB2312"/>
          <w:sz w:val="32"/>
          <w:szCs w:val="32"/>
        </w:rPr>
      </w:pPr>
      <w:r>
        <w:rPr>
          <w:rFonts w:hint="eastAsia" w:ascii="仿宋_GB2312" w:eastAsia="仿宋_GB2312"/>
          <w:sz w:val="32"/>
          <w:szCs w:val="32"/>
        </w:rPr>
        <w:t>（十）跟踪研判涉及经济安全、生态安全、资源安全、科技安全、社会安全等各类风险隐患，提出相关工作建议。协调落实重要工业品、原材料和重要农产品进出口调控措施。会同有关部门拟订全县储备物资品种目录、总体发展规划。</w:t>
      </w:r>
    </w:p>
    <w:p w14:paraId="050F725F">
      <w:pPr>
        <w:widowControl/>
        <w:ind w:firstLine="640"/>
        <w:rPr>
          <w:rFonts w:ascii="仿宋_GB2312" w:eastAsia="仿宋_GB2312"/>
          <w:sz w:val="32"/>
          <w:szCs w:val="32"/>
        </w:rPr>
      </w:pPr>
      <w:r>
        <w:rPr>
          <w:rFonts w:hint="eastAsia" w:ascii="仿宋_GB2312" w:eastAsia="仿宋_GB2312"/>
          <w:sz w:val="32"/>
          <w:szCs w:val="32"/>
        </w:rPr>
        <w:t>（十一）负责全县社会发展与国民经济发展的政策衔接，协调有关重大问题。拟订社会发展战略、总体规划，统筹推进基本公共服务体系建设和收入分配制度改革，提出促进就业、完善社会保障与经济协调发展的政策建议。负责办公用房和公共机构节能工作。</w:t>
      </w:r>
    </w:p>
    <w:p w14:paraId="7D829B6C">
      <w:pPr>
        <w:widowControl/>
        <w:ind w:firstLine="640"/>
        <w:rPr>
          <w:rFonts w:ascii="仿宋_GB2312" w:eastAsia="仿宋_GB2312"/>
          <w:sz w:val="32"/>
          <w:szCs w:val="32"/>
        </w:rPr>
      </w:pPr>
      <w:r>
        <w:rPr>
          <w:rFonts w:hint="eastAsia" w:ascii="仿宋_GB2312" w:eastAsia="仿宋_GB2312"/>
          <w:sz w:val="32"/>
          <w:szCs w:val="32"/>
        </w:rPr>
        <w:t>（十二）推进实施可持续发展战略，推动生态文明建设和改革，协调生态环境保护与修复、能源资源节约和综合利用等工作。提出健全生态保护补偿机制的政策措施，综合协调环保产业和清洁生产促进有关工作。提出全</w:t>
      </w:r>
      <w:r>
        <w:rPr>
          <w:rFonts w:hint="eastAsia" w:ascii="宋体" w:hAnsi="宋体"/>
          <w:sz w:val="32"/>
          <w:szCs w:val="32"/>
        </w:rPr>
        <w:t>县</w:t>
      </w:r>
      <w:r>
        <w:rPr>
          <w:rFonts w:hint="eastAsia" w:ascii="仿宋_GB2312" w:eastAsia="仿宋_GB2312"/>
          <w:sz w:val="32"/>
          <w:szCs w:val="32"/>
        </w:rPr>
        <w:t>能源消费控制目标、任务并组织实施。</w:t>
      </w:r>
    </w:p>
    <w:p w14:paraId="6FE904AF">
      <w:pPr>
        <w:widowControl/>
        <w:ind w:firstLine="640"/>
        <w:rPr>
          <w:rFonts w:hint="eastAsia" w:ascii="仿宋_GB2312" w:eastAsia="仿宋_GB2312"/>
          <w:sz w:val="32"/>
          <w:szCs w:val="32"/>
        </w:rPr>
      </w:pPr>
      <w:r>
        <w:rPr>
          <w:rFonts w:hint="eastAsia" w:ascii="仿宋_GB2312" w:eastAsia="仿宋_GB2312"/>
          <w:sz w:val="32"/>
          <w:szCs w:val="32"/>
        </w:rPr>
        <w:t>（十三）组织拟订推进全县经济建设与国防建设协调发展的战略和规划，组织推进经济建设项目贯彻国防要求。</w:t>
      </w:r>
    </w:p>
    <w:p w14:paraId="43C2E918">
      <w:pPr>
        <w:widowControl/>
        <w:ind w:firstLine="640"/>
        <w:rPr>
          <w:rFonts w:ascii="仿宋_GB2312" w:eastAsia="仿宋_GB2312"/>
          <w:sz w:val="32"/>
          <w:szCs w:val="32"/>
        </w:rPr>
      </w:pPr>
      <w:r>
        <w:rPr>
          <w:rFonts w:hint="eastAsia" w:ascii="仿宋_GB2312" w:eastAsia="仿宋_GB2312"/>
          <w:sz w:val="32"/>
          <w:szCs w:val="32"/>
        </w:rPr>
        <w:t>（十四）拟订并组织实施有关价格政策，组织制定由</w:t>
      </w:r>
      <w:r>
        <w:rPr>
          <w:rFonts w:hint="eastAsia" w:ascii="宋体" w:hAnsi="宋体"/>
          <w:sz w:val="32"/>
          <w:szCs w:val="32"/>
        </w:rPr>
        <w:t>县</w:t>
      </w:r>
      <w:r>
        <w:rPr>
          <w:rFonts w:hint="eastAsia" w:ascii="仿宋_GB2312" w:eastAsia="仿宋_GB2312"/>
          <w:sz w:val="32"/>
          <w:szCs w:val="32"/>
        </w:rPr>
        <w:t>级管理的重要商品、服务价格和重要收费标准。负责价格（收费）申诉案件行政复议和裁决，负责对司法、纪检监察、行政机关及仲裁机构办理的各种案件涉案物品进行价格鉴定。</w:t>
      </w:r>
    </w:p>
    <w:p w14:paraId="75FC5671">
      <w:pPr>
        <w:widowControl/>
        <w:ind w:firstLine="640"/>
        <w:rPr>
          <w:rFonts w:ascii="仿宋_GB2312" w:eastAsia="仿宋_GB2312"/>
          <w:sz w:val="32"/>
          <w:szCs w:val="32"/>
        </w:rPr>
      </w:pPr>
      <w:r>
        <w:rPr>
          <w:rFonts w:hint="eastAsia" w:ascii="仿宋_GB2312" w:eastAsia="仿宋_GB2312"/>
          <w:sz w:val="32"/>
          <w:szCs w:val="32"/>
        </w:rPr>
        <w:t>（十五）提出全县能源发展战略建议，拟订能源发展规划、产业政策和年度制定计划并组织实施。负责能源行业节能和资源综合利用。负责冶金矿产品生产经营监督管理工作;负责煤炭、天然气等能源市场监管职责；负责散装水泥推广管理工作。</w:t>
      </w:r>
    </w:p>
    <w:p w14:paraId="21F7D4F2">
      <w:pPr>
        <w:widowControl/>
        <w:ind w:firstLine="640"/>
        <w:rPr>
          <w:rFonts w:ascii="仿宋_GB2312" w:eastAsia="仿宋_GB2312"/>
          <w:sz w:val="32"/>
          <w:szCs w:val="32"/>
        </w:rPr>
      </w:pPr>
      <w:r>
        <w:rPr>
          <w:rFonts w:hint="eastAsia" w:ascii="仿宋_GB2312" w:eastAsia="仿宋_GB2312"/>
          <w:sz w:val="32"/>
          <w:szCs w:val="32"/>
        </w:rPr>
        <w:t>（十六）拟订全县粮食流通规划并组织实施。负责粮食行业发展和粮食流通设施建设，承担全县粮食流通宏观调控，落实国家、省、市粮食购销政策和粮食质量标准。负责粮食流通、加工行业安全生产的监督管理，负责粮食流通监督检查，负责粮食收购、储存、运输环节粮食质量安全和原粮卫生的监督管理，组织实施全县粮食库存检查工作。承担粮食安全责任制考核日常工作。</w:t>
      </w:r>
    </w:p>
    <w:p w14:paraId="667D6969">
      <w:pPr>
        <w:widowControl/>
        <w:ind w:firstLine="640"/>
        <w:rPr>
          <w:rFonts w:ascii="仿宋_GB2312" w:eastAsia="仿宋_GB2312"/>
          <w:sz w:val="32"/>
          <w:szCs w:val="32"/>
        </w:rPr>
      </w:pPr>
      <w:r>
        <w:rPr>
          <w:rFonts w:hint="eastAsia" w:ascii="仿宋_GB2312" w:eastAsia="仿宋_GB2312"/>
          <w:sz w:val="32"/>
          <w:szCs w:val="32"/>
        </w:rPr>
        <w:t>（十七）拟订县级粮食、食糖、食盐和救灾物资储备规划、储备品种目录并组织实施，负责物资储备基础设施建设以及收储、轮换和日常管理工作，承担物资承储企业以及物资储备承储单位安全的监管责任，落实有关动用计划和指令。监测粮食、食糖、食盐等物资供求变化并预测预警；会同有关部门管理棉花等重要商品储备工作。</w:t>
      </w:r>
    </w:p>
    <w:p w14:paraId="5D5C9E5E">
      <w:pPr>
        <w:widowControl/>
        <w:ind w:firstLine="640"/>
        <w:rPr>
          <w:rFonts w:ascii="仿宋_GB2312" w:eastAsia="仿宋_GB2312"/>
          <w:sz w:val="32"/>
          <w:szCs w:val="32"/>
        </w:rPr>
      </w:pPr>
      <w:r>
        <w:rPr>
          <w:rFonts w:hint="eastAsia" w:ascii="仿宋_GB2312" w:eastAsia="仿宋_GB2312"/>
          <w:sz w:val="32"/>
          <w:szCs w:val="32"/>
        </w:rPr>
        <w:t>（十八）协调、管理、推动口岸建设和物流业发展，组织推动国际航线、国际班列的开行，以及重大物流园区和物流项目建设等相关工作。</w:t>
      </w:r>
    </w:p>
    <w:p w14:paraId="69635187">
      <w:pPr>
        <w:widowControl/>
        <w:ind w:firstLine="640"/>
        <w:rPr>
          <w:rFonts w:ascii="仿宋_GB2312" w:eastAsia="仿宋_GB2312"/>
          <w:sz w:val="32"/>
          <w:szCs w:val="32"/>
        </w:rPr>
      </w:pPr>
      <w:r>
        <w:rPr>
          <w:rFonts w:hint="eastAsia" w:ascii="仿宋_GB2312" w:eastAsia="仿宋_GB2312"/>
          <w:sz w:val="32"/>
          <w:szCs w:val="32"/>
        </w:rPr>
        <w:t>（十九）承担县国防动员相关工作。</w:t>
      </w:r>
    </w:p>
    <w:p w14:paraId="4240A4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仿宋_GB2312" w:eastAsia="仿宋_GB2312"/>
          <w:sz w:val="32"/>
          <w:szCs w:val="32"/>
        </w:rPr>
        <w:t>（二十）完成县委、县政府交办的其他任务。</w:t>
      </w:r>
    </w:p>
    <w:p w14:paraId="23B8E44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5AE226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738"/>
        <w:gridCol w:w="2192"/>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738"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192"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vAlign w:val="top"/>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738" w:type="dxa"/>
            <w:vAlign w:val="top"/>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正定县发展和改革局(本级)</w:t>
            </w:r>
          </w:p>
        </w:tc>
        <w:tc>
          <w:tcPr>
            <w:tcW w:w="2192" w:type="dxa"/>
            <w:vAlign w:val="top"/>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行政</w:t>
            </w:r>
            <w:r>
              <w:rPr>
                <w:rFonts w:hint="eastAsia" w:ascii="仿宋_GB2312" w:hAnsi="Calibri" w:eastAsia="仿宋_GB2312" w:cs="ArialUnicodeMS"/>
                <w:kern w:val="0"/>
                <w:sz w:val="28"/>
                <w:szCs w:val="28"/>
                <w:lang w:val="en-US" w:eastAsia="zh-CN"/>
              </w:rPr>
              <w:t>单位</w:t>
            </w:r>
          </w:p>
        </w:tc>
        <w:tc>
          <w:tcPr>
            <w:tcW w:w="2665" w:type="dxa"/>
            <w:vAlign w:val="top"/>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5CA071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1,197.65</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511.14</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41.13</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1,000.00</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 （本级）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4,222.86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4,222.86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30B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F75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F95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发展与改革事务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82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6A9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1,197.65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1E3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6C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E3B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003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169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53C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925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291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04B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778.56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24F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778.56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CBE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AB0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5C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6B6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D0C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DE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AE3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46F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4B7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BE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C10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C89B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CE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FA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E9C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76A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4E1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DA5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物价管理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A6B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FCE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6C2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976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ED7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B4A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7B1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55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440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2010499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FC2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其他发展与改革事务支出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00B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441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411.44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9BD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003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CB6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45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305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A0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007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9E2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926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99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483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63A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403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F7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641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E2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0F9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193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C99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F87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10E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D78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52D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73D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391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5F2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23A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2069999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4F4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其他科学技术支出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123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C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CC1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8FD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98A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8B9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6F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494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DC82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51B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4B2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511.14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690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511.14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2C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3B5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0A0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013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AF3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58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5F6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3FEC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14E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474.58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AF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474.58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084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B2B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26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5BC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00E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F17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5F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696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56D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635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BCA9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BF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7E8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BA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9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E62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FB6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A24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70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AA2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80.93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6F1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EBE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B92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FD1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4D3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28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382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618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8DC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180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C77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C3E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DFA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4F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A45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8D9F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AED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AD5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523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1C9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578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DC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0A7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7A3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FC6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CA0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3F3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DB5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A09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048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D6C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D5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67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221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96E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BDD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C42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609B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3B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07C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575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CA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B97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D08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01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013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0B8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A38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081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45C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73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9A9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59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E53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D21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AFF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C2A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FD8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367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63B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ACC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A67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4C1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580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31E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3B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85D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6CE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6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071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2E6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458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CF9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48B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D08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C23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23A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0F2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B3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62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B48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778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91A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C24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868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0E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55F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0D1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9FB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1EC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2E2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F2F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536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B50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822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D9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AD4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2149803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995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民用航空运输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4F9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A79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C7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F85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E6E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808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4D5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2AB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93B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918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645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8B5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BB8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E3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845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E18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C25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ED6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5BA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F33C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1F1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B34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22C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6DF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794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94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D447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7B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F66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5B04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医药制造业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D7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43D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927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5C2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1AD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D38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D5F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7C1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0B7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CE0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A8A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517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4FA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C09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344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63B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B4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13E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6D1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2BF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5BE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DD1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D23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D6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14A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83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293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2DB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F50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837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E17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FF7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A24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F74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FCE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C61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64B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F2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E14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708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粮油物资储备支出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760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309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863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DF0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74A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4B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4B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494F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3B8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1A0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粮油物资事务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467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799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354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9E62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5B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83B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359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3F4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53D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2220106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6B8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专项业务活动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9F6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33D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2AB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403E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9B5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99F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AA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1,376.77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2,846.09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5A789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21C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4CB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发展与改革事务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CAE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2C7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627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EEC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5012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11379">
            <w:pPr>
              <w:jc w:val="right"/>
              <w:rPr>
                <w:rFonts w:hint="default" w:ascii="Times New Roman" w:hAnsi="Times New Roman" w:eastAsia="宋体" w:cs="Times New Roman"/>
                <w:i w:val="0"/>
                <w:iCs w:val="0"/>
                <w:color w:val="000000"/>
                <w:sz w:val="20"/>
                <w:szCs w:val="20"/>
                <w:highlight w:val="none"/>
                <w:u w:val="none"/>
              </w:rPr>
            </w:pPr>
          </w:p>
        </w:tc>
      </w:tr>
      <w:tr w14:paraId="5AE69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E551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241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E86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778.56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70C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0F5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14A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1912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279E">
            <w:pPr>
              <w:jc w:val="right"/>
              <w:rPr>
                <w:rFonts w:hint="default" w:ascii="Times New Roman" w:hAnsi="Times New Roman" w:eastAsia="宋体" w:cs="Times New Roman"/>
                <w:i w:val="0"/>
                <w:iCs w:val="0"/>
                <w:color w:val="000000"/>
                <w:sz w:val="20"/>
                <w:szCs w:val="20"/>
                <w:highlight w:val="none"/>
                <w:u w:val="none"/>
              </w:rPr>
            </w:pPr>
          </w:p>
        </w:tc>
      </w:tr>
      <w:tr w14:paraId="50045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58B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55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795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86F4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50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BA3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5E8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A5EEB">
            <w:pPr>
              <w:jc w:val="right"/>
              <w:rPr>
                <w:rFonts w:hint="default" w:ascii="Times New Roman" w:hAnsi="Times New Roman" w:eastAsia="宋体" w:cs="Times New Roman"/>
                <w:i w:val="0"/>
                <w:iCs w:val="0"/>
                <w:color w:val="000000"/>
                <w:sz w:val="20"/>
                <w:szCs w:val="20"/>
                <w:highlight w:val="none"/>
                <w:u w:val="none"/>
              </w:rPr>
            </w:pPr>
          </w:p>
        </w:tc>
      </w:tr>
      <w:tr w14:paraId="6D59C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45E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8AA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物价管理</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429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E3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40A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819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5BB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EB7F5">
            <w:pPr>
              <w:jc w:val="right"/>
              <w:rPr>
                <w:rFonts w:hint="default" w:ascii="Times New Roman" w:hAnsi="Times New Roman" w:eastAsia="宋体" w:cs="Times New Roman"/>
                <w:i w:val="0"/>
                <w:iCs w:val="0"/>
                <w:color w:val="000000"/>
                <w:sz w:val="20"/>
                <w:szCs w:val="20"/>
                <w:highlight w:val="none"/>
                <w:u w:val="none"/>
              </w:rPr>
            </w:pPr>
          </w:p>
        </w:tc>
      </w:tr>
      <w:tr w14:paraId="7016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830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E49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其他发展与改革事务支出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5FF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6966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7D1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B7E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96A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B0834">
            <w:pPr>
              <w:jc w:val="right"/>
              <w:rPr>
                <w:rFonts w:hint="default" w:ascii="Times New Roman" w:hAnsi="Times New Roman" w:eastAsia="宋体" w:cs="Times New Roman"/>
                <w:i w:val="0"/>
                <w:iCs w:val="0"/>
                <w:color w:val="000000"/>
                <w:sz w:val="20"/>
                <w:szCs w:val="20"/>
                <w:highlight w:val="none"/>
                <w:u w:val="none"/>
              </w:rPr>
            </w:pPr>
          </w:p>
        </w:tc>
      </w:tr>
      <w:tr w14:paraId="1A0D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AED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953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2C7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592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68B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298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11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449ED">
            <w:pPr>
              <w:jc w:val="right"/>
              <w:rPr>
                <w:rFonts w:hint="default" w:ascii="Times New Roman" w:hAnsi="Times New Roman" w:eastAsia="宋体" w:cs="Times New Roman"/>
                <w:i w:val="0"/>
                <w:iCs w:val="0"/>
                <w:color w:val="000000"/>
                <w:sz w:val="20"/>
                <w:szCs w:val="20"/>
                <w:highlight w:val="none"/>
                <w:u w:val="none"/>
              </w:rPr>
            </w:pPr>
          </w:p>
        </w:tc>
      </w:tr>
      <w:tr w14:paraId="7E2F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F9B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65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DE4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EA5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DCA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E7C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3E29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78856">
            <w:pPr>
              <w:jc w:val="right"/>
              <w:rPr>
                <w:rFonts w:hint="default" w:ascii="Times New Roman" w:hAnsi="Times New Roman" w:eastAsia="宋体" w:cs="Times New Roman"/>
                <w:i w:val="0"/>
                <w:iCs w:val="0"/>
                <w:color w:val="000000"/>
                <w:sz w:val="20"/>
                <w:szCs w:val="20"/>
                <w:highlight w:val="none"/>
                <w:u w:val="none"/>
              </w:rPr>
            </w:pPr>
          </w:p>
        </w:tc>
      </w:tr>
      <w:tr w14:paraId="393A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784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68A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352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496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75D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9B5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564D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F530C">
            <w:pPr>
              <w:jc w:val="right"/>
              <w:rPr>
                <w:rFonts w:hint="default" w:ascii="Times New Roman" w:hAnsi="Times New Roman" w:eastAsia="宋体" w:cs="Times New Roman"/>
                <w:i w:val="0"/>
                <w:iCs w:val="0"/>
                <w:color w:val="000000"/>
                <w:sz w:val="20"/>
                <w:szCs w:val="20"/>
                <w:highlight w:val="none"/>
                <w:u w:val="none"/>
              </w:rPr>
            </w:pPr>
          </w:p>
        </w:tc>
      </w:tr>
      <w:tr w14:paraId="28056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725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8BC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384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A21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D668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DDB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BDE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AA9014">
            <w:pPr>
              <w:jc w:val="right"/>
              <w:rPr>
                <w:rFonts w:hint="default" w:ascii="Times New Roman" w:hAnsi="Times New Roman" w:eastAsia="宋体" w:cs="Times New Roman"/>
                <w:i w:val="0"/>
                <w:iCs w:val="0"/>
                <w:color w:val="000000"/>
                <w:sz w:val="20"/>
                <w:szCs w:val="20"/>
                <w:highlight w:val="none"/>
                <w:u w:val="none"/>
              </w:rPr>
            </w:pPr>
          </w:p>
        </w:tc>
      </w:tr>
      <w:tr w14:paraId="42490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CDB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4B8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AB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7D9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74D5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109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092D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AA453">
            <w:pPr>
              <w:jc w:val="right"/>
              <w:rPr>
                <w:rFonts w:hint="default" w:ascii="Times New Roman" w:hAnsi="Times New Roman" w:eastAsia="宋体" w:cs="Times New Roman"/>
                <w:i w:val="0"/>
                <w:iCs w:val="0"/>
                <w:color w:val="000000"/>
                <w:sz w:val="20"/>
                <w:szCs w:val="20"/>
                <w:highlight w:val="none"/>
                <w:u w:val="none"/>
              </w:rPr>
            </w:pPr>
          </w:p>
        </w:tc>
      </w:tr>
      <w:tr w14:paraId="77E1E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910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E66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2B0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C67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AD98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230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480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90644">
            <w:pPr>
              <w:jc w:val="right"/>
              <w:rPr>
                <w:rFonts w:hint="default" w:ascii="Times New Roman" w:hAnsi="Times New Roman" w:eastAsia="宋体" w:cs="Times New Roman"/>
                <w:i w:val="0"/>
                <w:iCs w:val="0"/>
                <w:color w:val="000000"/>
                <w:sz w:val="20"/>
                <w:szCs w:val="20"/>
                <w:highlight w:val="none"/>
                <w:u w:val="none"/>
              </w:rPr>
            </w:pPr>
          </w:p>
        </w:tc>
      </w:tr>
      <w:tr w14:paraId="6E8E2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AB7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7A0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7F2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2F81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D36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8A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5AF2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8FF9">
            <w:pPr>
              <w:jc w:val="right"/>
              <w:rPr>
                <w:rFonts w:hint="default" w:ascii="Times New Roman" w:hAnsi="Times New Roman" w:eastAsia="宋体" w:cs="Times New Roman"/>
                <w:i w:val="0"/>
                <w:iCs w:val="0"/>
                <w:color w:val="000000"/>
                <w:sz w:val="20"/>
                <w:szCs w:val="20"/>
                <w:highlight w:val="none"/>
                <w:u w:val="none"/>
              </w:rPr>
            </w:pPr>
          </w:p>
        </w:tc>
      </w:tr>
      <w:tr w14:paraId="6DDDF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9D0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814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0DC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618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3903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3FF9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E6F8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DC658">
            <w:pPr>
              <w:jc w:val="right"/>
              <w:rPr>
                <w:rFonts w:hint="default" w:ascii="Times New Roman" w:hAnsi="Times New Roman" w:eastAsia="宋体" w:cs="Times New Roman"/>
                <w:i w:val="0"/>
                <w:iCs w:val="0"/>
                <w:color w:val="000000"/>
                <w:sz w:val="20"/>
                <w:szCs w:val="20"/>
                <w:highlight w:val="none"/>
                <w:u w:val="none"/>
              </w:rPr>
            </w:pPr>
          </w:p>
        </w:tc>
      </w:tr>
      <w:tr w14:paraId="52180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A26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DABC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688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6E7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C1E4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D0B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6A5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AE0A3">
            <w:pPr>
              <w:jc w:val="right"/>
              <w:rPr>
                <w:rFonts w:hint="default" w:ascii="Times New Roman" w:hAnsi="Times New Roman" w:eastAsia="宋体" w:cs="Times New Roman"/>
                <w:i w:val="0"/>
                <w:iCs w:val="0"/>
                <w:color w:val="000000"/>
                <w:sz w:val="20"/>
                <w:szCs w:val="20"/>
                <w:highlight w:val="none"/>
                <w:u w:val="none"/>
              </w:rPr>
            </w:pPr>
          </w:p>
        </w:tc>
      </w:tr>
      <w:tr w14:paraId="6EC84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84D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D5E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F2C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938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88B2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673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6A45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6D01D">
            <w:pPr>
              <w:jc w:val="right"/>
              <w:rPr>
                <w:rFonts w:hint="default" w:ascii="Times New Roman" w:hAnsi="Times New Roman" w:eastAsia="宋体" w:cs="Times New Roman"/>
                <w:i w:val="0"/>
                <w:iCs w:val="0"/>
                <w:color w:val="000000"/>
                <w:sz w:val="20"/>
                <w:szCs w:val="20"/>
                <w:highlight w:val="none"/>
                <w:u w:val="none"/>
              </w:rPr>
            </w:pPr>
          </w:p>
        </w:tc>
      </w:tr>
      <w:tr w14:paraId="373E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BDD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D649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C00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4C7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A1B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A44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8C7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47B4">
            <w:pPr>
              <w:jc w:val="right"/>
              <w:rPr>
                <w:rFonts w:hint="default" w:ascii="Times New Roman" w:hAnsi="Times New Roman" w:eastAsia="宋体" w:cs="Times New Roman"/>
                <w:i w:val="0"/>
                <w:iCs w:val="0"/>
                <w:color w:val="000000"/>
                <w:sz w:val="20"/>
                <w:szCs w:val="20"/>
                <w:highlight w:val="none"/>
                <w:u w:val="none"/>
              </w:rPr>
            </w:pPr>
          </w:p>
        </w:tc>
      </w:tr>
      <w:tr w14:paraId="161B8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18A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319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E0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6A8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BE61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7456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8634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6B7F7">
            <w:pPr>
              <w:jc w:val="right"/>
              <w:rPr>
                <w:rFonts w:hint="default" w:ascii="Times New Roman" w:hAnsi="Times New Roman" w:eastAsia="宋体" w:cs="Times New Roman"/>
                <w:i w:val="0"/>
                <w:iCs w:val="0"/>
                <w:color w:val="000000"/>
                <w:sz w:val="20"/>
                <w:szCs w:val="20"/>
                <w:highlight w:val="none"/>
                <w:u w:val="none"/>
              </w:rPr>
            </w:pPr>
          </w:p>
        </w:tc>
      </w:tr>
      <w:tr w14:paraId="44BD4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ED2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629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2CA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4A0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4B46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B58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726B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FDA2B">
            <w:pPr>
              <w:jc w:val="right"/>
              <w:rPr>
                <w:rFonts w:hint="default" w:ascii="Times New Roman" w:hAnsi="Times New Roman" w:eastAsia="宋体" w:cs="Times New Roman"/>
                <w:i w:val="0"/>
                <w:iCs w:val="0"/>
                <w:color w:val="000000"/>
                <w:sz w:val="20"/>
                <w:szCs w:val="20"/>
                <w:highlight w:val="none"/>
                <w:u w:val="none"/>
              </w:rPr>
            </w:pPr>
          </w:p>
        </w:tc>
      </w:tr>
      <w:tr w14:paraId="3AE8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6899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40C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25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331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F42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1B3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7C3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BFA8C">
            <w:pPr>
              <w:jc w:val="right"/>
              <w:rPr>
                <w:rFonts w:hint="default" w:ascii="Times New Roman" w:hAnsi="Times New Roman" w:eastAsia="宋体" w:cs="Times New Roman"/>
                <w:i w:val="0"/>
                <w:iCs w:val="0"/>
                <w:color w:val="000000"/>
                <w:sz w:val="20"/>
                <w:szCs w:val="20"/>
                <w:highlight w:val="none"/>
                <w:u w:val="none"/>
              </w:rPr>
            </w:pPr>
          </w:p>
        </w:tc>
      </w:tr>
      <w:tr w14:paraId="564B1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D1B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7DB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93B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0BE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E5E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D7E4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2AE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921FB">
            <w:pPr>
              <w:jc w:val="right"/>
              <w:rPr>
                <w:rFonts w:hint="default" w:ascii="Times New Roman" w:hAnsi="Times New Roman" w:eastAsia="宋体" w:cs="Times New Roman"/>
                <w:i w:val="0"/>
                <w:iCs w:val="0"/>
                <w:color w:val="000000"/>
                <w:sz w:val="20"/>
                <w:szCs w:val="20"/>
                <w:highlight w:val="none"/>
                <w:u w:val="none"/>
              </w:rPr>
            </w:pPr>
          </w:p>
        </w:tc>
      </w:tr>
      <w:tr w14:paraId="7C22C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048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2E2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85C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AA6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E85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4B69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8E2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CFE3B">
            <w:pPr>
              <w:jc w:val="right"/>
              <w:rPr>
                <w:rFonts w:hint="default" w:ascii="Times New Roman" w:hAnsi="Times New Roman" w:eastAsia="宋体" w:cs="Times New Roman"/>
                <w:i w:val="0"/>
                <w:iCs w:val="0"/>
                <w:color w:val="000000"/>
                <w:sz w:val="20"/>
                <w:szCs w:val="20"/>
                <w:highlight w:val="none"/>
                <w:u w:val="none"/>
              </w:rPr>
            </w:pPr>
          </w:p>
        </w:tc>
      </w:tr>
      <w:tr w14:paraId="55326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BA4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5C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民用航空运输</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F4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0FF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35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E79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21A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336CB">
            <w:pPr>
              <w:jc w:val="right"/>
              <w:rPr>
                <w:rFonts w:hint="default" w:ascii="Times New Roman" w:hAnsi="Times New Roman" w:eastAsia="宋体" w:cs="Times New Roman"/>
                <w:i w:val="0"/>
                <w:iCs w:val="0"/>
                <w:color w:val="000000"/>
                <w:sz w:val="20"/>
                <w:szCs w:val="20"/>
                <w:highlight w:val="none"/>
                <w:u w:val="none"/>
              </w:rPr>
            </w:pPr>
          </w:p>
        </w:tc>
      </w:tr>
      <w:tr w14:paraId="7ECA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42D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A68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349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5E2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FA3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B6D0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DC8C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3DFE">
            <w:pPr>
              <w:jc w:val="right"/>
              <w:rPr>
                <w:rFonts w:hint="default" w:ascii="Times New Roman" w:hAnsi="Times New Roman" w:eastAsia="宋体" w:cs="Times New Roman"/>
                <w:i w:val="0"/>
                <w:iCs w:val="0"/>
                <w:color w:val="000000"/>
                <w:sz w:val="20"/>
                <w:szCs w:val="20"/>
                <w:highlight w:val="none"/>
                <w:u w:val="none"/>
              </w:rPr>
            </w:pPr>
          </w:p>
        </w:tc>
      </w:tr>
      <w:tr w14:paraId="6CD5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5D1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66D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389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46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63F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ADE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84F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33EB5">
            <w:pPr>
              <w:jc w:val="right"/>
              <w:rPr>
                <w:rFonts w:hint="default" w:ascii="Times New Roman" w:hAnsi="Times New Roman" w:eastAsia="宋体" w:cs="Times New Roman"/>
                <w:i w:val="0"/>
                <w:iCs w:val="0"/>
                <w:color w:val="000000"/>
                <w:sz w:val="20"/>
                <w:szCs w:val="20"/>
                <w:highlight w:val="none"/>
                <w:u w:val="none"/>
              </w:rPr>
            </w:pPr>
          </w:p>
        </w:tc>
      </w:tr>
      <w:tr w14:paraId="206D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DF7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22D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医药制造业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BC0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45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948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456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5F9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9D1DF">
            <w:pPr>
              <w:jc w:val="right"/>
              <w:rPr>
                <w:rFonts w:hint="default" w:ascii="Times New Roman" w:hAnsi="Times New Roman" w:eastAsia="宋体" w:cs="Times New Roman"/>
                <w:i w:val="0"/>
                <w:iCs w:val="0"/>
                <w:color w:val="000000"/>
                <w:sz w:val="20"/>
                <w:szCs w:val="20"/>
                <w:highlight w:val="none"/>
                <w:u w:val="none"/>
              </w:rPr>
            </w:pPr>
          </w:p>
        </w:tc>
      </w:tr>
      <w:tr w14:paraId="176EA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533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482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6FB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E88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773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FD2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54366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53842">
            <w:pPr>
              <w:jc w:val="right"/>
              <w:rPr>
                <w:rFonts w:hint="default" w:ascii="Times New Roman" w:hAnsi="Times New Roman" w:eastAsia="宋体" w:cs="Times New Roman"/>
                <w:i w:val="0"/>
                <w:iCs w:val="0"/>
                <w:color w:val="000000"/>
                <w:sz w:val="20"/>
                <w:szCs w:val="20"/>
                <w:highlight w:val="none"/>
                <w:u w:val="none"/>
              </w:rPr>
            </w:pPr>
          </w:p>
        </w:tc>
      </w:tr>
      <w:tr w14:paraId="752FD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59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7EE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390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018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8BA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0EE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BA8D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54B08">
            <w:pPr>
              <w:jc w:val="right"/>
              <w:rPr>
                <w:rFonts w:hint="default" w:ascii="Times New Roman" w:hAnsi="Times New Roman" w:eastAsia="宋体" w:cs="Times New Roman"/>
                <w:i w:val="0"/>
                <w:iCs w:val="0"/>
                <w:color w:val="000000"/>
                <w:sz w:val="20"/>
                <w:szCs w:val="20"/>
                <w:highlight w:val="none"/>
                <w:u w:val="none"/>
              </w:rPr>
            </w:pPr>
          </w:p>
        </w:tc>
      </w:tr>
      <w:tr w14:paraId="38EF1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D618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1B3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925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B20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0F4B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548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6D61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39C2">
            <w:pPr>
              <w:jc w:val="right"/>
              <w:rPr>
                <w:rFonts w:hint="default" w:ascii="Times New Roman" w:hAnsi="Times New Roman" w:eastAsia="宋体" w:cs="Times New Roman"/>
                <w:i w:val="0"/>
                <w:iCs w:val="0"/>
                <w:color w:val="000000"/>
                <w:sz w:val="20"/>
                <w:szCs w:val="20"/>
                <w:highlight w:val="none"/>
                <w:u w:val="none"/>
              </w:rPr>
            </w:pPr>
          </w:p>
        </w:tc>
      </w:tr>
      <w:tr w14:paraId="3B260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4FD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BF4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粮油物资储备支出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0A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D88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B9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6AB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858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9B2EB">
            <w:pPr>
              <w:jc w:val="right"/>
              <w:rPr>
                <w:rFonts w:hint="default" w:ascii="Times New Roman" w:hAnsi="Times New Roman" w:eastAsia="宋体" w:cs="Times New Roman"/>
                <w:i w:val="0"/>
                <w:iCs w:val="0"/>
                <w:color w:val="000000"/>
                <w:sz w:val="20"/>
                <w:szCs w:val="20"/>
                <w:highlight w:val="none"/>
                <w:u w:val="none"/>
              </w:rPr>
            </w:pPr>
          </w:p>
        </w:tc>
      </w:tr>
      <w:tr w14:paraId="593D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8904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DC5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F7A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F3B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B3F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5C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462C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73666">
            <w:pPr>
              <w:jc w:val="right"/>
              <w:rPr>
                <w:rFonts w:hint="default" w:ascii="Times New Roman" w:hAnsi="Times New Roman" w:eastAsia="宋体" w:cs="Times New Roman"/>
                <w:i w:val="0"/>
                <w:iCs w:val="0"/>
                <w:color w:val="000000"/>
                <w:sz w:val="20"/>
                <w:szCs w:val="20"/>
                <w:highlight w:val="none"/>
                <w:u w:val="none"/>
              </w:rPr>
            </w:pPr>
          </w:p>
        </w:tc>
      </w:tr>
      <w:tr w14:paraId="00EA8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28F7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F00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专项业务活动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0E7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B6C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344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65B3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7AD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9E71F">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部门（单位）：正定县发展和改革局（本级）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1,197.65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1,197.65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511.14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511.14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1,000.00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66.94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4,222.86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2,838.86</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1,384.00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2,838.86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1,376.77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1,462.09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r>
      <w:tr w14:paraId="4581B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A2517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E95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发展与改革事务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424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1,197.65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FD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38E7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440.09</w:t>
            </w:r>
          </w:p>
        </w:tc>
      </w:tr>
      <w:tr w14:paraId="1760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A7D0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A20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7D8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778.56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15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757.56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E77E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43CD6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C2C5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59F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B3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84C8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23EA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w:t>
            </w:r>
          </w:p>
        </w:tc>
      </w:tr>
      <w:tr w14:paraId="4C0BD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9B2EE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32E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物价管理</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F41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8D76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4DAAF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5.31</w:t>
            </w:r>
          </w:p>
        </w:tc>
      </w:tr>
      <w:tr w14:paraId="6867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C8583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2010499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BB3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其他发展与改革事务支出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92E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8E05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E68CE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411.44</w:t>
            </w:r>
          </w:p>
        </w:tc>
      </w:tr>
      <w:tr w14:paraId="7280C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4641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3C1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60B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A3F8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EE4A7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23F38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B184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FE9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921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B64E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4329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78B2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1DA4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2069999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D20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其他科学技术支出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5A1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E2CC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A75B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21.00</w:t>
            </w:r>
          </w:p>
        </w:tc>
      </w:tr>
      <w:tr w14:paraId="25FB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3E34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8AE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E2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437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511.14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B19352A">
            <w:pPr>
              <w:jc w:val="right"/>
              <w:rPr>
                <w:rFonts w:hint="default" w:ascii="Times New Roman" w:hAnsi="Times New Roman" w:eastAsia="宋体" w:cs="Times New Roman"/>
                <w:i w:val="0"/>
                <w:iCs w:val="0"/>
                <w:color w:val="000000"/>
                <w:sz w:val="20"/>
                <w:szCs w:val="20"/>
                <w:highlight w:val="none"/>
                <w:u w:val="none"/>
              </w:rPr>
            </w:pPr>
          </w:p>
        </w:tc>
      </w:tr>
      <w:tr w14:paraId="41203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5D9B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7F0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0D5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286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474.58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59FB35">
            <w:pPr>
              <w:jc w:val="right"/>
              <w:rPr>
                <w:rFonts w:hint="default" w:ascii="Times New Roman" w:hAnsi="Times New Roman" w:eastAsia="宋体" w:cs="Times New Roman"/>
                <w:i w:val="0"/>
                <w:iCs w:val="0"/>
                <w:color w:val="000000"/>
                <w:sz w:val="20"/>
                <w:szCs w:val="20"/>
                <w:highlight w:val="none"/>
                <w:u w:val="none"/>
              </w:rPr>
            </w:pPr>
          </w:p>
        </w:tc>
      </w:tr>
      <w:tr w14:paraId="783E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6832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E72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820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3F6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385.43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AB6AE66">
            <w:pPr>
              <w:jc w:val="right"/>
              <w:rPr>
                <w:rFonts w:hint="default" w:ascii="Times New Roman" w:hAnsi="Times New Roman" w:eastAsia="宋体" w:cs="Times New Roman"/>
                <w:i w:val="0"/>
                <w:iCs w:val="0"/>
                <w:color w:val="000000"/>
                <w:sz w:val="20"/>
                <w:szCs w:val="20"/>
                <w:highlight w:val="none"/>
                <w:u w:val="none"/>
              </w:rPr>
            </w:pPr>
          </w:p>
        </w:tc>
      </w:tr>
      <w:tr w14:paraId="50A4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A42EA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970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74C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C15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80.93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8AD4F4">
            <w:pPr>
              <w:jc w:val="right"/>
              <w:rPr>
                <w:rFonts w:hint="default" w:ascii="Times New Roman" w:hAnsi="Times New Roman" w:eastAsia="宋体" w:cs="Times New Roman"/>
                <w:i w:val="0"/>
                <w:iCs w:val="0"/>
                <w:color w:val="000000"/>
                <w:sz w:val="20"/>
                <w:szCs w:val="20"/>
                <w:highlight w:val="none"/>
                <w:u w:val="none"/>
              </w:rPr>
            </w:pPr>
          </w:p>
        </w:tc>
      </w:tr>
      <w:tr w14:paraId="712F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47AB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5CB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585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5B0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9622659">
            <w:pPr>
              <w:jc w:val="right"/>
              <w:rPr>
                <w:rFonts w:hint="default" w:ascii="Times New Roman" w:hAnsi="Times New Roman" w:eastAsia="宋体" w:cs="Times New Roman"/>
                <w:i w:val="0"/>
                <w:iCs w:val="0"/>
                <w:color w:val="000000"/>
                <w:sz w:val="20"/>
                <w:szCs w:val="20"/>
                <w:highlight w:val="none"/>
                <w:u w:val="none"/>
              </w:rPr>
            </w:pPr>
          </w:p>
        </w:tc>
      </w:tr>
      <w:tr w14:paraId="0A80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39BB2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966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242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368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3290AE">
            <w:pPr>
              <w:jc w:val="right"/>
              <w:rPr>
                <w:rFonts w:hint="default" w:ascii="Times New Roman" w:hAnsi="Times New Roman" w:eastAsia="宋体" w:cs="Times New Roman"/>
                <w:i w:val="0"/>
                <w:iCs w:val="0"/>
                <w:color w:val="000000"/>
                <w:sz w:val="20"/>
                <w:szCs w:val="20"/>
                <w:highlight w:val="none"/>
                <w:u w:val="none"/>
              </w:rPr>
            </w:pPr>
          </w:p>
        </w:tc>
      </w:tr>
      <w:tr w14:paraId="32D0E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F8B1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842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4C7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0DC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DDC546">
            <w:pPr>
              <w:jc w:val="right"/>
              <w:rPr>
                <w:rFonts w:hint="default" w:ascii="Times New Roman" w:hAnsi="Times New Roman" w:eastAsia="宋体" w:cs="Times New Roman"/>
                <w:i w:val="0"/>
                <w:iCs w:val="0"/>
                <w:color w:val="000000"/>
                <w:sz w:val="20"/>
                <w:szCs w:val="20"/>
                <w:highlight w:val="none"/>
                <w:u w:val="none"/>
              </w:rPr>
            </w:pPr>
          </w:p>
        </w:tc>
      </w:tr>
      <w:tr w14:paraId="31AC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44E4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85A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AAA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CB3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16CCD5">
            <w:pPr>
              <w:jc w:val="right"/>
              <w:rPr>
                <w:rFonts w:hint="default" w:ascii="Times New Roman" w:hAnsi="Times New Roman" w:eastAsia="宋体" w:cs="Times New Roman"/>
                <w:i w:val="0"/>
                <w:iCs w:val="0"/>
                <w:color w:val="000000"/>
                <w:sz w:val="20"/>
                <w:szCs w:val="20"/>
                <w:highlight w:val="none"/>
                <w:u w:val="none"/>
              </w:rPr>
            </w:pPr>
          </w:p>
        </w:tc>
      </w:tr>
      <w:tr w14:paraId="0EC1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29EB8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C80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3BB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2F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76B9F8">
            <w:pPr>
              <w:jc w:val="right"/>
              <w:rPr>
                <w:rFonts w:hint="default" w:ascii="Times New Roman" w:hAnsi="Times New Roman" w:eastAsia="宋体" w:cs="Times New Roman"/>
                <w:i w:val="0"/>
                <w:iCs w:val="0"/>
                <w:color w:val="000000"/>
                <w:sz w:val="20"/>
                <w:szCs w:val="20"/>
                <w:highlight w:val="none"/>
                <w:u w:val="none"/>
              </w:rPr>
            </w:pPr>
          </w:p>
        </w:tc>
      </w:tr>
      <w:tr w14:paraId="7DF0E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B589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459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CA6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792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FABB13">
            <w:pPr>
              <w:jc w:val="right"/>
              <w:rPr>
                <w:rFonts w:hint="default" w:ascii="Times New Roman" w:hAnsi="Times New Roman" w:eastAsia="宋体" w:cs="Times New Roman"/>
                <w:i w:val="0"/>
                <w:iCs w:val="0"/>
                <w:color w:val="000000"/>
                <w:sz w:val="20"/>
                <w:szCs w:val="20"/>
                <w:highlight w:val="none"/>
                <w:u w:val="none"/>
              </w:rPr>
            </w:pPr>
          </w:p>
        </w:tc>
      </w:tr>
      <w:tr w14:paraId="0CF72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8F191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745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E68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74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89016D">
            <w:pPr>
              <w:jc w:val="right"/>
              <w:rPr>
                <w:rFonts w:hint="default" w:ascii="Times New Roman" w:hAnsi="Times New Roman" w:eastAsia="宋体" w:cs="Times New Roman"/>
                <w:i w:val="0"/>
                <w:iCs w:val="0"/>
                <w:color w:val="000000"/>
                <w:sz w:val="20"/>
                <w:szCs w:val="20"/>
                <w:highlight w:val="none"/>
                <w:u w:val="none"/>
              </w:rPr>
            </w:pPr>
          </w:p>
        </w:tc>
      </w:tr>
      <w:tr w14:paraId="780A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5E76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EF9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2FF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8669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422E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r>
      <w:tr w14:paraId="1F343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3028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F37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AD6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3277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3659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r>
      <w:tr w14:paraId="4756D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E7C4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419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医药制造业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7F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8319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3932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1,000.00</w:t>
            </w:r>
          </w:p>
        </w:tc>
      </w:tr>
      <w:tr w14:paraId="1197C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3313A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D7C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61C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D54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AA0E5F">
            <w:pPr>
              <w:jc w:val="right"/>
              <w:rPr>
                <w:rFonts w:hint="default" w:ascii="Times New Roman" w:hAnsi="Times New Roman" w:eastAsia="宋体" w:cs="Times New Roman"/>
                <w:i w:val="0"/>
                <w:iCs w:val="0"/>
                <w:color w:val="000000"/>
                <w:sz w:val="20"/>
                <w:szCs w:val="20"/>
                <w:highlight w:val="none"/>
                <w:u w:val="none"/>
              </w:rPr>
            </w:pPr>
          </w:p>
        </w:tc>
      </w:tr>
      <w:tr w14:paraId="7675B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0471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194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172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D6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17C800">
            <w:pPr>
              <w:jc w:val="right"/>
              <w:rPr>
                <w:rFonts w:hint="default" w:ascii="Times New Roman" w:hAnsi="Times New Roman" w:eastAsia="宋体" w:cs="Times New Roman"/>
                <w:i w:val="0"/>
                <w:iCs w:val="0"/>
                <w:color w:val="000000"/>
                <w:sz w:val="20"/>
                <w:szCs w:val="20"/>
                <w:highlight w:val="none"/>
                <w:u w:val="none"/>
              </w:rPr>
            </w:pPr>
          </w:p>
        </w:tc>
      </w:tr>
      <w:tr w14:paraId="0959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4281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856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E3B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1B6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26176B">
            <w:pPr>
              <w:jc w:val="right"/>
              <w:rPr>
                <w:rFonts w:hint="default" w:ascii="Times New Roman" w:hAnsi="Times New Roman" w:eastAsia="宋体" w:cs="Times New Roman"/>
                <w:i w:val="0"/>
                <w:iCs w:val="0"/>
                <w:color w:val="000000"/>
                <w:sz w:val="20"/>
                <w:szCs w:val="20"/>
                <w:highlight w:val="none"/>
                <w:u w:val="none"/>
              </w:rPr>
            </w:pPr>
          </w:p>
        </w:tc>
      </w:tr>
      <w:tr w14:paraId="5A9E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6047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CC9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粮油物资储备支出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671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2041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64F5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41B1F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E17AF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CA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粮油物资事务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67F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293C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D69C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1C53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80C1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2220106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30C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专项业务活动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CFBF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77F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663E0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部门（单位）：正定县发展和改革局 </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（本级）</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877.24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66.54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261.54</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122.77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102.50</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156.80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80.93</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14.78</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8.21</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27.29</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13.84</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3.35</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3.06</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66.94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33.35</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432.99</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18.29</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36.56</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11.59</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0.30</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0.34</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1,310.23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66.54</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 （本级）</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53B3F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7D3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68B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22722">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61E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72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1E76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6A1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C1B7E">
            <w:pPr>
              <w:jc w:val="right"/>
              <w:rPr>
                <w:rFonts w:hint="default" w:ascii="Times New Roman" w:hAnsi="Times New Roman" w:eastAsia="宋体" w:cs="Times New Roman"/>
                <w:i w:val="0"/>
                <w:iCs w:val="0"/>
                <w:color w:val="000000"/>
                <w:sz w:val="20"/>
                <w:szCs w:val="20"/>
                <w:highlight w:val="none"/>
                <w:u w:val="none"/>
              </w:rPr>
            </w:pPr>
          </w:p>
        </w:tc>
      </w:tr>
      <w:tr w14:paraId="7CB7F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861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2149803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E31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民用航空运输</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69D79">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3F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AA5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015F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5B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1,384.00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E339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部门（单位）：正定县发展和改革局（本级）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部门（单位）：正定县发展和改革局</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1.00</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688DB2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57EE715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2C741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2025年度收、支总计（含结转和结余）均为4,222.86万元。与2024年度决算相比，收支各减少1,145.67万元，下降21.3%，主要原因是企业奖励补贴项目资金减少。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1FCCD8F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26FE7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本年收入合计4,222.86万元，其中：财政拨款收入4,222.86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90002D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337F7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2025年度本年支出合计4,222.86万元，其中：基本支出1,376.77万元，占32.6%；项目支出2,846.09万元，占67.4%；经营支出0.00万元，占0.0%；上缴上级支出0.00万元，占0.0%；对附属单位补助支出0.00万元，占0.0%。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BF91E0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0386B4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4F0F7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2025年度财政拨款收、支总计（含结转和结余）均为4,222.86万元。与2024年度相比，财政拨款收支各减少1,145.67万元，降低21.3%，主要原因是企业奖励补贴项目资金减少。</w:t>
      </w:r>
    </w:p>
    <w:p w14:paraId="168CA5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财政拨款本年收入4,222.86万元,比上年减少1,145.67万元，降低21.3%，主要原因是企业奖励补贴项目资金减少；本年支出4,222.86万元，比上年减少1,145.67万元，降低21.3%，主要原因是企业奖励补贴项目资金减少。具体情况如下：</w:t>
      </w:r>
    </w:p>
    <w:p w14:paraId="546ACEC7">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2,838.86万元,比上年减少2,529.67万元，降低47.1%，主要原因是企业奖励补贴项目资金减少；本年支出2,838.86万元，比上年减少2,529.67万元，降低47.1%，主要原因是企业奖励补贴项目资金减少。</w:t>
      </w:r>
    </w:p>
    <w:p w14:paraId="323AF2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政府性基金预算财政拨款本年收入1,384.00万元，比上年增加1,384.00万元，增长100.00%，主要原因是</w:t>
      </w:r>
      <w:r>
        <w:rPr>
          <w:rFonts w:hint="eastAsia" w:ascii="Times New Roman" w:eastAsia="仿宋_GB2312"/>
          <w:b w:val="0"/>
          <w:sz w:val="32"/>
          <w:szCs w:val="32"/>
          <w:lang w:val="en-US" w:eastAsia="zh-CN"/>
        </w:rPr>
        <w:t>新增</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w:t>
      </w:r>
      <w:r>
        <w:rPr>
          <w:rFonts w:ascii="Times New Roman" w:eastAsia="仿宋_GB2312"/>
          <w:b w:val="0"/>
          <w:sz w:val="32"/>
          <w:szCs w:val="32"/>
        </w:rPr>
        <w:t>；本年支出1,384.00万元，比上年增加1,384.00万元，增长100.00%，主要原因是</w:t>
      </w:r>
      <w:r>
        <w:rPr>
          <w:rFonts w:hint="eastAsia" w:ascii="Times New Roman" w:eastAsia="仿宋_GB2312"/>
          <w:b w:val="0"/>
          <w:sz w:val="32"/>
          <w:szCs w:val="32"/>
          <w:lang w:val="en-US" w:eastAsia="zh-CN"/>
        </w:rPr>
        <w:t>新增</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w:t>
      </w:r>
      <w:r>
        <w:rPr>
          <w:rFonts w:ascii="Times New Roman" w:eastAsia="仿宋_GB2312"/>
          <w:b w:val="0"/>
          <w:sz w:val="32"/>
          <w:szCs w:val="32"/>
        </w:rPr>
        <w:t>。</w:t>
      </w:r>
    </w:p>
    <w:p w14:paraId="6CB92A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EE5DDD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3011A8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财政拨款本年收入4,222.86万元，完成年初预算的72.2%，比年初预算减少1,629.04万元，决算数小于预算数主要原因是企业奖励补贴项目资金减少；本年支出4,222.86万元，完成年初预算的72.2%，比年初预算减少1,629.04万元，决算数小于预算数主要原因是企业奖励补贴项目资金减少。具体情况如下：</w:t>
      </w:r>
    </w:p>
    <w:p w14:paraId="6CED45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73.2%，比年初预算减少1,037.04万元，主要原因是企业奖励补贴项目资金减少；支出完成年初预算的73.2%，比年初预算减少1,037.04万元，主要原因是企业奖励补贴项目资金减少。</w:t>
      </w:r>
    </w:p>
    <w:p w14:paraId="4AC9272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政府性基金预算财政拨款本年收入完成年初预算的70.0%，比年初预算减少592.00万元，主要原因是</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资金支付减少</w:t>
      </w:r>
      <w:r>
        <w:rPr>
          <w:rFonts w:ascii="Times New Roman" w:eastAsia="仿宋_GB2312"/>
          <w:b w:val="0"/>
          <w:sz w:val="32"/>
          <w:szCs w:val="32"/>
        </w:rPr>
        <w:t>；支出完成年初预算的70.0%，比年初预算减少592.00万元，主要原因是</w:t>
      </w:r>
      <w:r>
        <w:rPr>
          <w:rFonts w:hint="eastAsia" w:ascii="Times New Roman" w:eastAsia="仿宋_GB2312"/>
          <w:b w:val="0"/>
          <w:sz w:val="32"/>
          <w:szCs w:val="32"/>
        </w:rPr>
        <w:t>超长期特别国债项目</w:t>
      </w:r>
      <w:r>
        <w:rPr>
          <w:rFonts w:hint="eastAsia" w:ascii="Times New Roman" w:eastAsia="仿宋_GB2312"/>
          <w:b w:val="0"/>
          <w:sz w:val="32"/>
          <w:szCs w:val="32"/>
          <w:lang w:val="en-US" w:eastAsia="zh-CN"/>
        </w:rPr>
        <w:t>资金支付减少</w:t>
      </w:r>
      <w:r>
        <w:rPr>
          <w:rFonts w:ascii="Times New Roman" w:eastAsia="仿宋_GB2312"/>
          <w:b w:val="0"/>
          <w:sz w:val="32"/>
          <w:szCs w:val="32"/>
        </w:rPr>
        <w:t>。</w:t>
      </w:r>
    </w:p>
    <w:p w14:paraId="4FEABF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8975D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96477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2025年度财政拨款支出4,222.86万元，主要用于以下方面：</w:t>
      </w:r>
    </w:p>
    <w:p w14:paraId="54E3E5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94E854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一般公共服务（类）支出1,197.65万元，占28.4%，主要用于人员公用经费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综合政务管理、价格认定、人民防空工程专项规划及人民防空方案计划编制</w:t>
      </w:r>
      <w:r>
        <w:rPr>
          <w:rFonts w:ascii="Times New Roman" w:eastAsia="仿宋_GB2312"/>
          <w:b w:val="0"/>
          <w:sz w:val="32"/>
          <w:szCs w:val="32"/>
        </w:rPr>
        <w:t>等支出；外交（类）支出0.00万元，占0.0%，主要用于等支出；国防（类）支出0.00万元，占0.0%，主要用于等支出；公共安全类（类）支出0.00万元，占0.0%，主要用于等支出；教育（类）支出0.00万元，占0.0%，主要用于等支出；科学技术（类）支出21.00万元，占0.5%，主要用于</w:t>
      </w:r>
      <w:r>
        <w:rPr>
          <w:rFonts w:hint="eastAsia" w:ascii="Times New Roman" w:eastAsia="仿宋_GB2312"/>
          <w:b w:val="0"/>
          <w:sz w:val="32"/>
          <w:szCs w:val="32"/>
          <w:lang w:val="en-US" w:eastAsia="zh-CN"/>
        </w:rPr>
        <w:t>“十五五”规划编制、</w:t>
      </w:r>
      <w:r>
        <w:rPr>
          <w:rFonts w:hint="eastAsia" w:ascii="Times New Roman" w:eastAsia="仿宋_GB2312"/>
          <w:b w:val="0"/>
          <w:sz w:val="32"/>
          <w:szCs w:val="32"/>
        </w:rPr>
        <w:t>县级储备粮费用补贴及贷款利息</w:t>
      </w:r>
      <w:r>
        <w:rPr>
          <w:rFonts w:ascii="Times New Roman" w:eastAsia="仿宋_GB2312"/>
          <w:b w:val="0"/>
          <w:sz w:val="32"/>
          <w:szCs w:val="32"/>
        </w:rPr>
        <w:t>等支出；文化旅游体育与传媒（类）支出0.00万元，占0.0%，主要用于等支出；社会保障和就业 （类）支出511.14万元，占12.1%，主要用于缴纳人员养老、工伤、失业保险、职业年金等支出；卫生健康（类）支出41.13万元，占1.0%，主要用于</w:t>
      </w:r>
      <w:r>
        <w:rPr>
          <w:rFonts w:hint="eastAsia" w:ascii="Times New Roman" w:eastAsia="仿宋_GB2312"/>
          <w:b w:val="0"/>
          <w:sz w:val="32"/>
          <w:szCs w:val="32"/>
          <w:lang w:val="en-US" w:eastAsia="zh-CN"/>
        </w:rPr>
        <w:t>缴纳</w:t>
      </w:r>
      <w:r>
        <w:rPr>
          <w:rFonts w:ascii="Times New Roman" w:eastAsia="仿宋_GB2312"/>
          <w:b w:val="0"/>
          <w:sz w:val="32"/>
          <w:szCs w:val="32"/>
        </w:rPr>
        <w:t>人员医疗保险等支出；节能环保（类）支出0.00万元，占0.0%，主要用于等支出；城乡社区（类）支出0.00万元，占0.0%，主要用于等支出；农林水（类）支出0.00万元，占0.0%，主要用于等支出；交通运输（类）支出0.00万元，占0.0%，主要用于等支出；资源勘探信息等（类）支出1,000.00万元，占23.7%，主要用于</w:t>
      </w:r>
      <w:r>
        <w:rPr>
          <w:rFonts w:hint="eastAsia" w:ascii="Times New Roman" w:eastAsia="仿宋_GB2312"/>
          <w:b w:val="0"/>
          <w:sz w:val="32"/>
          <w:szCs w:val="32"/>
        </w:rPr>
        <w:t>生物医药产业奖励资金</w:t>
      </w:r>
      <w:r>
        <w:rPr>
          <w:rFonts w:ascii="Times New Roman" w:eastAsia="仿宋_GB2312"/>
          <w:b w:val="0"/>
          <w:sz w:val="32"/>
          <w:szCs w:val="32"/>
        </w:rPr>
        <w:t>等支出；商业服务业等（类）支出0.00万元，占0.0%，主要用于等支出；金融（类）支出0.00万元，占0.0%，主要用于等支出；援助其他地区（类）支出0.00万元，占0.0%，主要用于等支出；自然资源海洋气象等（类）支出0.00万元，占0.0%，主要用于等支出；住房保障（类）支出66.94万元，占1.6%，主要用于缴纳人员住房公积金等支出；粮油物资储备（类）支出1.00万元，占0.0%，主要用于</w:t>
      </w:r>
      <w:r>
        <w:rPr>
          <w:rFonts w:hint="eastAsia" w:ascii="Times New Roman" w:eastAsia="仿宋_GB2312"/>
          <w:b w:val="0"/>
          <w:sz w:val="32"/>
          <w:szCs w:val="32"/>
        </w:rPr>
        <w:t>粮食流通稳定、监督检查、统计调查</w:t>
      </w:r>
      <w:r>
        <w:rPr>
          <w:rFonts w:ascii="Times New Roman" w:eastAsia="仿宋_GB2312"/>
          <w:b w:val="0"/>
          <w:sz w:val="32"/>
          <w:szCs w:val="32"/>
        </w:rPr>
        <w:t>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2A5A371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7D2B7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1,384.00万元，占32.8%，主要用于</w:t>
      </w:r>
      <w:r>
        <w:rPr>
          <w:rFonts w:hint="eastAsia" w:ascii="Times New Roman" w:eastAsia="仿宋_GB2312"/>
          <w:b w:val="0"/>
          <w:sz w:val="32"/>
          <w:szCs w:val="32"/>
        </w:rPr>
        <w:t>超长期特别国债项目</w:t>
      </w:r>
      <w:r>
        <w:rPr>
          <w:rFonts w:ascii="Times New Roman" w:eastAsia="仿宋_GB2312"/>
          <w:b w:val="0"/>
          <w:sz w:val="32"/>
          <w:szCs w:val="32"/>
        </w:rPr>
        <w:t>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042E79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13F8B3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F17B9B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168CB74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2025年度财政拨款基本支出1,376.77万元，其中：</w:t>
      </w:r>
    </w:p>
    <w:p w14:paraId="3747A8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1,310.23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06230C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66.54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51676CA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E9C0CB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686B1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2025年度“三公”经费财政拨款支出预算为2.14万元，支出决算为1.04万元，完成预算的48.6%，较预算减少1.10万元，降低51.4%，主要原因是压减开支；较2024年度决算减少0.92万元，降低46.9%，主要原因是压减开支。</w:t>
      </w:r>
    </w:p>
    <w:p w14:paraId="7575705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B7713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14:paraId="1949F7F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2025年度公务用车购置及运行维护费预算为1.14万元，支出决算1.04万元，完成预算的91.2%,较预算减少0.10万元，降低8.8%,主要原因是压减开支；较上年减少0.00万元，降低0.0%,主要原因是。其中：</w:t>
      </w:r>
    </w:p>
    <w:p w14:paraId="44132D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2025年度公务用车购置量0辆，发生“公务用车购置”经费支出0.00万元。公务用车购置费支出较预算增加0.00万元，增长0.0%,主要原因是；较上年增加0.00万元，增长0.00%,主要原因是。</w:t>
      </w:r>
    </w:p>
    <w:p w14:paraId="464A7A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公务用车运行维护费支出1.04万元：</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2025年度单位公务用车保有量1辆，发生运行维护费支出1.04万元。公车运行维护费支出较预算减少0.10万元，降低8.8%,主要原因是压减开支；较上年减少0.00万元，降低0.0%，主要原因是。</w:t>
      </w:r>
    </w:p>
    <w:p w14:paraId="470803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公务接待费支出预算为1.00万元，支出决算0.00万元，完成预算的0.0%。公务接待费支出较预算减少1.00万元，降低100.0%,主要原因是压减开支；较上年度减少0.92万元，降低100.0%,主要原因是压减开支。本年度共发生公务接待0批次、0人次。</w:t>
      </w:r>
    </w:p>
    <w:p w14:paraId="119A216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523E5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2025年度机关运行经费支出66.54万元，较2024年度增加0.75万元，增长1.2%。主要原因是</w:t>
      </w:r>
      <w:r>
        <w:rPr>
          <w:rFonts w:hint="eastAsia" w:ascii="Times New Roman" w:eastAsia="仿宋_GB2312"/>
          <w:b w:val="0"/>
          <w:sz w:val="32"/>
          <w:szCs w:val="32"/>
          <w:lang w:val="en-US" w:eastAsia="zh-CN"/>
        </w:rPr>
        <w:t>新增人员及业务需要</w:t>
      </w:r>
      <w:r>
        <w:rPr>
          <w:rFonts w:ascii="Times New Roman" w:eastAsia="仿宋_GB2312"/>
          <w:b w:val="0"/>
          <w:sz w:val="32"/>
          <w:szCs w:val="32"/>
        </w:rPr>
        <w:t>。</w:t>
      </w:r>
    </w:p>
    <w:p w14:paraId="07A7C9E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BD2E7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702AE5F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351F8A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val="en-US" w:eastAsia="zh-CN"/>
        </w:rPr>
        <w:t>单位</w:t>
      </w:r>
      <w:r>
        <w:rPr>
          <w:rFonts w:ascii="Times New Roman" w:eastAsia="仿宋_GB2312"/>
          <w:b w:val="0"/>
          <w:sz w:val="32"/>
          <w:szCs w:val="32"/>
        </w:rPr>
        <w:t>共有车辆1辆，比上年增加0辆，主要是。其中，副部（省）级及以上领导用车0辆，主要负责人用车0辆，机要通信用车0辆，应急保障用车1辆，执法执勤用车0辆，特种专业技术用车0辆，离退休干部用车0辆，其他用车0辆，其他用车主要是。单位价值100万元（含）以上设备（不含车辆）0台（套）。</w:t>
      </w:r>
    </w:p>
    <w:p w14:paraId="0D9DBDDC">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6FA67D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7C18AF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val="en-US" w:eastAsia="zh-CN"/>
        </w:rPr>
        <w:t>单位</w:t>
      </w:r>
      <w:r>
        <w:rPr>
          <w:rFonts w:ascii="Times New Roman" w:eastAsia="仿宋_GB2312"/>
          <w:b w:val="0"/>
          <w:sz w:val="32"/>
          <w:szCs w:val="32"/>
        </w:rPr>
        <w:t>组织对2025年度本级预算项目支出全面开展绩效自评，共涉及资金</w:t>
      </w:r>
      <w:r>
        <w:rPr>
          <w:rFonts w:hint="eastAsia" w:ascii="Times New Roman" w:eastAsia="仿宋_GB2312"/>
          <w:b w:val="0"/>
          <w:sz w:val="32"/>
          <w:szCs w:val="32"/>
          <w:lang w:val="en-US" w:eastAsia="zh-CN"/>
        </w:rPr>
        <w:t>2846.09</w:t>
      </w:r>
      <w:r>
        <w:rPr>
          <w:rFonts w:ascii="Times New Roman" w:eastAsia="仿宋_GB2312"/>
          <w:b w:val="0"/>
          <w:sz w:val="32"/>
          <w:szCs w:val="32"/>
        </w:rPr>
        <w:t>万元</w:t>
      </w:r>
      <w:bookmarkStart w:id="0" w:name="_GoBack"/>
      <w:bookmarkEnd w:id="0"/>
      <w:r>
        <w:rPr>
          <w:rFonts w:ascii="Times New Roman" w:eastAsia="仿宋_GB2312"/>
          <w:b w:val="0"/>
          <w:sz w:val="32"/>
          <w:szCs w:val="32"/>
        </w:rPr>
        <w:t>。其中，一般公共预算项目</w:t>
      </w:r>
      <w:r>
        <w:rPr>
          <w:rFonts w:hint="eastAsia" w:ascii="Times New Roman" w:eastAsia="仿宋_GB2312"/>
          <w:b w:val="0"/>
          <w:sz w:val="32"/>
          <w:szCs w:val="32"/>
          <w:lang w:val="en-US" w:eastAsia="zh-CN"/>
        </w:rPr>
        <w:t>10</w:t>
      </w:r>
      <w:r>
        <w:rPr>
          <w:rFonts w:ascii="Times New Roman" w:eastAsia="仿宋_GB2312"/>
          <w:b w:val="0"/>
          <w:sz w:val="32"/>
          <w:szCs w:val="32"/>
        </w:rPr>
        <w:t>个，涉及资金</w:t>
      </w:r>
      <w:r>
        <w:rPr>
          <w:rFonts w:hint="eastAsia" w:ascii="Times New Roman" w:eastAsia="仿宋_GB2312"/>
          <w:b w:val="0"/>
          <w:sz w:val="32"/>
          <w:szCs w:val="32"/>
          <w:lang w:val="en-US" w:eastAsia="zh-CN"/>
        </w:rPr>
        <w:t>1462.09</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1384</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%；国有资本经营预算项目个，涉及资金万元，占国有资本经营预算项目支出总额的%。</w:t>
      </w:r>
    </w:p>
    <w:p w14:paraId="6DCDB3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w:t>
      </w:r>
      <w:r>
        <w:rPr>
          <w:rFonts w:hint="eastAsia" w:ascii="Times New Roman" w:eastAsia="仿宋_GB2312"/>
          <w:b w:val="0"/>
          <w:sz w:val="32"/>
          <w:szCs w:val="32"/>
          <w:lang w:val="en-US" w:eastAsia="zh-CN"/>
        </w:rPr>
        <w:t>0</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0</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p>
    <w:p w14:paraId="0D6BF931">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仿宋_GB2312"/>
          <w:b/>
          <w:sz w:val="32"/>
          <w:szCs w:val="32"/>
        </w:rPr>
        <w:t>（二）部门决算中项目绩效自评结果</w:t>
      </w:r>
    </w:p>
    <w:p w14:paraId="4876DEA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单位</w:t>
      </w:r>
      <w:r>
        <w:rPr>
          <w:rFonts w:ascii="Times New Roman" w:eastAsia="仿宋_GB2312"/>
          <w:b w:val="0"/>
          <w:sz w:val="32"/>
          <w:szCs w:val="32"/>
        </w:rPr>
        <w:t>在今年部门决算公开中反映</w:t>
      </w:r>
      <w:r>
        <w:rPr>
          <w:rFonts w:hint="eastAsia" w:ascii="Times New Roman" w:eastAsia="仿宋_GB2312"/>
          <w:b w:val="0"/>
          <w:sz w:val="32"/>
          <w:szCs w:val="32"/>
        </w:rPr>
        <w:t>2025年</w:t>
      </w:r>
      <w:r>
        <w:rPr>
          <w:rFonts w:hint="eastAsia" w:ascii="Times New Roman" w:eastAsia="仿宋_GB2312"/>
          <w:b w:val="0"/>
          <w:sz w:val="32"/>
          <w:szCs w:val="32"/>
          <w:lang w:val="en-US" w:eastAsia="zh-CN"/>
        </w:rPr>
        <w:t>生物医药产业奖励资金（石财建[2024]93号）1</w:t>
      </w:r>
      <w:r>
        <w:rPr>
          <w:rFonts w:ascii="Times New Roman" w:eastAsia="仿宋_GB2312"/>
          <w:b w:val="0"/>
          <w:sz w:val="32"/>
          <w:szCs w:val="32"/>
        </w:rPr>
        <w:t>个项目绩效自评结果。</w:t>
      </w:r>
    </w:p>
    <w:p w14:paraId="7414D8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1000</w:t>
      </w:r>
      <w:r>
        <w:rPr>
          <w:rFonts w:ascii="Times New Roman" w:eastAsia="仿宋_GB2312"/>
          <w:b w:val="0"/>
          <w:sz w:val="32"/>
          <w:szCs w:val="32"/>
        </w:rPr>
        <w:t>万元，执行数为</w:t>
      </w:r>
      <w:r>
        <w:rPr>
          <w:rFonts w:hint="eastAsia" w:ascii="Times New Roman" w:eastAsia="仿宋_GB2312"/>
          <w:b w:val="0"/>
          <w:sz w:val="32"/>
          <w:szCs w:val="32"/>
          <w:lang w:val="en-US" w:eastAsia="zh-CN"/>
        </w:rPr>
        <w:t>1000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按照《关于支持生物医药产业高质量发展若干措施的通知》要求申报</w:t>
      </w:r>
      <w:r>
        <w:rPr>
          <w:rFonts w:ascii="Times New Roman" w:eastAsia="仿宋_GB2312"/>
          <w:b w:val="0"/>
          <w:sz w:val="32"/>
          <w:szCs w:val="32"/>
        </w:rPr>
        <w:t>；二是</w:t>
      </w:r>
      <w:r>
        <w:rPr>
          <w:rFonts w:hint="eastAsia" w:ascii="Times New Roman" w:eastAsia="仿宋_GB2312"/>
          <w:b w:val="0"/>
          <w:sz w:val="32"/>
          <w:szCs w:val="32"/>
          <w:lang w:val="en-US" w:eastAsia="zh-CN"/>
        </w:rPr>
        <w:t>按照要求时间及时足额奖补到位</w:t>
      </w:r>
      <w:r>
        <w:rPr>
          <w:rFonts w:ascii="Times New Roman" w:eastAsia="仿宋_GB2312"/>
          <w:b w:val="0"/>
          <w:sz w:val="32"/>
          <w:szCs w:val="32"/>
        </w:rPr>
        <w:t>。发现的主要问题及原因是预算指标编制有待完善。下一步改进措施：更加科学合理制定指标，提高资金利用效率。</w:t>
      </w:r>
    </w:p>
    <w:p w14:paraId="6FF44FE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p>
    <w:tbl>
      <w:tblPr>
        <w:tblStyle w:val="11"/>
        <w:tblW w:w="8929" w:type="dxa"/>
        <w:tblInd w:w="96" w:type="dxa"/>
        <w:tblLayout w:type="autofit"/>
        <w:tblCellMar>
          <w:top w:w="0" w:type="dxa"/>
          <w:left w:w="108" w:type="dxa"/>
          <w:bottom w:w="0" w:type="dxa"/>
          <w:right w:w="108" w:type="dxa"/>
        </w:tblCellMar>
      </w:tblPr>
      <w:tblGrid>
        <w:gridCol w:w="1040"/>
        <w:gridCol w:w="972"/>
        <w:gridCol w:w="996"/>
        <w:gridCol w:w="1121"/>
        <w:gridCol w:w="1229"/>
        <w:gridCol w:w="996"/>
        <w:gridCol w:w="1103"/>
        <w:gridCol w:w="1472"/>
      </w:tblGrid>
      <w:tr w14:paraId="29570CA7">
        <w:tblPrEx>
          <w:tblCellMar>
            <w:top w:w="0" w:type="dxa"/>
            <w:left w:w="108" w:type="dxa"/>
            <w:bottom w:w="0" w:type="dxa"/>
            <w:right w:w="108" w:type="dxa"/>
          </w:tblCellMar>
        </w:tblPrEx>
        <w:trPr>
          <w:trHeight w:val="420" w:hRule="atLeast"/>
        </w:trPr>
        <w:tc>
          <w:tcPr>
            <w:tcW w:w="8929" w:type="dxa"/>
            <w:gridSpan w:val="8"/>
            <w:tcBorders>
              <w:top w:val="nil"/>
              <w:left w:val="nil"/>
              <w:bottom w:val="nil"/>
              <w:right w:val="nil"/>
            </w:tcBorders>
            <w:shd w:val="clear" w:color="auto" w:fill="auto"/>
            <w:noWrap/>
            <w:vAlign w:val="center"/>
          </w:tcPr>
          <w:p w14:paraId="35A4E4E9">
            <w:pPr>
              <w:widowControl/>
              <w:jc w:val="center"/>
              <w:textAlignment w:val="center"/>
              <w:rPr>
                <w:rFonts w:ascii="方正小标宋_GBK" w:hAnsi="方正小标宋_GBK" w:eastAsia="方正小标宋_GBK" w:cs="方正小标宋_GBK"/>
                <w:color w:val="000000"/>
                <w:sz w:val="40"/>
                <w:szCs w:val="40"/>
              </w:rPr>
            </w:pPr>
            <w:r>
              <w:rPr>
                <w:rFonts w:ascii="方正小标宋_GBK" w:hAnsi="方正小标宋_GBK" w:eastAsia="方正小标宋_GBK" w:cs="方正小标宋_GBK"/>
                <w:color w:val="000000"/>
                <w:sz w:val="40"/>
                <w:szCs w:val="40"/>
              </w:rPr>
              <w:t>县级部门预算项目绩效自评表</w:t>
            </w:r>
          </w:p>
        </w:tc>
      </w:tr>
      <w:tr w14:paraId="2631C12A">
        <w:tblPrEx>
          <w:tblCellMar>
            <w:top w:w="0" w:type="dxa"/>
            <w:left w:w="108" w:type="dxa"/>
            <w:bottom w:w="0" w:type="dxa"/>
            <w:right w:w="108" w:type="dxa"/>
          </w:tblCellMar>
        </w:tblPrEx>
        <w:trPr>
          <w:trHeight w:val="240" w:hRule="atLeast"/>
        </w:trPr>
        <w:tc>
          <w:tcPr>
            <w:tcW w:w="0" w:type="auto"/>
            <w:gridSpan w:val="8"/>
            <w:tcBorders>
              <w:top w:val="nil"/>
              <w:left w:val="nil"/>
              <w:bottom w:val="nil"/>
              <w:right w:val="nil"/>
            </w:tcBorders>
            <w:shd w:val="clear" w:color="auto" w:fill="auto"/>
            <w:noWrap/>
            <w:vAlign w:val="bottom"/>
          </w:tcPr>
          <w:p w14:paraId="20F4B78D">
            <w:pPr>
              <w:widowControl/>
              <w:jc w:val="center"/>
              <w:textAlignment w:val="bottom"/>
              <w:rPr>
                <w:rFonts w:ascii="宋体" w:hAnsi="宋体" w:eastAsia="宋体"/>
                <w:color w:val="000000"/>
                <w:sz w:val="20"/>
                <w:szCs w:val="20"/>
              </w:rPr>
            </w:pPr>
            <w:r>
              <w:rPr>
                <w:rFonts w:hint="eastAsia" w:ascii="宋体" w:hAnsi="宋体" w:eastAsia="宋体"/>
                <w:color w:val="000000"/>
                <w:sz w:val="20"/>
                <w:szCs w:val="20"/>
              </w:rPr>
              <w:t>（      202</w:t>
            </w:r>
            <w:r>
              <w:rPr>
                <w:rFonts w:hint="eastAsia" w:ascii="宋体" w:hAnsi="宋体" w:eastAsia="宋体"/>
                <w:color w:val="000000"/>
                <w:sz w:val="20"/>
                <w:szCs w:val="20"/>
                <w:lang w:val="en-US" w:eastAsia="zh-CN"/>
              </w:rPr>
              <w:t>5</w:t>
            </w:r>
            <w:r>
              <w:rPr>
                <w:rFonts w:hint="eastAsia" w:ascii="宋体" w:hAnsi="宋体" w:eastAsia="宋体"/>
                <w:color w:val="000000"/>
                <w:sz w:val="20"/>
                <w:szCs w:val="20"/>
              </w:rPr>
              <w:t>年度）</w:t>
            </w:r>
          </w:p>
        </w:tc>
      </w:tr>
      <w:tr w14:paraId="146139B4">
        <w:tblPrEx>
          <w:tblCellMar>
            <w:top w:w="0" w:type="dxa"/>
            <w:left w:w="108" w:type="dxa"/>
            <w:bottom w:w="0" w:type="dxa"/>
            <w:right w:w="108" w:type="dxa"/>
          </w:tblCellMar>
        </w:tblPrEx>
        <w:trPr>
          <w:trHeight w:val="280" w:hRule="atLeast"/>
        </w:trPr>
        <w:tc>
          <w:tcPr>
            <w:tcW w:w="0" w:type="auto"/>
            <w:gridSpan w:val="3"/>
            <w:tcBorders>
              <w:top w:val="nil"/>
              <w:left w:val="nil"/>
              <w:bottom w:val="nil"/>
              <w:right w:val="nil"/>
            </w:tcBorders>
            <w:shd w:val="clear" w:color="auto" w:fill="auto"/>
            <w:noWrap/>
            <w:vAlign w:val="center"/>
          </w:tcPr>
          <w:p w14:paraId="55CC48DD">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填报部门：正定县发展和改革局</w:t>
            </w:r>
          </w:p>
        </w:tc>
        <w:tc>
          <w:tcPr>
            <w:tcW w:w="0" w:type="auto"/>
            <w:tcBorders>
              <w:top w:val="nil"/>
              <w:left w:val="nil"/>
              <w:bottom w:val="nil"/>
              <w:right w:val="nil"/>
            </w:tcBorders>
            <w:shd w:val="clear" w:color="auto" w:fill="auto"/>
            <w:noWrap/>
            <w:vAlign w:val="center"/>
          </w:tcPr>
          <w:p w14:paraId="54CF561D">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0C4C884E">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57162EF4">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379F6049">
            <w:pPr>
              <w:jc w:val="center"/>
              <w:rPr>
                <w:rFonts w:ascii="宋体" w:hAnsi="宋体" w:eastAsia="宋体"/>
                <w:color w:val="000000"/>
                <w:sz w:val="16"/>
                <w:szCs w:val="16"/>
              </w:rPr>
            </w:pPr>
          </w:p>
        </w:tc>
        <w:tc>
          <w:tcPr>
            <w:tcW w:w="0" w:type="auto"/>
            <w:tcBorders>
              <w:top w:val="nil"/>
              <w:left w:val="nil"/>
              <w:bottom w:val="nil"/>
              <w:right w:val="nil"/>
            </w:tcBorders>
            <w:shd w:val="clear" w:color="auto" w:fill="auto"/>
            <w:noWrap/>
            <w:vAlign w:val="center"/>
          </w:tcPr>
          <w:p w14:paraId="0DC1705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金额单位：万元</w:t>
            </w:r>
          </w:p>
        </w:tc>
      </w:tr>
      <w:tr w14:paraId="16D4312B">
        <w:tblPrEx>
          <w:tblCellMar>
            <w:top w:w="0" w:type="dxa"/>
            <w:left w:w="108" w:type="dxa"/>
            <w:bottom w:w="0" w:type="dxa"/>
            <w:right w:w="108" w:type="dxa"/>
          </w:tblCellMar>
        </w:tblPrEx>
        <w:trPr>
          <w:trHeight w:val="460" w:hRule="atLeast"/>
        </w:trPr>
        <w:tc>
          <w:tcPr>
            <w:tcW w:w="1040" w:type="dxa"/>
            <w:tcBorders>
              <w:top w:val="single" w:color="000000" w:sz="4" w:space="0"/>
              <w:left w:val="single" w:color="000000" w:sz="4" w:space="0"/>
              <w:bottom w:val="nil"/>
              <w:right w:val="single" w:color="000000" w:sz="4" w:space="0"/>
            </w:tcBorders>
            <w:shd w:val="clear" w:color="auto" w:fill="auto"/>
            <w:vAlign w:val="center"/>
          </w:tcPr>
          <w:p w14:paraId="0B845F18">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一、</w:t>
            </w:r>
            <w:r>
              <w:rPr>
                <w:rFonts w:ascii="Calibri" w:hAnsi="Calibri" w:eastAsia="宋体" w:cs="Calibri"/>
                <w:color w:val="000000"/>
                <w:sz w:val="16"/>
                <w:szCs w:val="16"/>
              </w:rPr>
              <w:t xml:space="preserve"> </w:t>
            </w:r>
            <w:r>
              <w:rPr>
                <w:rFonts w:hint="eastAsia" w:ascii="宋体" w:hAnsi="宋体" w:eastAsia="宋体"/>
                <w:color w:val="000000"/>
                <w:sz w:val="16"/>
                <w:szCs w:val="16"/>
              </w:rPr>
              <w:t>基本情况</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AA3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项目名称</w:t>
            </w:r>
          </w:p>
        </w:tc>
        <w:tc>
          <w:tcPr>
            <w:tcW w:w="21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C262A">
            <w:pPr>
              <w:widowControl/>
              <w:jc w:val="left"/>
              <w:textAlignment w:val="center"/>
              <w:rPr>
                <w:rFonts w:ascii="宋体" w:hAnsi="宋体" w:eastAsia="宋体"/>
                <w:color w:val="000000"/>
                <w:sz w:val="16"/>
                <w:szCs w:val="16"/>
              </w:rPr>
            </w:pPr>
            <w:r>
              <w:rPr>
                <w:rFonts w:hint="eastAsia" w:ascii="Times New Roman" w:eastAsia="仿宋_GB2312"/>
                <w:b w:val="0"/>
                <w:sz w:val="16"/>
                <w:szCs w:val="16"/>
              </w:rPr>
              <w:t>2025年</w:t>
            </w:r>
            <w:r>
              <w:rPr>
                <w:rFonts w:hint="eastAsia" w:ascii="Times New Roman" w:eastAsia="仿宋_GB2312"/>
                <w:b w:val="0"/>
                <w:sz w:val="16"/>
                <w:szCs w:val="16"/>
                <w:lang w:val="en-US" w:eastAsia="zh-CN"/>
              </w:rPr>
              <w:t>生物医药产业奖励资金（石财建[2024]93号）</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280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实施(主管）单位</w:t>
            </w:r>
          </w:p>
        </w:tc>
        <w:tc>
          <w:tcPr>
            <w:tcW w:w="35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288CF">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正定县发展和改革局</w:t>
            </w:r>
          </w:p>
        </w:tc>
      </w:tr>
      <w:tr w14:paraId="37F8DB33">
        <w:tblPrEx>
          <w:tblCellMar>
            <w:top w:w="0" w:type="dxa"/>
            <w:left w:w="108" w:type="dxa"/>
            <w:bottom w:w="0" w:type="dxa"/>
            <w:right w:w="108" w:type="dxa"/>
          </w:tblCellMar>
        </w:tblPrEx>
        <w:trPr>
          <w:trHeight w:val="288"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E718A">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二、预算执行情况</w:t>
            </w:r>
          </w:p>
        </w:tc>
        <w:tc>
          <w:tcPr>
            <w:tcW w:w="1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168E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预算安排情况（调整后）</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E40F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资金到位情况</w:t>
            </w:r>
          </w:p>
        </w:tc>
        <w:tc>
          <w:tcPr>
            <w:tcW w:w="20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0986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35EC">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预算执行进度</w:t>
            </w:r>
          </w:p>
        </w:tc>
      </w:tr>
      <w:tr w14:paraId="25717C93">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E0601">
            <w:pPr>
              <w:jc w:val="center"/>
              <w:rPr>
                <w:rFonts w:ascii="宋体" w:hAnsi="宋体" w:eastAsia="宋体"/>
                <w:color w:val="000000"/>
                <w:sz w:val="16"/>
                <w:szCs w:val="16"/>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4F8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预算数：</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E96A">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1000</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A71E">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到位数：</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19090">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03F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执行数：</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C729">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1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CA48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14:paraId="0FD1010F">
        <w:tblPrEx>
          <w:tblCellMar>
            <w:top w:w="0" w:type="dxa"/>
            <w:left w:w="108" w:type="dxa"/>
            <w:bottom w:w="0" w:type="dxa"/>
            <w:right w:w="108" w:type="dxa"/>
          </w:tblCellMar>
        </w:tblPrEx>
        <w:trPr>
          <w:trHeight w:val="384"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998AA">
            <w:pPr>
              <w:jc w:val="center"/>
              <w:rPr>
                <w:rFonts w:ascii="宋体" w:hAnsi="宋体" w:eastAsia="宋体"/>
                <w:color w:val="000000"/>
                <w:sz w:val="16"/>
                <w:szCs w:val="16"/>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CC257">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147B9">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B54D">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C839">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E80C">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其中：财政资金</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7D1A">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1000</w:t>
            </w: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82D1E">
            <w:pPr>
              <w:jc w:val="center"/>
              <w:rPr>
                <w:rFonts w:ascii="宋体" w:hAnsi="宋体" w:eastAsia="宋体"/>
                <w:color w:val="000000"/>
                <w:sz w:val="16"/>
                <w:szCs w:val="16"/>
              </w:rPr>
            </w:pPr>
          </w:p>
        </w:tc>
      </w:tr>
      <w:tr w14:paraId="67E66196">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2C8D2">
            <w:pPr>
              <w:jc w:val="center"/>
              <w:rPr>
                <w:rFonts w:ascii="宋体" w:hAnsi="宋体" w:eastAsia="宋体"/>
                <w:color w:val="000000"/>
                <w:sz w:val="16"/>
                <w:szCs w:val="16"/>
              </w:rPr>
            </w:pP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3C59">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E44B">
            <w:pPr>
              <w:rPr>
                <w:rFonts w:ascii="Calibri" w:hAnsi="Calibri" w:eastAsia="宋体" w:cs="Calibri"/>
                <w:color w:val="000000"/>
                <w:sz w:val="21"/>
                <w:szCs w:val="21"/>
              </w:rPr>
            </w:pPr>
          </w:p>
        </w:tc>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F691">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59EF">
            <w:pPr>
              <w:rPr>
                <w:rFonts w:ascii="宋体" w:hAnsi="宋体" w:eastAsia="宋体"/>
                <w:color w:val="000000"/>
                <w:sz w:val="16"/>
                <w:szCs w:val="16"/>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B4D4">
            <w:pPr>
              <w:widowControl/>
              <w:jc w:val="right"/>
              <w:textAlignment w:val="center"/>
              <w:rPr>
                <w:rFonts w:ascii="宋体" w:hAnsi="宋体" w:eastAsia="宋体"/>
                <w:color w:val="000000"/>
                <w:sz w:val="16"/>
                <w:szCs w:val="16"/>
              </w:rPr>
            </w:pPr>
            <w:r>
              <w:rPr>
                <w:rFonts w:hint="eastAsia" w:ascii="宋体" w:hAnsi="宋体" w:eastAsia="宋体"/>
                <w:color w:val="000000"/>
                <w:sz w:val="16"/>
                <w:szCs w:val="16"/>
              </w:rPr>
              <w:t>其他</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4610">
            <w:pPr>
              <w:rPr>
                <w:rFonts w:ascii="宋体" w:hAnsi="宋体" w:eastAsia="宋体"/>
                <w:color w:val="000000"/>
                <w:sz w:val="16"/>
                <w:szCs w:val="16"/>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9670">
            <w:pPr>
              <w:jc w:val="center"/>
              <w:rPr>
                <w:rFonts w:ascii="宋体" w:hAnsi="宋体" w:eastAsia="宋体"/>
                <w:color w:val="000000"/>
                <w:sz w:val="16"/>
                <w:szCs w:val="16"/>
              </w:rPr>
            </w:pPr>
          </w:p>
        </w:tc>
      </w:tr>
      <w:tr w14:paraId="53513E1D">
        <w:tblPrEx>
          <w:tblCellMar>
            <w:top w:w="0" w:type="dxa"/>
            <w:left w:w="108" w:type="dxa"/>
            <w:bottom w:w="0" w:type="dxa"/>
            <w:right w:w="108" w:type="dxa"/>
          </w:tblCellMar>
        </w:tblPrEx>
        <w:trPr>
          <w:trHeight w:val="288"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0225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三、目标完成情况</w:t>
            </w:r>
          </w:p>
        </w:tc>
        <w:tc>
          <w:tcPr>
            <w:tcW w:w="30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86CF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年度预期目标</w:t>
            </w:r>
          </w:p>
        </w:tc>
        <w:tc>
          <w:tcPr>
            <w:tcW w:w="33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3ADA6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具体完成情况</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224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总体完成率</w:t>
            </w:r>
          </w:p>
        </w:tc>
      </w:tr>
      <w:tr w14:paraId="562C5FF4">
        <w:tblPrEx>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20133">
            <w:pPr>
              <w:jc w:val="center"/>
              <w:rPr>
                <w:rFonts w:ascii="宋体" w:hAnsi="宋体" w:eastAsia="宋体"/>
                <w:color w:val="000000"/>
                <w:sz w:val="16"/>
                <w:szCs w:val="16"/>
              </w:rPr>
            </w:pPr>
          </w:p>
        </w:tc>
        <w:tc>
          <w:tcPr>
            <w:tcW w:w="308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EBF7D">
            <w:pPr>
              <w:widowControl/>
              <w:jc w:val="left"/>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推进生物医药研发成果产业化。对产业化项目进行奖补</w:t>
            </w:r>
          </w:p>
        </w:tc>
        <w:tc>
          <w:tcPr>
            <w:tcW w:w="33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BB691">
            <w:pPr>
              <w:widowControl/>
              <w:jc w:val="left"/>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奖补资金已足额支付到位</w:t>
            </w:r>
          </w:p>
        </w:tc>
        <w:tc>
          <w:tcPr>
            <w:tcW w:w="14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ADF7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r>
      <w:tr w14:paraId="3210E115">
        <w:tblPrEx>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76A25">
            <w:pPr>
              <w:jc w:val="center"/>
              <w:rPr>
                <w:rFonts w:ascii="宋体" w:hAnsi="宋体" w:eastAsia="宋体"/>
                <w:color w:val="000000"/>
                <w:sz w:val="16"/>
                <w:szCs w:val="16"/>
              </w:rPr>
            </w:pPr>
          </w:p>
        </w:tc>
        <w:tc>
          <w:tcPr>
            <w:tcW w:w="3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D7714">
            <w:pPr>
              <w:jc w:val="left"/>
              <w:rPr>
                <w:rFonts w:ascii="宋体" w:hAnsi="宋体" w:eastAsia="宋体"/>
                <w:color w:val="000000"/>
                <w:sz w:val="16"/>
                <w:szCs w:val="16"/>
              </w:rPr>
            </w:pPr>
          </w:p>
        </w:tc>
        <w:tc>
          <w:tcPr>
            <w:tcW w:w="33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94BBC">
            <w:pPr>
              <w:jc w:val="left"/>
              <w:rPr>
                <w:rFonts w:ascii="宋体" w:hAnsi="宋体" w:eastAsia="宋体"/>
                <w:color w:val="000000"/>
                <w:sz w:val="16"/>
                <w:szCs w:val="16"/>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847F4">
            <w:pPr>
              <w:jc w:val="center"/>
              <w:rPr>
                <w:rFonts w:ascii="宋体" w:hAnsi="宋体" w:eastAsia="宋体"/>
                <w:color w:val="000000"/>
                <w:sz w:val="16"/>
                <w:szCs w:val="16"/>
              </w:rPr>
            </w:pPr>
          </w:p>
        </w:tc>
      </w:tr>
      <w:tr w14:paraId="070AE949">
        <w:tblPrEx>
          <w:tblCellMar>
            <w:top w:w="0" w:type="dxa"/>
            <w:left w:w="108" w:type="dxa"/>
            <w:bottom w:w="0" w:type="dxa"/>
            <w:right w:w="108" w:type="dxa"/>
          </w:tblCellMar>
        </w:tblPrEx>
        <w:trPr>
          <w:trHeight w:val="320"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E1DF6">
            <w:pPr>
              <w:jc w:val="center"/>
              <w:rPr>
                <w:rFonts w:ascii="宋体" w:hAnsi="宋体" w:eastAsia="宋体"/>
                <w:color w:val="000000"/>
                <w:sz w:val="16"/>
                <w:szCs w:val="16"/>
              </w:rPr>
            </w:pPr>
          </w:p>
        </w:tc>
        <w:tc>
          <w:tcPr>
            <w:tcW w:w="30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8FA13">
            <w:pPr>
              <w:jc w:val="left"/>
              <w:rPr>
                <w:rFonts w:ascii="宋体" w:hAnsi="宋体" w:eastAsia="宋体"/>
                <w:color w:val="000000"/>
                <w:sz w:val="16"/>
                <w:szCs w:val="16"/>
              </w:rPr>
            </w:pPr>
          </w:p>
        </w:tc>
        <w:tc>
          <w:tcPr>
            <w:tcW w:w="33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9145C">
            <w:pPr>
              <w:jc w:val="left"/>
              <w:rPr>
                <w:rFonts w:ascii="宋体" w:hAnsi="宋体" w:eastAsia="宋体"/>
                <w:color w:val="000000"/>
                <w:sz w:val="16"/>
                <w:szCs w:val="16"/>
              </w:rPr>
            </w:pPr>
          </w:p>
        </w:tc>
        <w:tc>
          <w:tcPr>
            <w:tcW w:w="14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B8973">
            <w:pPr>
              <w:jc w:val="center"/>
              <w:rPr>
                <w:rFonts w:ascii="宋体" w:hAnsi="宋体" w:eastAsia="宋体"/>
                <w:color w:val="000000"/>
                <w:sz w:val="16"/>
                <w:szCs w:val="16"/>
              </w:rPr>
            </w:pPr>
          </w:p>
        </w:tc>
      </w:tr>
      <w:tr w14:paraId="7F24C3D5">
        <w:tblPrEx>
          <w:tblCellMar>
            <w:top w:w="0" w:type="dxa"/>
            <w:left w:w="108" w:type="dxa"/>
            <w:bottom w:w="0" w:type="dxa"/>
            <w:right w:w="108" w:type="dxa"/>
          </w:tblCellMar>
        </w:tblPrEx>
        <w:trPr>
          <w:trHeight w:val="270" w:hRule="atLeast"/>
        </w:trPr>
        <w:tc>
          <w:tcPr>
            <w:tcW w:w="1040" w:type="dxa"/>
            <w:vMerge w:val="restart"/>
            <w:tcBorders>
              <w:top w:val="single" w:color="000000" w:sz="4" w:space="0"/>
              <w:left w:val="single" w:color="000000" w:sz="4" w:space="0"/>
              <w:bottom w:val="single" w:color="000000" w:sz="4" w:space="0"/>
              <w:right w:val="nil"/>
            </w:tcBorders>
            <w:shd w:val="clear" w:color="auto" w:fill="auto"/>
            <w:vAlign w:val="center"/>
          </w:tcPr>
          <w:p w14:paraId="50061D46">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四、</w:t>
            </w:r>
            <w:r>
              <w:rPr>
                <w:rFonts w:ascii="Calibri" w:hAnsi="Calibri" w:eastAsia="宋体" w:cs="Calibri"/>
                <w:color w:val="000000"/>
                <w:sz w:val="16"/>
                <w:szCs w:val="16"/>
              </w:rPr>
              <w:t xml:space="preserve"> </w:t>
            </w:r>
            <w:r>
              <w:rPr>
                <w:rFonts w:hint="eastAsia" w:ascii="宋体" w:hAnsi="宋体" w:eastAsia="宋体"/>
                <w:color w:val="000000"/>
                <w:sz w:val="16"/>
                <w:szCs w:val="16"/>
              </w:rPr>
              <w:t>年度绩效指标完成情况</w:t>
            </w:r>
          </w:p>
        </w:tc>
        <w:tc>
          <w:tcPr>
            <w:tcW w:w="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646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一级指标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FDC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二级指标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16FF4">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三级指标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5AE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预期指标值</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919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实际完成值</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F7A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自评得分</w:t>
            </w:r>
          </w:p>
        </w:tc>
      </w:tr>
      <w:tr w14:paraId="177590A3">
        <w:tblPrEx>
          <w:tblCellMar>
            <w:top w:w="0" w:type="dxa"/>
            <w:left w:w="108" w:type="dxa"/>
            <w:bottom w:w="0" w:type="dxa"/>
            <w:right w:w="108" w:type="dxa"/>
          </w:tblCellMar>
        </w:tblPrEx>
        <w:trPr>
          <w:trHeight w:val="4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B0D0CE6">
            <w:pPr>
              <w:jc w:val="center"/>
              <w:rPr>
                <w:rFonts w:ascii="宋体" w:hAnsi="宋体" w:eastAsia="宋体"/>
                <w:color w:val="000000"/>
                <w:sz w:val="16"/>
                <w:szCs w:val="16"/>
              </w:rPr>
            </w:pPr>
          </w:p>
        </w:tc>
        <w:tc>
          <w:tcPr>
            <w:tcW w:w="972" w:type="dxa"/>
            <w:vMerge w:val="restart"/>
            <w:tcBorders>
              <w:top w:val="single" w:color="000000" w:sz="4" w:space="0"/>
              <w:left w:val="single" w:color="000000" w:sz="4" w:space="0"/>
              <w:bottom w:val="nil"/>
              <w:right w:val="single" w:color="000000" w:sz="4" w:space="0"/>
            </w:tcBorders>
            <w:shd w:val="clear" w:color="auto" w:fill="auto"/>
            <w:vAlign w:val="center"/>
          </w:tcPr>
          <w:p w14:paraId="15ED6FA7">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产出指标（50）</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5396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数量指标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5DD64">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9"/>
                <w:rFonts w:hint="eastAsia" w:eastAsia="Arial Unicode MS"/>
                <w:lang w:val="en-US" w:eastAsia="zh-CN"/>
              </w:rPr>
              <w:t>奖补项目数量</w:t>
            </w:r>
          </w:p>
        </w:tc>
        <w:tc>
          <w:tcPr>
            <w:tcW w:w="0" w:type="auto"/>
            <w:tcBorders>
              <w:top w:val="nil"/>
              <w:left w:val="nil"/>
              <w:bottom w:val="nil"/>
              <w:right w:val="nil"/>
            </w:tcBorders>
            <w:shd w:val="clear" w:color="auto" w:fill="auto"/>
            <w:noWrap/>
            <w:vAlign w:val="center"/>
          </w:tcPr>
          <w:p w14:paraId="7A6407D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w:t>
            </w:r>
          </w:p>
        </w:tc>
        <w:tc>
          <w:tcPr>
            <w:tcW w:w="0" w:type="auto"/>
            <w:tcBorders>
              <w:top w:val="nil"/>
              <w:left w:val="nil"/>
              <w:bottom w:val="nil"/>
              <w:right w:val="nil"/>
            </w:tcBorders>
            <w:shd w:val="clear" w:color="auto" w:fill="auto"/>
            <w:noWrap/>
            <w:vAlign w:val="center"/>
          </w:tcPr>
          <w:p w14:paraId="0AE3B62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61FC6">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w:t>
            </w:r>
          </w:p>
        </w:tc>
      </w:tr>
      <w:tr w14:paraId="3F98F718">
        <w:tblPrEx>
          <w:tblCellMar>
            <w:top w:w="0" w:type="dxa"/>
            <w:left w:w="108" w:type="dxa"/>
            <w:bottom w:w="0" w:type="dxa"/>
            <w:right w:w="108" w:type="dxa"/>
          </w:tblCellMar>
        </w:tblPrEx>
        <w:trPr>
          <w:trHeight w:val="2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54F6C38">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47E62C81">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756F2">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49999">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B24D">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AC24F">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9DE17">
            <w:pPr>
              <w:jc w:val="center"/>
              <w:rPr>
                <w:rFonts w:ascii="宋体" w:hAnsi="宋体" w:eastAsia="宋体"/>
                <w:color w:val="000000"/>
                <w:sz w:val="16"/>
                <w:szCs w:val="16"/>
              </w:rPr>
            </w:pPr>
          </w:p>
        </w:tc>
      </w:tr>
      <w:tr w14:paraId="584445F9">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55B331F8">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57C9CF48">
            <w:pPr>
              <w:jc w:val="center"/>
              <w:rPr>
                <w:rFonts w:ascii="宋体" w:hAnsi="宋体" w:eastAsia="宋体"/>
                <w:color w:val="000000"/>
                <w:sz w:val="16"/>
                <w:szCs w:val="16"/>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00A6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质量指标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E13A7">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项目与申报要求的一致性</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5DFF">
            <w:pPr>
              <w:widowControl/>
              <w:jc w:val="left"/>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项目符合《关于支持生物医药产业高质量发展若干措施的通知》要求</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C01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符合《关于支持生物医药产业高质量发展若干措施的通知》要求</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88ED">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w:t>
            </w:r>
          </w:p>
        </w:tc>
      </w:tr>
      <w:tr w14:paraId="003A9A00">
        <w:tblPrEx>
          <w:tblCellMar>
            <w:top w:w="0" w:type="dxa"/>
            <w:left w:w="108" w:type="dxa"/>
            <w:bottom w:w="0" w:type="dxa"/>
            <w:right w:w="108" w:type="dxa"/>
          </w:tblCellMar>
        </w:tblPrEx>
        <w:trPr>
          <w:trHeight w:val="24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0EBFB1A7">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65524B9">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6E55B">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2D65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6963">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BB60">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1943">
            <w:pPr>
              <w:jc w:val="center"/>
              <w:rPr>
                <w:rFonts w:ascii="宋体" w:hAnsi="宋体" w:eastAsia="宋体"/>
                <w:color w:val="000000"/>
                <w:sz w:val="16"/>
                <w:szCs w:val="16"/>
              </w:rPr>
            </w:pPr>
          </w:p>
        </w:tc>
      </w:tr>
      <w:tr w14:paraId="70C01328">
        <w:tblPrEx>
          <w:tblCellMar>
            <w:top w:w="0" w:type="dxa"/>
            <w:left w:w="108" w:type="dxa"/>
            <w:bottom w:w="0" w:type="dxa"/>
            <w:right w:w="108" w:type="dxa"/>
          </w:tblCellMar>
        </w:tblPrEx>
        <w:trPr>
          <w:trHeight w:val="627"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442B61E">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5046FC9D">
            <w:pPr>
              <w:jc w:val="center"/>
              <w:rPr>
                <w:rFonts w:ascii="宋体" w:hAnsi="宋体" w:eastAsia="宋体"/>
                <w:color w:val="000000"/>
                <w:sz w:val="16"/>
                <w:szCs w:val="16"/>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A094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时效指标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C9A49">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完成及时性</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D480">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2025年12月31日前下达</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F37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2025年12月31日前已下达</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411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726BFD24">
        <w:tblPrEx>
          <w:tblCellMar>
            <w:top w:w="0" w:type="dxa"/>
            <w:left w:w="108" w:type="dxa"/>
            <w:bottom w:w="0" w:type="dxa"/>
            <w:right w:w="108" w:type="dxa"/>
          </w:tblCellMar>
        </w:tblPrEx>
        <w:trPr>
          <w:trHeight w:val="1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2C50565">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21CE8376">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57785">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4A322">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6B91">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1051">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A2F4">
            <w:pPr>
              <w:jc w:val="center"/>
              <w:rPr>
                <w:rFonts w:ascii="宋体" w:hAnsi="宋体" w:eastAsia="宋体"/>
                <w:color w:val="000000"/>
                <w:sz w:val="16"/>
                <w:szCs w:val="16"/>
              </w:rPr>
            </w:pPr>
          </w:p>
        </w:tc>
      </w:tr>
      <w:tr w14:paraId="49EEC01B">
        <w:tblPrEx>
          <w:tblCellMar>
            <w:top w:w="0" w:type="dxa"/>
            <w:left w:w="108" w:type="dxa"/>
            <w:bottom w:w="0" w:type="dxa"/>
            <w:right w:w="108" w:type="dxa"/>
          </w:tblCellMar>
        </w:tblPrEx>
        <w:trPr>
          <w:trHeight w:val="5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4AF68DC1">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32E78121">
            <w:pPr>
              <w:jc w:val="center"/>
              <w:rPr>
                <w:rFonts w:ascii="宋体" w:hAnsi="宋体" w:eastAsia="宋体"/>
                <w:color w:val="000000"/>
                <w:sz w:val="16"/>
                <w:szCs w:val="16"/>
              </w:rPr>
            </w:pP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B4CF5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成本指标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831CA">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项目奖补支出</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77D0">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1000万元</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8D7C">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1000万元</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1ECC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7333F1B9">
        <w:tblPrEx>
          <w:tblCellMar>
            <w:top w:w="0" w:type="dxa"/>
            <w:left w:w="108" w:type="dxa"/>
            <w:bottom w:w="0" w:type="dxa"/>
            <w:right w:w="108" w:type="dxa"/>
          </w:tblCellMar>
        </w:tblPrEx>
        <w:trPr>
          <w:trHeight w:val="20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42BB4D89">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19EBC85A">
            <w:pPr>
              <w:jc w:val="center"/>
              <w:rPr>
                <w:rFonts w:ascii="宋体" w:hAnsi="宋体" w:eastAsia="宋体"/>
                <w:color w:val="000000"/>
                <w:sz w:val="16"/>
                <w:szCs w:val="16"/>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DAE82">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EC15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9F6B">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1E73">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BA2E1">
            <w:pPr>
              <w:jc w:val="center"/>
              <w:rPr>
                <w:rFonts w:ascii="宋体" w:hAnsi="宋体" w:eastAsia="宋体"/>
                <w:color w:val="000000"/>
                <w:sz w:val="16"/>
                <w:szCs w:val="16"/>
              </w:rPr>
            </w:pPr>
          </w:p>
        </w:tc>
      </w:tr>
      <w:tr w14:paraId="1BB74A14">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12449B56">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761C933">
            <w:pPr>
              <w:jc w:val="center"/>
              <w:rPr>
                <w:rFonts w:ascii="宋体" w:hAnsi="宋体" w:eastAsia="宋体"/>
                <w:color w:val="000000"/>
                <w:sz w:val="16"/>
                <w:szCs w:val="16"/>
              </w:rPr>
            </w:pPr>
          </w:p>
        </w:tc>
        <w:tc>
          <w:tcPr>
            <w:tcW w:w="996" w:type="dxa"/>
            <w:tcBorders>
              <w:top w:val="nil"/>
              <w:left w:val="single" w:color="000000" w:sz="4" w:space="0"/>
              <w:bottom w:val="single" w:color="000000" w:sz="4" w:space="0"/>
              <w:right w:val="single" w:color="000000" w:sz="4" w:space="0"/>
            </w:tcBorders>
            <w:shd w:val="clear" w:color="auto" w:fill="auto"/>
            <w:vAlign w:val="center"/>
          </w:tcPr>
          <w:p w14:paraId="72B5E27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预算执行率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A78F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资金执行情况与到位情况比例</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E974">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C36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100%</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2E1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70A8391A">
        <w:tblPrEx>
          <w:tblCellMar>
            <w:top w:w="0" w:type="dxa"/>
            <w:left w:w="108" w:type="dxa"/>
            <w:bottom w:w="0" w:type="dxa"/>
            <w:right w:w="108" w:type="dxa"/>
          </w:tblCellMar>
        </w:tblPrEx>
        <w:trPr>
          <w:trHeight w:val="384"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0774250D">
            <w:pPr>
              <w:jc w:val="center"/>
              <w:rPr>
                <w:rFonts w:ascii="宋体" w:hAnsi="宋体" w:eastAsia="宋体"/>
                <w:color w:val="000000"/>
                <w:sz w:val="16"/>
                <w:szCs w:val="16"/>
              </w:rPr>
            </w:pPr>
          </w:p>
        </w:tc>
        <w:tc>
          <w:tcPr>
            <w:tcW w:w="972" w:type="dxa"/>
            <w:vMerge w:val="restart"/>
            <w:tcBorders>
              <w:top w:val="single" w:color="000000" w:sz="4" w:space="0"/>
              <w:left w:val="single" w:color="000000" w:sz="4" w:space="0"/>
              <w:bottom w:val="nil"/>
              <w:right w:val="single" w:color="000000" w:sz="4" w:space="0"/>
            </w:tcBorders>
            <w:shd w:val="clear" w:color="auto" w:fill="auto"/>
            <w:vAlign w:val="center"/>
          </w:tcPr>
          <w:p w14:paraId="355F965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效益指标（50）</w:t>
            </w: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54A66B1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经济效益指标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B40BA">
            <w:pPr>
              <w:widowControl/>
              <w:jc w:val="left"/>
              <w:textAlignment w:val="center"/>
              <w:rPr>
                <w:rFonts w:hint="default"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r>
              <w:rPr>
                <w:rStyle w:val="28"/>
                <w:rFonts w:hint="eastAsia" w:eastAsia="Arial Unicode MS"/>
                <w:lang w:val="en-US" w:eastAsia="zh-CN"/>
              </w:rPr>
              <w:t>生物医药主营业务收入增速</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7476C">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≥5%</w:t>
            </w:r>
          </w:p>
        </w:tc>
        <w:tc>
          <w:tcPr>
            <w:tcW w:w="0" w:type="auto"/>
            <w:tcBorders>
              <w:top w:val="nil"/>
              <w:left w:val="nil"/>
              <w:bottom w:val="nil"/>
              <w:right w:val="nil"/>
            </w:tcBorders>
            <w:shd w:val="clear" w:color="auto" w:fill="auto"/>
            <w:noWrap/>
            <w:vAlign w:val="center"/>
          </w:tcPr>
          <w:p w14:paraId="53341465">
            <w:pPr>
              <w:widowControl/>
              <w:textAlignment w:val="center"/>
              <w:rPr>
                <w:rFonts w:ascii="宋体" w:hAnsi="宋体" w:eastAsia="宋体"/>
                <w:color w:val="000000"/>
                <w:sz w:val="16"/>
                <w:szCs w:val="16"/>
              </w:rPr>
            </w:pPr>
            <w:r>
              <w:rPr>
                <w:rFonts w:hint="eastAsia" w:ascii="宋体" w:hAnsi="宋体" w:eastAsia="宋体"/>
                <w:color w:val="000000"/>
                <w:sz w:val="16"/>
                <w:szCs w:val="16"/>
                <w:lang w:val="en-US" w:eastAsia="zh-CN"/>
              </w:rPr>
              <w:t>≥5%</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B038">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10</w:t>
            </w:r>
          </w:p>
        </w:tc>
      </w:tr>
      <w:tr w14:paraId="033983C6">
        <w:tblPrEx>
          <w:tblCellMar>
            <w:top w:w="0" w:type="dxa"/>
            <w:left w:w="108" w:type="dxa"/>
            <w:bottom w:w="0" w:type="dxa"/>
            <w:right w:w="108" w:type="dxa"/>
          </w:tblCellMar>
        </w:tblPrEx>
        <w:trPr>
          <w:trHeight w:val="20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470A03F1">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74840DDD">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35435DAC">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B36AD">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67BB">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8783">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6B9D">
            <w:pPr>
              <w:jc w:val="center"/>
              <w:rPr>
                <w:rFonts w:ascii="宋体" w:hAnsi="宋体" w:eastAsia="宋体"/>
                <w:color w:val="000000"/>
                <w:sz w:val="16"/>
                <w:szCs w:val="16"/>
              </w:rPr>
            </w:pPr>
          </w:p>
        </w:tc>
      </w:tr>
      <w:tr w14:paraId="6B2656A9">
        <w:tblPrEx>
          <w:tblCellMar>
            <w:top w:w="0" w:type="dxa"/>
            <w:left w:w="108" w:type="dxa"/>
            <w:bottom w:w="0" w:type="dxa"/>
            <w:right w:w="108" w:type="dxa"/>
          </w:tblCellMar>
        </w:tblPrEx>
        <w:trPr>
          <w:trHeight w:val="384"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08C02309">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58EC071">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01A21BAB">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8A4FE4">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１社会效益显著</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6A92">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社会效益显著</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19983">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社会效益显著</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6F4C">
            <w:pPr>
              <w:widowControl/>
              <w:jc w:val="center"/>
              <w:textAlignment w:val="center"/>
              <w:rPr>
                <w:rFonts w:hint="eastAsia" w:ascii="宋体" w:hAnsi="宋体" w:eastAsia="宋体"/>
                <w:color w:val="000000"/>
                <w:sz w:val="16"/>
                <w:szCs w:val="16"/>
                <w:lang w:eastAsia="zh-CN"/>
              </w:rPr>
            </w:pPr>
            <w:r>
              <w:rPr>
                <w:rFonts w:hint="eastAsia" w:ascii="宋体" w:hAnsi="宋体" w:eastAsia="宋体"/>
                <w:color w:val="000000"/>
                <w:sz w:val="16"/>
                <w:szCs w:val="16"/>
                <w:lang w:val="en-US" w:eastAsia="zh-CN"/>
              </w:rPr>
              <w:t>9</w:t>
            </w:r>
          </w:p>
        </w:tc>
      </w:tr>
      <w:tr w14:paraId="4236E943">
        <w:tblPrEx>
          <w:tblCellMar>
            <w:top w:w="0" w:type="dxa"/>
            <w:left w:w="108" w:type="dxa"/>
            <w:bottom w:w="0" w:type="dxa"/>
            <w:right w:w="108" w:type="dxa"/>
          </w:tblCellMar>
        </w:tblPrEx>
        <w:trPr>
          <w:trHeight w:val="1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6A1A2BA">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6D5F0EF0">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0B6D3CCD">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BC04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FF07">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F144">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A982">
            <w:pPr>
              <w:jc w:val="center"/>
              <w:rPr>
                <w:rFonts w:ascii="宋体" w:hAnsi="宋体" w:eastAsia="宋体"/>
                <w:color w:val="000000"/>
                <w:sz w:val="16"/>
                <w:szCs w:val="16"/>
              </w:rPr>
            </w:pPr>
          </w:p>
        </w:tc>
      </w:tr>
      <w:tr w14:paraId="4EA595A4">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3BE3EC5">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4E53841">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705D536C">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生态效益指标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AC782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E978">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85A1">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86F3">
            <w:pPr>
              <w:jc w:val="center"/>
              <w:rPr>
                <w:rFonts w:ascii="宋体" w:hAnsi="宋体" w:eastAsia="宋体"/>
                <w:color w:val="000000"/>
                <w:sz w:val="16"/>
                <w:szCs w:val="16"/>
              </w:rPr>
            </w:pPr>
          </w:p>
        </w:tc>
      </w:tr>
      <w:tr w14:paraId="7FED9EFC">
        <w:tblPrEx>
          <w:tblCellMar>
            <w:top w:w="0" w:type="dxa"/>
            <w:left w:w="108" w:type="dxa"/>
            <w:bottom w:w="0" w:type="dxa"/>
            <w:right w:w="108" w:type="dxa"/>
          </w:tblCellMar>
        </w:tblPrEx>
        <w:trPr>
          <w:trHeight w:val="18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2A5B897">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7A9BF5AF">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28E68ED1">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2F405">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F767">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21D6">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D868">
            <w:pPr>
              <w:jc w:val="center"/>
              <w:rPr>
                <w:rFonts w:ascii="宋体" w:hAnsi="宋体" w:eastAsia="宋体"/>
                <w:color w:val="000000"/>
                <w:sz w:val="16"/>
                <w:szCs w:val="16"/>
              </w:rPr>
            </w:pPr>
          </w:p>
        </w:tc>
      </w:tr>
      <w:tr w14:paraId="175DF7A5">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E4B195C">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0B671AB5">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7975B2B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可持续影响指标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3EA71">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71C6">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361E">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4046">
            <w:pPr>
              <w:jc w:val="center"/>
              <w:rPr>
                <w:rFonts w:ascii="宋体" w:hAnsi="宋体" w:eastAsia="宋体"/>
                <w:color w:val="000000"/>
                <w:sz w:val="16"/>
                <w:szCs w:val="16"/>
              </w:rPr>
            </w:pPr>
          </w:p>
        </w:tc>
      </w:tr>
      <w:tr w14:paraId="33C23C6A">
        <w:tblPrEx>
          <w:tblCellMar>
            <w:top w:w="0" w:type="dxa"/>
            <w:left w:w="108" w:type="dxa"/>
            <w:bottom w:w="0" w:type="dxa"/>
            <w:right w:w="108" w:type="dxa"/>
          </w:tblCellMar>
        </w:tblPrEx>
        <w:trPr>
          <w:trHeight w:val="16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7B2B77E">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704208AD">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1E92AD8C">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6BAB0">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F04">
            <w:pPr>
              <w:jc w:val="center"/>
              <w:rPr>
                <w:rFonts w:ascii="宋体" w:hAnsi="宋体" w:eastAsia="宋体"/>
                <w:color w:val="000000"/>
                <w:sz w:val="16"/>
                <w:szCs w:val="16"/>
              </w:rPr>
            </w:pP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2ED1">
            <w:pPr>
              <w:jc w:val="center"/>
              <w:rPr>
                <w:rFonts w:ascii="宋体" w:hAnsi="宋体" w:eastAsia="宋体"/>
                <w:color w:val="000000"/>
                <w:sz w:val="16"/>
                <w:szCs w:val="16"/>
              </w:rPr>
            </w:pP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DA2F">
            <w:pPr>
              <w:jc w:val="center"/>
              <w:rPr>
                <w:rFonts w:ascii="宋体" w:hAnsi="宋体" w:eastAsia="宋体"/>
                <w:color w:val="000000"/>
                <w:sz w:val="16"/>
                <w:szCs w:val="16"/>
              </w:rPr>
            </w:pPr>
          </w:p>
        </w:tc>
      </w:tr>
      <w:tr w14:paraId="36405ACA">
        <w:tblPrEx>
          <w:tblCellMar>
            <w:top w:w="0" w:type="dxa"/>
            <w:left w:w="108" w:type="dxa"/>
            <w:bottom w:w="0" w:type="dxa"/>
            <w:right w:w="108" w:type="dxa"/>
          </w:tblCellMar>
        </w:tblPrEx>
        <w:trPr>
          <w:trHeight w:val="288"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A5B1913">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3F8E1559">
            <w:pPr>
              <w:jc w:val="center"/>
              <w:rPr>
                <w:rFonts w:ascii="宋体" w:hAnsi="宋体" w:eastAsia="宋体"/>
                <w:color w:val="000000"/>
                <w:sz w:val="16"/>
                <w:szCs w:val="16"/>
              </w:rPr>
            </w:pPr>
          </w:p>
        </w:tc>
        <w:tc>
          <w:tcPr>
            <w:tcW w:w="996" w:type="dxa"/>
            <w:vMerge w:val="restart"/>
            <w:tcBorders>
              <w:top w:val="single" w:color="000000" w:sz="4" w:space="0"/>
              <w:left w:val="nil"/>
              <w:bottom w:val="single" w:color="000000" w:sz="4" w:space="0"/>
              <w:right w:val="single" w:color="000000" w:sz="4" w:space="0"/>
            </w:tcBorders>
            <w:shd w:val="clear" w:color="auto" w:fill="auto"/>
            <w:vAlign w:val="center"/>
          </w:tcPr>
          <w:p w14:paraId="5E4248E1">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满意度指标</w:t>
            </w:r>
          </w:p>
        </w:tc>
        <w:tc>
          <w:tcPr>
            <w:tcW w:w="2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FA34A">
            <w:pPr>
              <w:widowControl/>
              <w:jc w:val="left"/>
              <w:textAlignment w:val="center"/>
              <w:rPr>
                <w:rFonts w:hint="eastAsia" w:ascii="宋体" w:hAnsi="宋体" w:eastAsia="Arial Unicode MS"/>
                <w:color w:val="000000"/>
                <w:sz w:val="16"/>
                <w:szCs w:val="16"/>
                <w:lang w:val="en-US" w:eastAsia="zh-CN"/>
              </w:rPr>
            </w:pPr>
            <w:r>
              <w:rPr>
                <w:rFonts w:hint="eastAsia" w:ascii="宋体" w:hAnsi="宋体" w:eastAsia="宋体"/>
                <w:color w:val="000000"/>
                <w:sz w:val="16"/>
                <w:szCs w:val="16"/>
              </w:rPr>
              <w:t>指标</w:t>
            </w:r>
            <w:r>
              <w:rPr>
                <w:rFonts w:ascii="Calibri" w:hAnsi="Calibri" w:eastAsia="宋体" w:cs="Calibri"/>
                <w:color w:val="000000"/>
                <w:sz w:val="16"/>
                <w:szCs w:val="16"/>
              </w:rPr>
              <w:t xml:space="preserve"> </w:t>
            </w:r>
            <w:r>
              <w:rPr>
                <w:rStyle w:val="28"/>
              </w:rPr>
              <w:t>１服务对象满意度</w:t>
            </w:r>
            <w:r>
              <w:rPr>
                <w:rStyle w:val="28"/>
                <w:rFonts w:hint="eastAsia" w:eastAsia="Arial Unicode MS"/>
                <w:lang w:val="en-US" w:eastAsia="zh-CN"/>
              </w:rPr>
              <w:t>指标</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CEEC">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1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9F3E">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≥95%</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F3CFC">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30</w:t>
            </w:r>
          </w:p>
        </w:tc>
      </w:tr>
      <w:tr w14:paraId="5D8BAC1A">
        <w:tblPrEx>
          <w:tblCellMar>
            <w:top w:w="0" w:type="dxa"/>
            <w:left w:w="108" w:type="dxa"/>
            <w:bottom w:w="0" w:type="dxa"/>
            <w:right w:w="108" w:type="dxa"/>
          </w:tblCellMar>
        </w:tblPrEx>
        <w:trPr>
          <w:trHeight w:val="2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33E9EBA">
            <w:pPr>
              <w:jc w:val="center"/>
              <w:rPr>
                <w:rFonts w:ascii="宋体" w:hAnsi="宋体" w:eastAsia="宋体"/>
                <w:color w:val="000000"/>
                <w:sz w:val="16"/>
                <w:szCs w:val="16"/>
              </w:rPr>
            </w:pPr>
          </w:p>
        </w:tc>
        <w:tc>
          <w:tcPr>
            <w:tcW w:w="972" w:type="dxa"/>
            <w:vMerge w:val="continue"/>
            <w:tcBorders>
              <w:top w:val="single" w:color="000000" w:sz="4" w:space="0"/>
              <w:left w:val="single" w:color="000000" w:sz="4" w:space="0"/>
              <w:bottom w:val="nil"/>
              <w:right w:val="single" w:color="000000" w:sz="4" w:space="0"/>
            </w:tcBorders>
            <w:shd w:val="clear" w:color="auto" w:fill="auto"/>
            <w:vAlign w:val="center"/>
          </w:tcPr>
          <w:p w14:paraId="208B2287">
            <w:pPr>
              <w:jc w:val="center"/>
              <w:rPr>
                <w:rFonts w:ascii="宋体" w:hAnsi="宋体" w:eastAsia="宋体"/>
                <w:color w:val="000000"/>
                <w:sz w:val="16"/>
                <w:szCs w:val="16"/>
              </w:rPr>
            </w:pPr>
          </w:p>
        </w:tc>
        <w:tc>
          <w:tcPr>
            <w:tcW w:w="996" w:type="dxa"/>
            <w:vMerge w:val="continue"/>
            <w:tcBorders>
              <w:top w:val="single" w:color="000000" w:sz="4" w:space="0"/>
              <w:left w:val="nil"/>
              <w:bottom w:val="single" w:color="000000" w:sz="4" w:space="0"/>
              <w:right w:val="single" w:color="000000" w:sz="4" w:space="0"/>
            </w:tcBorders>
            <w:shd w:val="clear" w:color="auto" w:fill="auto"/>
            <w:vAlign w:val="center"/>
          </w:tcPr>
          <w:p w14:paraId="41631313">
            <w:pPr>
              <w:jc w:val="center"/>
              <w:rPr>
                <w:rFonts w:ascii="宋体" w:hAnsi="宋体" w:eastAsia="宋体"/>
                <w:color w:val="000000"/>
                <w:sz w:val="16"/>
                <w:szCs w:val="16"/>
              </w:rPr>
            </w:pPr>
          </w:p>
        </w:tc>
        <w:tc>
          <w:tcPr>
            <w:tcW w:w="2350" w:type="dxa"/>
            <w:gridSpan w:val="2"/>
            <w:tcBorders>
              <w:top w:val="single" w:color="000000" w:sz="4" w:space="0"/>
              <w:left w:val="single" w:color="000000" w:sz="4" w:space="0"/>
              <w:bottom w:val="nil"/>
              <w:right w:val="single" w:color="000000" w:sz="4" w:space="0"/>
            </w:tcBorders>
            <w:shd w:val="clear" w:color="auto" w:fill="auto"/>
            <w:vAlign w:val="center"/>
          </w:tcPr>
          <w:p w14:paraId="48C3C433">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w:t>
            </w:r>
          </w:p>
        </w:tc>
        <w:tc>
          <w:tcPr>
            <w:tcW w:w="996" w:type="dxa"/>
            <w:tcBorders>
              <w:top w:val="single" w:color="000000" w:sz="4" w:space="0"/>
              <w:left w:val="single" w:color="000000" w:sz="4" w:space="0"/>
              <w:bottom w:val="nil"/>
              <w:right w:val="single" w:color="000000" w:sz="4" w:space="0"/>
            </w:tcBorders>
            <w:shd w:val="clear" w:color="auto" w:fill="auto"/>
            <w:vAlign w:val="center"/>
          </w:tcPr>
          <w:p w14:paraId="72A9F13F">
            <w:pPr>
              <w:jc w:val="center"/>
              <w:rPr>
                <w:rFonts w:ascii="宋体" w:hAnsi="宋体" w:eastAsia="宋体"/>
                <w:color w:val="000000"/>
                <w:sz w:val="16"/>
                <w:szCs w:val="16"/>
              </w:rPr>
            </w:pPr>
          </w:p>
        </w:tc>
        <w:tc>
          <w:tcPr>
            <w:tcW w:w="1103" w:type="dxa"/>
            <w:tcBorders>
              <w:top w:val="single" w:color="000000" w:sz="4" w:space="0"/>
              <w:left w:val="single" w:color="000000" w:sz="4" w:space="0"/>
              <w:bottom w:val="nil"/>
              <w:right w:val="single" w:color="000000" w:sz="4" w:space="0"/>
            </w:tcBorders>
            <w:shd w:val="clear" w:color="auto" w:fill="auto"/>
            <w:vAlign w:val="center"/>
          </w:tcPr>
          <w:p w14:paraId="353FBBB5">
            <w:pPr>
              <w:jc w:val="center"/>
              <w:rPr>
                <w:rFonts w:ascii="宋体" w:hAnsi="宋体" w:eastAsia="宋体"/>
                <w:color w:val="000000"/>
                <w:sz w:val="16"/>
                <w:szCs w:val="16"/>
              </w:rPr>
            </w:pPr>
          </w:p>
        </w:tc>
        <w:tc>
          <w:tcPr>
            <w:tcW w:w="1472" w:type="dxa"/>
            <w:tcBorders>
              <w:top w:val="single" w:color="000000" w:sz="4" w:space="0"/>
              <w:left w:val="single" w:color="000000" w:sz="4" w:space="0"/>
              <w:bottom w:val="nil"/>
              <w:right w:val="single" w:color="000000" w:sz="4" w:space="0"/>
            </w:tcBorders>
            <w:shd w:val="clear" w:color="auto" w:fill="auto"/>
            <w:vAlign w:val="center"/>
          </w:tcPr>
          <w:p w14:paraId="612BAEAB">
            <w:pPr>
              <w:jc w:val="center"/>
              <w:rPr>
                <w:rFonts w:ascii="宋体" w:hAnsi="宋体" w:eastAsia="宋体"/>
                <w:color w:val="000000"/>
                <w:sz w:val="16"/>
                <w:szCs w:val="16"/>
              </w:rPr>
            </w:pPr>
          </w:p>
        </w:tc>
      </w:tr>
      <w:tr w14:paraId="56889525">
        <w:tblPrEx>
          <w:tblCellMar>
            <w:top w:w="0" w:type="dxa"/>
            <w:left w:w="108" w:type="dxa"/>
            <w:bottom w:w="0" w:type="dxa"/>
            <w:right w:w="108" w:type="dxa"/>
          </w:tblCellMar>
        </w:tblPrEx>
        <w:trPr>
          <w:trHeight w:val="20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831AC5F">
            <w:pPr>
              <w:jc w:val="center"/>
              <w:rPr>
                <w:rFonts w:ascii="宋体" w:hAnsi="宋体" w:eastAsia="宋体"/>
                <w:color w:val="000000"/>
                <w:sz w:val="16"/>
                <w:szCs w:val="16"/>
              </w:rPr>
            </w:pPr>
          </w:p>
        </w:tc>
        <w:tc>
          <w:tcPr>
            <w:tcW w:w="64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8B3CE5">
            <w:pPr>
              <w:widowControl/>
              <w:jc w:val="center"/>
              <w:textAlignment w:val="center"/>
              <w:rPr>
                <w:rFonts w:ascii="宋体" w:hAnsi="宋体" w:eastAsia="宋体"/>
                <w:color w:val="000000"/>
                <w:sz w:val="16"/>
                <w:szCs w:val="16"/>
              </w:rPr>
            </w:pPr>
            <w:r>
              <w:rPr>
                <w:rFonts w:hint="eastAsia" w:ascii="宋体" w:hAnsi="宋体" w:eastAsia="宋体"/>
                <w:color w:val="000000"/>
                <w:sz w:val="16"/>
                <w:szCs w:val="16"/>
              </w:rPr>
              <w:t>总分</w:t>
            </w:r>
          </w:p>
        </w:tc>
        <w:tc>
          <w:tcPr>
            <w:tcW w:w="1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14DB">
            <w:pPr>
              <w:widowControl/>
              <w:jc w:val="center"/>
              <w:textAlignment w:val="center"/>
              <w:rPr>
                <w:rFonts w:hint="default" w:ascii="宋体" w:hAnsi="宋体" w:eastAsia="宋体"/>
                <w:color w:val="000000"/>
                <w:sz w:val="16"/>
                <w:szCs w:val="16"/>
                <w:lang w:val="en-US" w:eastAsia="zh-CN"/>
              </w:rPr>
            </w:pPr>
            <w:r>
              <w:rPr>
                <w:rFonts w:hint="eastAsia" w:ascii="宋体" w:hAnsi="宋体" w:eastAsia="宋体"/>
                <w:color w:val="000000"/>
                <w:sz w:val="16"/>
                <w:szCs w:val="16"/>
                <w:lang w:val="en-US" w:eastAsia="zh-CN"/>
              </w:rPr>
              <w:t>99</w:t>
            </w:r>
          </w:p>
        </w:tc>
      </w:tr>
      <w:tr w14:paraId="5FB47A07">
        <w:tblPrEx>
          <w:tblCellMar>
            <w:top w:w="0" w:type="dxa"/>
            <w:left w:w="108" w:type="dxa"/>
            <w:bottom w:w="0" w:type="dxa"/>
            <w:right w:w="108" w:type="dxa"/>
          </w:tblCellMar>
        </w:tblPrEx>
        <w:trPr>
          <w:trHeight w:val="1126" w:hRule="atLeast"/>
        </w:trPr>
        <w:tc>
          <w:tcPr>
            <w:tcW w:w="1040" w:type="dxa"/>
            <w:tcBorders>
              <w:top w:val="nil"/>
              <w:left w:val="single" w:color="000000" w:sz="4" w:space="0"/>
              <w:bottom w:val="single" w:color="000000" w:sz="4" w:space="0"/>
              <w:right w:val="single" w:color="000000" w:sz="4" w:space="0"/>
            </w:tcBorders>
            <w:shd w:val="clear" w:color="auto" w:fill="auto"/>
            <w:vAlign w:val="center"/>
          </w:tcPr>
          <w:p w14:paraId="419B155E">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五、</w:t>
            </w:r>
            <w:r>
              <w:rPr>
                <w:rFonts w:ascii="Calibri" w:hAnsi="Calibri" w:eastAsia="宋体" w:cs="Calibri"/>
                <w:color w:val="000000"/>
                <w:sz w:val="16"/>
                <w:szCs w:val="16"/>
              </w:rPr>
              <w:t xml:space="preserve"> </w:t>
            </w:r>
            <w:r>
              <w:rPr>
                <w:rStyle w:val="29"/>
                <w:rFonts w:hint="default"/>
              </w:rPr>
              <w:t>存在问题、原因及下一步整改措施</w:t>
            </w:r>
          </w:p>
        </w:tc>
        <w:tc>
          <w:tcPr>
            <w:tcW w:w="788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DE8A27">
            <w:pPr>
              <w:widowControl/>
              <w:jc w:val="left"/>
              <w:textAlignment w:val="center"/>
              <w:rPr>
                <w:rFonts w:ascii="宋体" w:hAnsi="宋体" w:eastAsia="宋体"/>
                <w:color w:val="000000"/>
                <w:sz w:val="16"/>
                <w:szCs w:val="16"/>
              </w:rPr>
            </w:pPr>
            <w:r>
              <w:rPr>
                <w:rFonts w:hint="eastAsia" w:ascii="宋体" w:hAnsi="宋体" w:eastAsia="宋体"/>
                <w:color w:val="000000"/>
                <w:sz w:val="16"/>
                <w:szCs w:val="16"/>
              </w:rPr>
              <w:t>更加科学合理制定指标，提高资金利用效率</w:t>
            </w:r>
          </w:p>
        </w:tc>
      </w:tr>
    </w:tbl>
    <w:p w14:paraId="0C17A36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4BD8C4C0">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5A38D3DE">
      <w:pPr>
        <w:widowControl/>
        <w:numPr>
          <w:ilvl w:val="0"/>
          <w:numId w:val="0"/>
        </w:numPr>
        <w:spacing w:before="0" w:beforeLines="0" w:beforeAutospacing="0" w:after="0" w:afterLines="0" w:afterAutospacing="0" w:line="360" w:lineRule="auto"/>
        <w:jc w:val="left"/>
        <w:rPr>
          <w:rFonts w:ascii="Times New Roman" w:eastAsia="仿宋_GB2312"/>
          <w:sz w:val="32"/>
          <w:szCs w:val="32"/>
        </w:rPr>
      </w:pPr>
      <w:r>
        <w:rPr>
          <w:rFonts w:hint="eastAsia" w:ascii="Times New Roman" w:eastAsia="仿宋_GB2312"/>
          <w:b/>
          <w:sz w:val="32"/>
          <w:szCs w:val="32"/>
          <w:lang w:val="en-US" w:eastAsia="zh-CN"/>
        </w:rPr>
        <w:t xml:space="preserve">       无</w:t>
      </w:r>
    </w:p>
    <w:p w14:paraId="45B63C40">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0236A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val="en-US" w:eastAsia="zh-CN"/>
        </w:rPr>
        <w:t>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D5994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E8C434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17EE57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8E06EC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B1443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1FC38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45A77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16321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98FFE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F32C5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5A7C8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750AB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A380B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114CBD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69305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77451E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7E297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B2A096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24772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DD924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E3CB630-260F-4349-A26F-743481B9AF60}"/>
  </w:font>
  <w:font w:name="黑体">
    <w:panose1 w:val="02010609060101010101"/>
    <w:charset w:val="86"/>
    <w:family w:val="auto"/>
    <w:pitch w:val="default"/>
    <w:sig w:usb0="800002BF" w:usb1="38CF7CFA" w:usb2="00000016" w:usb3="00000000" w:csb0="00040001" w:csb1="00000000"/>
    <w:embedRegular r:id="rId2" w:fontKey="{7F8C37BA-F500-4B45-A640-0785C2B92F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8F4195B0-92E3-4085-AD27-E323550090C9}"/>
  </w:font>
  <w:font w:name="仿宋">
    <w:panose1 w:val="02010609060101010101"/>
    <w:charset w:val="86"/>
    <w:family w:val="modern"/>
    <w:pitch w:val="default"/>
    <w:sig w:usb0="800002BF" w:usb1="38CF7CFA" w:usb2="00000016" w:usb3="00000000" w:csb0="00040001" w:csb1="00000000"/>
    <w:embedRegular r:id="rId4" w:fontKey="{739AF2FC-2288-40B9-95AB-B36DA705EB52}"/>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5984C482-E242-4067-9A8C-6C55C1F005C5}"/>
  </w:font>
  <w:font w:name="Arial Unicode MS">
    <w:altName w:val="宋体"/>
    <w:panose1 w:val="020B0604020202020204"/>
    <w:charset w:val="86"/>
    <w:family w:val="roman"/>
    <w:pitch w:val="default"/>
    <w:sig w:usb0="00000000" w:usb1="00000000" w:usb2="0000003F" w:usb3="00000000" w:csb0="603F01FF" w:csb1="FFFF0000"/>
    <w:embedRegular r:id="rId6" w:fontKey="{C90B3CB5-41E2-4BB4-A616-EDC39EEB1204}"/>
  </w:font>
  <w:font w:name="楷体_GB2312">
    <w:panose1 w:val="02010609030101010101"/>
    <w:charset w:val="86"/>
    <w:family w:val="auto"/>
    <w:pitch w:val="default"/>
    <w:sig w:usb0="00000001" w:usb1="080E0000" w:usb2="00000000" w:usb3="00000000" w:csb0="00040000" w:csb1="00000000"/>
    <w:embedRegular r:id="rId7" w:fontKey="{BA893575-E5B6-4072-A4AF-E83CBE5FECD0}"/>
  </w:font>
  <w:font w:name="微软雅黑">
    <w:panose1 w:val="020B0503020204020204"/>
    <w:charset w:val="86"/>
    <w:family w:val="auto"/>
    <w:pitch w:val="default"/>
    <w:sig w:usb0="80000287" w:usb1="2ACF3C50" w:usb2="00000016" w:usb3="00000000" w:csb0="0004001F" w:csb1="00000000"/>
    <w:embedRegular r:id="rId8" w:fontKey="{2D40E1AB-01DC-4E00-A4B3-8CF611F3CFF9}"/>
  </w:font>
  <w:font w:name="方正小标宋_GBK">
    <w:panose1 w:val="02000000000000000000"/>
    <w:charset w:val="86"/>
    <w:family w:val="script"/>
    <w:pitch w:val="default"/>
    <w:sig w:usb0="A00002BF" w:usb1="38CF7CFA" w:usb2="00082016" w:usb3="00000000" w:csb0="00040001" w:csb1="00000000"/>
    <w:embedRegular r:id="rId9" w:fontKey="{023F169C-612B-4BB5-935A-4C7C04F8B063}"/>
  </w:font>
  <w:font w:name="仿宋_GB2312">
    <w:panose1 w:val="02010609030101010101"/>
    <w:charset w:val="86"/>
    <w:family w:val="auto"/>
    <w:pitch w:val="default"/>
    <w:sig w:usb0="00000001" w:usb1="080E0000" w:usb2="00000000" w:usb3="00000000" w:csb0="00040000" w:csb1="00000000"/>
    <w:embedRegular r:id="rId10" w:fontKey="{C7C0B3DD-6D3B-4026-A6E3-783C0AE179CB}"/>
  </w:font>
  <w:font w:name="ArialUnicodeMS">
    <w:altName w:val="Malgun Gothic"/>
    <w:panose1 w:val="00000000000000000000"/>
    <w:charset w:val="81"/>
    <w:family w:val="auto"/>
    <w:pitch w:val="default"/>
    <w:sig w:usb0="00000000" w:usb1="00000000" w:usb2="00000010" w:usb3="00000000" w:csb0="00080001" w:csb1="00000000"/>
    <w:embedRegular r:id="rId11" w:fontKey="{F1C7F384-86A2-4D67-B319-33D424B2BD3E}"/>
  </w:font>
  <w:font w:name="Malgun Gothic">
    <w:panose1 w:val="020B0503020000020004"/>
    <w:charset w:val="81"/>
    <w:family w:val="auto"/>
    <w:pitch w:val="default"/>
    <w:sig w:usb0="9000002F" w:usb1="29D77CFB" w:usb2="00000012" w:usb3="00000000" w:csb0="00080001" w:csb1="00000000"/>
  </w:font>
  <w:font w:name="WPSEMBED4">
    <w:panose1 w:val="02000000000000000000"/>
    <w:charset w:val="86"/>
    <w:family w:val="auto"/>
    <w:pitch w:val="default"/>
    <w:sig w:usb0="A00002BF" w:usb1="184F6CFA" w:usb2="00000012" w:usb3="00000000" w:csb0="00040001" w:csb1="00000000"/>
  </w:font>
  <w:font w:name="WPSEMBED5">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EC7A1">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52FE6">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A9226">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1607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FE041"/>
    <w:multiLevelType w:val="singleLevel"/>
    <w:tmpl w:val="8C3FE041"/>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CCF18F9"/>
    <w:rsid w:val="0D101068"/>
    <w:rsid w:val="0D4E13BE"/>
    <w:rsid w:val="0D7557DF"/>
    <w:rsid w:val="0D853E34"/>
    <w:rsid w:val="0D9C2A57"/>
    <w:rsid w:val="0DC3019B"/>
    <w:rsid w:val="0DE47D04"/>
    <w:rsid w:val="0DFA5D82"/>
    <w:rsid w:val="0E1E52CE"/>
    <w:rsid w:val="0E866524"/>
    <w:rsid w:val="0E9268D3"/>
    <w:rsid w:val="0E957F1F"/>
    <w:rsid w:val="0EE91E83"/>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B0493D"/>
    <w:rsid w:val="15CC19E2"/>
    <w:rsid w:val="15CF053D"/>
    <w:rsid w:val="15E0131A"/>
    <w:rsid w:val="15E11DC0"/>
    <w:rsid w:val="16457D9F"/>
    <w:rsid w:val="16ED724A"/>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3357E"/>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533574"/>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A4368F"/>
    <w:rsid w:val="36FE3ABA"/>
    <w:rsid w:val="37072BDE"/>
    <w:rsid w:val="37455334"/>
    <w:rsid w:val="37527C32"/>
    <w:rsid w:val="37731921"/>
    <w:rsid w:val="37A044A2"/>
    <w:rsid w:val="37E509C0"/>
    <w:rsid w:val="37E96FB8"/>
    <w:rsid w:val="38222D85"/>
    <w:rsid w:val="38767A34"/>
    <w:rsid w:val="38803721"/>
    <w:rsid w:val="38925A62"/>
    <w:rsid w:val="389F5F4F"/>
    <w:rsid w:val="38C36BA2"/>
    <w:rsid w:val="38D34E55"/>
    <w:rsid w:val="38E11CEF"/>
    <w:rsid w:val="38F6595C"/>
    <w:rsid w:val="391702A7"/>
    <w:rsid w:val="391D528B"/>
    <w:rsid w:val="39286EB6"/>
    <w:rsid w:val="39601DF4"/>
    <w:rsid w:val="396960F3"/>
    <w:rsid w:val="39840D35"/>
    <w:rsid w:val="39A97DAF"/>
    <w:rsid w:val="39BF365D"/>
    <w:rsid w:val="39CD1330"/>
    <w:rsid w:val="39DD1AFF"/>
    <w:rsid w:val="3A2510B9"/>
    <w:rsid w:val="3A2B0CF2"/>
    <w:rsid w:val="3A2B1DFC"/>
    <w:rsid w:val="3AA6422C"/>
    <w:rsid w:val="3AAF46D5"/>
    <w:rsid w:val="3AC365A1"/>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6354E9"/>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062186"/>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9D2CCA"/>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62506"/>
    <w:rsid w:val="622D1522"/>
    <w:rsid w:val="622E0574"/>
    <w:rsid w:val="62630417"/>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4B40A5"/>
    <w:rsid w:val="6B5B46E4"/>
    <w:rsid w:val="6B7218BE"/>
    <w:rsid w:val="6B750BA9"/>
    <w:rsid w:val="6BB93285"/>
    <w:rsid w:val="6BCC13A8"/>
    <w:rsid w:val="6C0C698C"/>
    <w:rsid w:val="6C222401"/>
    <w:rsid w:val="6C56267F"/>
    <w:rsid w:val="6C826EF9"/>
    <w:rsid w:val="6CAE4C93"/>
    <w:rsid w:val="6CB07934"/>
    <w:rsid w:val="6CB14F16"/>
    <w:rsid w:val="6CEC2069"/>
    <w:rsid w:val="6D0B1869"/>
    <w:rsid w:val="6D65402D"/>
    <w:rsid w:val="6D67237A"/>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044B95"/>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CF2794E"/>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_Style 1"/>
    <w:qFormat/>
    <w:uiPriority w:val="0"/>
    <w:pPr>
      <w:widowControl w:val="0"/>
      <w:ind w:firstLine="200" w:firstLineChars="200"/>
      <w:jc w:val="both"/>
    </w:pPr>
    <w:rPr>
      <w:rFonts w:ascii="Calibri" w:hAnsi="Calibri" w:eastAsia="宋体" w:cs="Times New Roman"/>
      <w:kern w:val="2"/>
      <w:sz w:val="28"/>
      <w:szCs w:val="24"/>
      <w:lang w:val="en-US" w:eastAsia="zh-CN" w:bidi="ar-SA"/>
    </w:rPr>
  </w:style>
  <w:style w:type="character" w:customStyle="1" w:styleId="28">
    <w:name w:val="font101"/>
    <w:basedOn w:val="13"/>
    <w:qFormat/>
    <w:uiPriority w:val="0"/>
    <w:rPr>
      <w:rFonts w:ascii="Arial Unicode MS" w:hAnsi="Arial Unicode MS" w:eastAsia="Arial Unicode MS" w:cs="Arial Unicode MS"/>
      <w:color w:val="000000"/>
      <w:sz w:val="16"/>
      <w:szCs w:val="16"/>
      <w:u w:val="none"/>
    </w:rPr>
  </w:style>
  <w:style w:type="character" w:customStyle="1" w:styleId="29">
    <w:name w:val="font71"/>
    <w:basedOn w:val="13"/>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4222.86</c:v>
                </c:pt>
                <c:pt idx="1">
                  <c:v>5368.53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42228640.99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13767700.22</c:v>
                </c:pt>
                <c:pt idx="1">
                  <c:v>28460940.77</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5368.53</c:v>
                </c:pt>
                <c:pt idx="1">
                  <c:v>5368.53</c:v>
                </c:pt>
                <c:pt idx="2">
                  <c:v>5368.53</c:v>
                </c:pt>
                <c:pt idx="3">
                  <c:v>5368.53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4222.86</c:v>
                </c:pt>
                <c:pt idx="1">
                  <c:v>4222.86</c:v>
                </c:pt>
                <c:pt idx="2">
                  <c:v>2838.86</c:v>
                </c:pt>
                <c:pt idx="3">
                  <c:v>2838.86</c:v>
                </c:pt>
                <c:pt idx="4">
                  <c:v>1384</c:v>
                </c:pt>
                <c:pt idx="5">
                  <c:v>1384</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5851.9</c:v>
                </c:pt>
                <c:pt idx="1">
                  <c:v>5851.9</c:v>
                </c:pt>
                <c:pt idx="2">
                  <c:v>3875.9</c:v>
                </c:pt>
                <c:pt idx="3">
                  <c:v>3875.9</c:v>
                </c:pt>
                <c:pt idx="4">
                  <c:v>1976</c:v>
                </c:pt>
                <c:pt idx="5">
                  <c:v>1976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4222.86</c:v>
                </c:pt>
                <c:pt idx="1">
                  <c:v>4222.86</c:v>
                </c:pt>
                <c:pt idx="2">
                  <c:v>2838.86</c:v>
                </c:pt>
                <c:pt idx="3">
                  <c:v>2838.86</c:v>
                </c:pt>
                <c:pt idx="4">
                  <c:v>1384</c:v>
                </c:pt>
                <c:pt idx="5">
                  <c:v>1384</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49</Pages>
  <Words>22</Words>
  <Characters>24</Characters>
  <Lines>86</Lines>
  <Paragraphs>24</Paragraphs>
  <TotalTime>3</TotalTime>
  <ScaleCrop>false</ScaleCrop>
  <LinksUpToDate>false</LinksUpToDate>
  <CharactersWithSpaces>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麦子</cp:lastModifiedBy>
  <cp:lastPrinted>2023-08-04T01:00:00Z</cp:lastPrinted>
  <dcterms:modified xsi:type="dcterms:W3CDTF">2026-10-14T08:20:12Z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eyJoZGlkIjoiZGQzMTg0YTc5YjA4ZjI0YTlkNTBkNTE4N2JjZjZjNjUiLCJ1c2VySWQiOiI5MzUyNDcyNTgifQ==</vt:lpwstr>
  </property>
</Properties>
</file>