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0"/>
                    <a:srcRect/>
                    <a:stretch>
                      <a:fillRect/>
                    </a:stretch>
                  </pic:blipFill>
                  <pic:spPr>
                    <a:xfrm>
                      <a:off x="0" y="0"/>
                      <a:ext cx="7559675" cy="10692130"/>
                    </a:xfrm>
                    <a:prstGeom prst="rect">
                      <a:avLst/>
                    </a:prstGeom>
                  </pic:spPr>
                </pic:pic>
              </a:graphicData>
            </a:graphic>
          </wp:anchor>
        </w:drawing>
      </w:r>
    </w:p>
    <w:p>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FtpzSncAAAACgEAAA8AAAAAAAAAAQAgAAAAIgAAAGRycy9kb3du&#10;cmV2LnhtbFBLAQIUABQAAAAIAIdO4kDDh8n6iQEAAO4CAAAOAAAAAAAAAAEAIAAAACsBAABkcnMv&#10;ZTJvRG9jLnhtbFBLBQYAAAAABgAGAFkBAAAmBQAAAAA=&#10;">
                <v:fill on="f" focussize="0,0"/>
                <v:stroke on="f"/>
                <v:imagedata o:title=""/>
                <o:lock v:ext="edit" aspectratio="f"/>
                <v:textbox>
                  <w:txbxContent>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pPr>
                    <w:jc w:val="cente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正定县社会保险中心</w:t>
                  </w:r>
                </w:p>
                <w:p>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317003</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txbxContent>
            </v:textbox>
          </v:shape>
        </w:pict>
      </w:r>
    </w:p>
    <w:p>
      <w:pPr>
        <w:rPr>
          <w:rFonts w:ascii="Times New Roman" w:hAnsi="Times New Roman" w:eastAsia="黑体" w:cs="Times New Roman"/>
          <w:b/>
          <w:bCs/>
          <w:sz w:val="72"/>
          <w:szCs w:val="96"/>
        </w:rPr>
      </w:pPr>
    </w:p>
    <w:p>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2025年度部门决算公开文本</w:t>
      </w:r>
    </w:p>
    <w:p>
      <w:pPr>
        <w:spacing w:line="360" w:lineRule="auto"/>
        <w:jc w:val="center"/>
        <w:rPr>
          <w:rFonts w:ascii="Times New Roman" w:hAnsi="Times New Roman" w:eastAsia="黑体" w:cs="Times New Roman"/>
          <w:sz w:val="56"/>
          <w:szCs w:val="72"/>
        </w:rPr>
      </w:pPr>
    </w:p>
    <w:p>
      <w:pPr>
        <w:spacing w:line="360" w:lineRule="auto"/>
        <w:jc w:val="center"/>
        <w:rPr>
          <w:rFonts w:ascii="Times New Roman" w:hAnsi="Times New Roman" w:eastAsia="黑体" w:cs="Times New Roman"/>
          <w:sz w:val="56"/>
          <w:szCs w:val="72"/>
        </w:rPr>
      </w:pPr>
    </w:p>
    <w:p>
      <w:pPr>
        <w:spacing w:line="360" w:lineRule="auto"/>
        <w:jc w:val="center"/>
        <w:rPr>
          <w:rFonts w:ascii="Times New Roman" w:hAnsi="Times New Roman" w:eastAsia="黑体" w:cs="Times New Roman"/>
          <w:sz w:val="56"/>
          <w:szCs w:val="72"/>
        </w:rPr>
      </w:pPr>
    </w:p>
    <w:p>
      <w:pPr>
        <w:spacing w:line="600" w:lineRule="auto"/>
        <w:jc w:val="center"/>
        <w:rPr>
          <w:rFonts w:ascii="Times New Roman" w:hAnsi="Times New Roman" w:eastAsia="黑体" w:cs="Times New Roman"/>
          <w:sz w:val="56"/>
          <w:szCs w:val="72"/>
        </w:rPr>
      </w:pPr>
    </w:p>
    <w:p>
      <w:pPr>
        <w:spacing w:line="600" w:lineRule="auto"/>
        <w:jc w:val="center"/>
        <w:rPr>
          <w:rFonts w:ascii="Times New Roman" w:hAnsi="Times New Roman" w:eastAsia="黑体" w:cs="Times New Roman"/>
          <w:sz w:val="56"/>
          <w:szCs w:val="72"/>
        </w:rPr>
      </w:pPr>
    </w:p>
    <w:p>
      <w:pPr>
        <w:spacing w:line="600" w:lineRule="auto"/>
        <w:jc w:val="center"/>
        <w:rPr>
          <w:rFonts w:ascii="Times New Roman" w:hAnsi="Times New Roman" w:eastAsia="黑体" w:cs="Times New Roman"/>
          <w:sz w:val="56"/>
          <w:szCs w:val="72"/>
        </w:rPr>
      </w:pPr>
    </w:p>
    <w:p>
      <w:pPr>
        <w:spacing w:line="480" w:lineRule="auto"/>
        <w:jc w:val="both"/>
        <w:rPr>
          <w:rFonts w:ascii="Times New Roman" w:hAnsi="Times New Roman" w:eastAsia="黑体" w:cs="Times New Roman"/>
          <w:sz w:val="56"/>
          <w:szCs w:val="72"/>
        </w:rPr>
      </w:pPr>
    </w:p>
    <w:p>
      <w:pPr>
        <w:spacing w:line="480" w:lineRule="auto"/>
        <w:jc w:val="center"/>
        <w:rPr>
          <w:rFonts w:ascii="Times New Roman" w:hAnsi="Times New Roman" w:eastAsia="黑体" w:cs="Times New Roman"/>
          <w:sz w:val="56"/>
          <w:szCs w:val="72"/>
        </w:rPr>
      </w:pPr>
    </w:p>
    <w:p>
      <w:pPr>
        <w:snapToGrid w:val="0"/>
        <w:jc w:val="center"/>
        <w:rPr>
          <w:rFonts w:hint="eastAsia" w:ascii="Times New Roman" w:hAnsi="Times New Roman" w:eastAsia="楷体_GB2312" w:cs="Times New Roman"/>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正定县社会保险中心</w:t>
      </w:r>
    </w:p>
    <w:p>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年八月</w:t>
      </w:r>
    </w:p>
    <w:p>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pPr>
        <w:jc w:val="both"/>
        <w:rPr>
          <w:rFonts w:hint="eastAsia" w:ascii="方正小标宋简体" w:hAnsi="Times New Roman" w:eastAsia="方正小标宋简体" w:cs="Times New Roman"/>
          <w:sz w:val="44"/>
          <w:szCs w:val="44"/>
        </w:rPr>
      </w:pPr>
    </w:p>
    <w:p>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一、部门职责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根据中华人民共和国《社会保险法》及国家和省、市有关文件精神，正定县社会保险中心承担以下工作职责：</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1、贯彻落实上级有关养老、工伤保险方面的政策法规。</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2、负责全县参保单位、个体工商户及灵活就业人员养老保险的参保登记、缴费申报、缴费基数的核定、关系转移接续和养老金的发放工作。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3、负责全县城乡居民养老保险的参保登记、基金征缴、个人账户、关系转移接续和养老金发放工作。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4、负责全县参保单位工伤保险的参保登记、缴费申报、缴费基数核定、基金征缴及工伤（亡）职工工伤待遇的审核报批及发放工作。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5、负责全县养老、工伤保险基金的收支及核算工作。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6、负责全县机关事业单位职业年金的征缴、发放工作。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7、负责参加养老保险人员领取待遇资格审核、待遇计算及按时足额发放工作。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8、负责对参保单位养老、工伤保险参保人数、缴费基数及待遇领取情况的稽核稽查。</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9、负责全县企业离退休人员社会化服务。</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10、负责组织全县养老、工伤保险待遇领取人员资格认证工作。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11、负责养老、工伤保险业务档案整理保管工作。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12、负责全县养老、工伤保险统计和数据应用工作。</w:t>
      </w:r>
    </w:p>
    <w:p>
      <w:pPr>
        <w:snapToGrid w:val="0"/>
        <w:spacing w:line="520" w:lineRule="exact"/>
        <w:ind w:firstLine="640" w:firstLineChars="200"/>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13、负责失业保险相关工作</w:t>
      </w:r>
    </w:p>
    <w:p>
      <w:pPr>
        <w:widowControl/>
        <w:spacing w:line="580" w:lineRule="exact"/>
        <w:ind w:firstLine="640" w:firstLineChars="200"/>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14、承办上级交办的其他事项。</w:t>
      </w:r>
    </w:p>
    <w:p>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从决算编报单位构成看，纳入2025年度本部门决算汇编范围的独立核算单位（以下简称“单位”）共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pPr>
              <w:spacing w:line="560" w:lineRule="exact"/>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正定县社会保险中心</w:t>
            </w:r>
          </w:p>
        </w:tc>
        <w:tc>
          <w:tcPr>
            <w:tcW w:w="2445" w:type="dxa"/>
          </w:tcPr>
          <w:p>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财政补助事业单位</w:t>
            </w:r>
          </w:p>
        </w:tc>
        <w:tc>
          <w:tcPr>
            <w:tcW w:w="2665" w:type="dxa"/>
          </w:tcPr>
          <w:p>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财政性资金基本保证</w:t>
            </w:r>
          </w:p>
        </w:tc>
      </w:tr>
    </w:tbl>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9"/>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第二部分2025年度部门决算表</w:t>
            </w:r>
          </w:p>
          <w:p>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pPr>
              <w:pStyle w:val="23"/>
              <w:widowControl/>
              <w:ind w:left="1760" w:firstLine="0" w:firstLineChars="0"/>
              <w:textAlignment w:val="center"/>
              <w:rPr>
                <w:rFonts w:ascii="Times New Roman" w:hAnsi="Times New Roman" w:eastAsia="仿宋_GB2312" w:cs="Times New Roman"/>
                <w:b/>
                <w:bCs/>
                <w:sz w:val="32"/>
                <w:szCs w:val="32"/>
              </w:rPr>
            </w:pPr>
          </w:p>
        </w:tc>
      </w:tr>
      <w:tr>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部门：                    </w:t>
            </w:r>
          </w:p>
        </w:tc>
        <w:tc>
          <w:tcPr>
            <w:tcW w:w="2138" w:type="dxa"/>
            <w:gridSpan w:val="2"/>
            <w:tcBorders>
              <w:top w:val="nil"/>
              <w:left w:val="nil"/>
              <w:bottom w:val="single" w:color="auto" w:sz="4" w:space="0"/>
              <w:right w:val="nil"/>
            </w:tcBorders>
            <w:shd w:val="clear" w:color="auto" w:fill="FFFFFF"/>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2025年度</w:t>
            </w:r>
          </w:p>
        </w:tc>
        <w:tc>
          <w:tcPr>
            <w:tcW w:w="4070" w:type="dxa"/>
            <w:gridSpan w:val="3"/>
            <w:tcBorders>
              <w:top w:val="nil"/>
              <w:left w:val="nil"/>
              <w:bottom w:val="single" w:color="auto" w:sz="4" w:space="0"/>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r>
      <w:tr>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r>
      <w:tr>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3111.81</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31.85</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3024.85</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34.84</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57.41</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31.85</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3143.66</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3184.95</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35.07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29.78</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3178.73</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3178.73</w:t>
            </w:r>
          </w:p>
        </w:tc>
      </w:tr>
    </w:tbl>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p>
    <w:p>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9"/>
        <w:tblW w:w="10034" w:type="dxa"/>
        <w:jc w:val="center"/>
        <w:tblLayout w:type="fixed"/>
        <w:tblCellMar>
          <w:top w:w="15" w:type="dxa"/>
          <w:left w:w="15" w:type="dxa"/>
          <w:bottom w:w="15" w:type="dxa"/>
          <w:right w:w="15" w:type="dxa"/>
        </w:tblCellMar>
      </w:tblPr>
      <w:tblGrid>
        <w:gridCol w:w="792"/>
        <w:gridCol w:w="692"/>
        <w:gridCol w:w="1173"/>
        <w:gridCol w:w="1486"/>
        <w:gridCol w:w="981"/>
        <w:gridCol w:w="981"/>
        <w:gridCol w:w="991"/>
        <w:gridCol w:w="971"/>
        <w:gridCol w:w="981"/>
        <w:gridCol w:w="986"/>
      </w:tblGrid>
      <w:tr>
        <w:tblPrEx>
          <w:tblCellMar>
            <w:top w:w="15" w:type="dxa"/>
            <w:left w:w="15" w:type="dxa"/>
            <w:bottom w:w="15" w:type="dxa"/>
            <w:right w:w="15" w:type="dxa"/>
          </w:tblCellMar>
        </w:tblPrEx>
        <w:trPr>
          <w:trHeight w:val="666" w:hRule="atLeast"/>
          <w:jc w:val="center"/>
        </w:trPr>
        <w:tc>
          <w:tcPr>
            <w:tcW w:w="10034" w:type="dxa"/>
            <w:gridSpan w:val="10"/>
            <w:shd w:val="clear" w:color="auto" w:fill="auto"/>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tblPrEx>
          <w:tblCellMar>
            <w:top w:w="15" w:type="dxa"/>
            <w:left w:w="15" w:type="dxa"/>
            <w:bottom w:w="15" w:type="dxa"/>
            <w:right w:w="15" w:type="dxa"/>
          </w:tblCellMar>
        </w:tblPrEx>
        <w:trPr>
          <w:trHeight w:val="348" w:hRule="atLeast"/>
          <w:jc w:val="center"/>
        </w:trPr>
        <w:tc>
          <w:tcPr>
            <w:tcW w:w="792" w:type="dxa"/>
            <w:shd w:val="clear" w:color="auto" w:fill="FFFFFF"/>
            <w:vAlign w:val="center"/>
          </w:tcPr>
          <w:p>
            <w:pPr>
              <w:jc w:val="right"/>
              <w:rPr>
                <w:rFonts w:ascii="Times New Roman" w:hAnsi="Times New Roman" w:eastAsia="仿宋_GB2312" w:cs="Times New Roman"/>
                <w:color w:val="000000"/>
                <w:sz w:val="24"/>
              </w:rPr>
            </w:pPr>
          </w:p>
        </w:tc>
        <w:tc>
          <w:tcPr>
            <w:tcW w:w="692" w:type="dxa"/>
            <w:shd w:val="clear" w:color="auto" w:fill="FFFFFF"/>
            <w:vAlign w:val="center"/>
          </w:tcPr>
          <w:p>
            <w:pPr>
              <w:jc w:val="right"/>
              <w:rPr>
                <w:rFonts w:ascii="Times New Roman" w:hAnsi="Times New Roman" w:eastAsia="仿宋_GB2312" w:cs="Times New Roman"/>
                <w:color w:val="000000"/>
                <w:sz w:val="24"/>
              </w:rPr>
            </w:pPr>
          </w:p>
        </w:tc>
        <w:tc>
          <w:tcPr>
            <w:tcW w:w="1173" w:type="dxa"/>
            <w:shd w:val="clear" w:color="auto" w:fill="FFFFFF"/>
            <w:vAlign w:val="center"/>
          </w:tcPr>
          <w:p>
            <w:pPr>
              <w:jc w:val="right"/>
              <w:rPr>
                <w:rFonts w:ascii="Times New Roman" w:hAnsi="Times New Roman" w:eastAsia="仿宋_GB2312" w:cs="Times New Roman"/>
                <w:color w:val="000000"/>
                <w:sz w:val="24"/>
              </w:rPr>
            </w:pPr>
          </w:p>
        </w:tc>
        <w:tc>
          <w:tcPr>
            <w:tcW w:w="1486" w:type="dxa"/>
            <w:shd w:val="clear" w:color="auto" w:fill="FFFFFF"/>
            <w:vAlign w:val="center"/>
          </w:tcPr>
          <w:p>
            <w:pPr>
              <w:jc w:val="right"/>
              <w:rPr>
                <w:rFonts w:ascii="Times New Roman" w:hAnsi="Times New Roman" w:eastAsia="仿宋_GB2312" w:cs="Times New Roman"/>
                <w:color w:val="000000"/>
                <w:sz w:val="24"/>
              </w:rPr>
            </w:pPr>
          </w:p>
        </w:tc>
        <w:tc>
          <w:tcPr>
            <w:tcW w:w="981" w:type="dxa"/>
            <w:shd w:val="clear" w:color="auto" w:fill="FFFFFF"/>
            <w:vAlign w:val="center"/>
          </w:tcPr>
          <w:p>
            <w:pPr>
              <w:jc w:val="right"/>
              <w:rPr>
                <w:rFonts w:ascii="Times New Roman" w:hAnsi="Times New Roman" w:eastAsia="仿宋_GB2312" w:cs="Times New Roman"/>
                <w:color w:val="000000"/>
                <w:sz w:val="24"/>
              </w:rPr>
            </w:pPr>
          </w:p>
        </w:tc>
        <w:tc>
          <w:tcPr>
            <w:tcW w:w="981" w:type="dxa"/>
            <w:shd w:val="clear" w:color="auto" w:fill="FFFFFF"/>
            <w:vAlign w:val="center"/>
          </w:tcPr>
          <w:p>
            <w:pPr>
              <w:jc w:val="right"/>
              <w:rPr>
                <w:rFonts w:ascii="Times New Roman" w:hAnsi="Times New Roman" w:eastAsia="仿宋_GB2312" w:cs="Times New Roman"/>
                <w:color w:val="000000"/>
                <w:sz w:val="24"/>
              </w:rPr>
            </w:pPr>
          </w:p>
        </w:tc>
        <w:tc>
          <w:tcPr>
            <w:tcW w:w="991" w:type="dxa"/>
            <w:shd w:val="clear" w:color="auto" w:fill="FFFFFF"/>
            <w:vAlign w:val="center"/>
          </w:tcPr>
          <w:p>
            <w:pPr>
              <w:jc w:val="right"/>
              <w:rPr>
                <w:rFonts w:ascii="Times New Roman" w:hAnsi="Times New Roman" w:eastAsia="仿宋_GB2312" w:cs="Times New Roman"/>
                <w:color w:val="000000"/>
                <w:sz w:val="24"/>
              </w:rPr>
            </w:pPr>
          </w:p>
        </w:tc>
        <w:tc>
          <w:tcPr>
            <w:tcW w:w="971" w:type="dxa"/>
            <w:shd w:val="clear" w:color="auto" w:fill="FFFFFF"/>
            <w:vAlign w:val="center"/>
          </w:tcPr>
          <w:p>
            <w:pPr>
              <w:jc w:val="right"/>
              <w:rPr>
                <w:rFonts w:ascii="Times New Roman" w:hAnsi="Times New Roman" w:eastAsia="仿宋_GB2312" w:cs="Times New Roman"/>
                <w:color w:val="000000"/>
                <w:sz w:val="24"/>
              </w:rPr>
            </w:pPr>
          </w:p>
        </w:tc>
        <w:tc>
          <w:tcPr>
            <w:tcW w:w="981" w:type="dxa"/>
            <w:shd w:val="clear" w:color="auto" w:fill="FFFFFF"/>
            <w:vAlign w:val="center"/>
          </w:tcPr>
          <w:p>
            <w:pPr>
              <w:jc w:val="right"/>
              <w:rPr>
                <w:rFonts w:ascii="Times New Roman" w:hAnsi="Times New Roman" w:eastAsia="仿宋_GB2312" w:cs="Times New Roman"/>
                <w:color w:val="000000"/>
                <w:sz w:val="24"/>
              </w:rPr>
            </w:pPr>
          </w:p>
        </w:tc>
        <w:tc>
          <w:tcPr>
            <w:tcW w:w="986"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tblPrEx>
          <w:tblCellMar>
            <w:top w:w="15" w:type="dxa"/>
            <w:left w:w="15" w:type="dxa"/>
            <w:bottom w:w="15" w:type="dxa"/>
            <w:right w:w="15" w:type="dxa"/>
          </w:tblCellMar>
        </w:tblPrEx>
        <w:trPr>
          <w:trHeight w:val="348" w:hRule="atLeast"/>
          <w:jc w:val="center"/>
        </w:trPr>
        <w:tc>
          <w:tcPr>
            <w:tcW w:w="2657" w:type="dxa"/>
            <w:gridSpan w:val="3"/>
            <w:shd w:val="clear" w:color="auto" w:fill="FFFFFF"/>
            <w:vAlign w:val="center"/>
          </w:tcPr>
          <w:p>
            <w:pPr>
              <w:jc w:val="left"/>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lang w:bidi="ar"/>
              </w:rPr>
              <w:t>部门：</w:t>
            </w:r>
          </w:p>
        </w:tc>
        <w:tc>
          <w:tcPr>
            <w:tcW w:w="1486" w:type="dxa"/>
            <w:shd w:val="clear" w:color="auto" w:fill="FFFFFF"/>
            <w:vAlign w:val="center"/>
          </w:tcPr>
          <w:p>
            <w:pPr>
              <w:jc w:val="right"/>
              <w:rPr>
                <w:rFonts w:ascii="Times New Roman" w:hAnsi="Times New Roman" w:eastAsia="仿宋_GB2312" w:cs="Times New Roman"/>
                <w:color w:val="000000"/>
                <w:sz w:val="24"/>
              </w:rPr>
            </w:pPr>
          </w:p>
        </w:tc>
        <w:tc>
          <w:tcPr>
            <w:tcW w:w="1962" w:type="dxa"/>
            <w:gridSpan w:val="2"/>
            <w:shd w:val="clear" w:color="auto" w:fill="FFFFFF"/>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w:t>
            </w:r>
            <w:r>
              <w:rPr>
                <w:rFonts w:hint="eastAsia" w:ascii="Times New Roman" w:hAnsi="Times New Roman" w:eastAsia="仿宋_GB2312" w:cs="Times New Roman"/>
                <w:color w:val="000000"/>
                <w:sz w:val="24"/>
                <w:szCs w:val="24"/>
                <w:lang w:val="en-US" w:eastAsia="zh-CN"/>
              </w:rPr>
              <w:t>5</w:t>
            </w:r>
            <w:r>
              <w:rPr>
                <w:rFonts w:ascii="Times New Roman" w:hAnsi="Times New Roman" w:eastAsia="仿宋_GB2312" w:cs="Times New Roman"/>
                <w:color w:val="000000"/>
                <w:sz w:val="24"/>
                <w:szCs w:val="24"/>
              </w:rPr>
              <w:t>年度</w:t>
            </w:r>
          </w:p>
        </w:tc>
        <w:tc>
          <w:tcPr>
            <w:tcW w:w="991" w:type="dxa"/>
            <w:shd w:val="clear" w:color="auto" w:fill="FFFFFF"/>
            <w:vAlign w:val="center"/>
          </w:tcPr>
          <w:p>
            <w:pPr>
              <w:jc w:val="right"/>
              <w:rPr>
                <w:rFonts w:ascii="Times New Roman" w:hAnsi="Times New Roman" w:eastAsia="仿宋_GB2312" w:cs="Times New Roman"/>
                <w:color w:val="000000"/>
                <w:sz w:val="24"/>
              </w:rPr>
            </w:pPr>
          </w:p>
        </w:tc>
        <w:tc>
          <w:tcPr>
            <w:tcW w:w="971" w:type="dxa"/>
            <w:shd w:val="clear" w:color="auto" w:fill="FFFFFF"/>
            <w:vAlign w:val="center"/>
          </w:tcPr>
          <w:p>
            <w:pPr>
              <w:jc w:val="right"/>
              <w:rPr>
                <w:rFonts w:ascii="Times New Roman" w:hAnsi="Times New Roman" w:eastAsia="仿宋_GB2312" w:cs="Times New Roman"/>
                <w:color w:val="000000"/>
                <w:sz w:val="24"/>
              </w:rPr>
            </w:pPr>
          </w:p>
        </w:tc>
        <w:tc>
          <w:tcPr>
            <w:tcW w:w="981" w:type="dxa"/>
            <w:shd w:val="clear" w:color="auto" w:fill="FFFFFF"/>
            <w:vAlign w:val="center"/>
          </w:tcPr>
          <w:p>
            <w:pPr>
              <w:jc w:val="right"/>
              <w:rPr>
                <w:rFonts w:ascii="Times New Roman" w:hAnsi="Times New Roman" w:eastAsia="仿宋_GB2312" w:cs="Times New Roman"/>
                <w:color w:val="000000"/>
                <w:sz w:val="24"/>
              </w:rPr>
            </w:pPr>
          </w:p>
        </w:tc>
        <w:tc>
          <w:tcPr>
            <w:tcW w:w="986"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499" w:hRule="atLeast"/>
          <w:jc w:val="center"/>
        </w:trPr>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本年收入合计</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财政拨款收入</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上级补助收入</w:t>
            </w:r>
          </w:p>
        </w:tc>
        <w:tc>
          <w:tcPr>
            <w:tcW w:w="9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事业收入</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经营收入</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附属单位上缴收入</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其他收入</w:t>
            </w:r>
          </w:p>
        </w:tc>
      </w:tr>
      <w:tr>
        <w:tblPrEx>
          <w:tblCellMar>
            <w:top w:w="15" w:type="dxa"/>
            <w:left w:w="15" w:type="dxa"/>
            <w:bottom w:w="15" w:type="dxa"/>
            <w:right w:w="15" w:type="dxa"/>
          </w:tblCellMar>
        </w:tblPrEx>
        <w:trPr>
          <w:trHeight w:val="499" w:hRule="atLeast"/>
          <w:jc w:val="center"/>
        </w:trPr>
        <w:tc>
          <w:tcPr>
            <w:tcW w:w="148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trHeight w:val="499" w:hRule="atLeast"/>
          <w:jc w:val="center"/>
        </w:trPr>
        <w:tc>
          <w:tcPr>
            <w:tcW w:w="14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99" w:hRule="atLeast"/>
          <w:jc w:val="center"/>
        </w:trPr>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7</w:t>
            </w:r>
          </w:p>
        </w:tc>
      </w:tr>
      <w:tr>
        <w:tblPrEx>
          <w:tblCellMar>
            <w:top w:w="15" w:type="dxa"/>
            <w:left w:w="15" w:type="dxa"/>
            <w:bottom w:w="15" w:type="dxa"/>
            <w:right w:w="15" w:type="dxa"/>
          </w:tblCellMar>
        </w:tblPrEx>
        <w:trPr>
          <w:trHeight w:val="499" w:hRule="atLeast"/>
          <w:jc w:val="center"/>
        </w:trPr>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color w:val="000000"/>
                <w:kern w:val="0"/>
                <w:sz w:val="22"/>
                <w:szCs w:val="22"/>
                <w:u w:val="none"/>
                <w:lang w:val="en-US" w:eastAsia="zh-CN" w:bidi="ar"/>
              </w:rPr>
              <w:t>3143.66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3143.66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社会保障和就业支出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3019.56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3019.56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649.07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649.07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2080101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行政运行</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2080109</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社会保险经办机构</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646.69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646.69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行政事业单位养老支出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2337.79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2337.79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2080502</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事业单位离退休</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108.94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108.94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2080505</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67.16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67.16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2080506</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机关事业单位职业年金缴费支出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20830</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财政代缴社会保险费支出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2083001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财政代缴城乡居民基本养老保险费支出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卫生健康支出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21011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行政事业单位医疗</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2101102</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事业单位医疗</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22.78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22.78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仿宋_GB2312" w:cs="Times New Roman"/>
                <w:color w:val="000000"/>
                <w:sz w:val="24"/>
                <w:shd w:val="clear" w:color="auto" w:fill="auto"/>
                <w:lang w:val="en-US"/>
              </w:rPr>
            </w:pPr>
            <w:r>
              <w:rPr>
                <w:rFonts w:hint="eastAsia" w:ascii="宋体" w:hAnsi="宋体" w:eastAsia="宋体" w:cs="宋体"/>
                <w:i w:val="0"/>
                <w:color w:val="000000"/>
                <w:kern w:val="0"/>
                <w:sz w:val="22"/>
                <w:szCs w:val="22"/>
                <w:u w:val="none"/>
                <w:shd w:val="clear" w:color="auto" w:fill="auto"/>
                <w:lang w:val="en-US" w:eastAsia="zh-CN" w:bidi="ar"/>
              </w:rPr>
              <w:t>2101103</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shd w:val="clear" w:color="auto" w:fill="auto"/>
              </w:rPr>
            </w:pPr>
            <w:r>
              <w:rPr>
                <w:rFonts w:hint="eastAsia" w:ascii="宋体" w:hAnsi="宋体" w:eastAsia="宋体" w:cs="宋体"/>
                <w:i w:val="0"/>
                <w:color w:val="000000"/>
                <w:kern w:val="0"/>
                <w:sz w:val="22"/>
                <w:szCs w:val="22"/>
                <w:u w:val="none"/>
                <w:shd w:val="clear" w:color="auto" w:fill="auto"/>
                <w:lang w:val="en-US" w:eastAsia="zh-CN" w:bidi="ar"/>
              </w:rPr>
              <w:t xml:space="preserve">  公务员医疗补助</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shd w:val="clear" w:color="auto" w:fill="auto"/>
                <w:lang w:val="en-US"/>
              </w:rPr>
            </w:pPr>
            <w:r>
              <w:rPr>
                <w:rFonts w:hint="eastAsia" w:ascii="宋体" w:hAnsi="宋体" w:eastAsia="宋体" w:cs="宋体"/>
                <w:i w:val="0"/>
                <w:color w:val="000000"/>
                <w:kern w:val="0"/>
                <w:sz w:val="22"/>
                <w:szCs w:val="22"/>
                <w:u w:val="none"/>
                <w:shd w:val="clear" w:color="auto" w:fill="auto"/>
                <w:lang w:val="en-US" w:eastAsia="zh-CN" w:bidi="ar"/>
              </w:rPr>
              <w:t>12.06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shd w:val="clear" w:color="auto" w:fill="auto"/>
                <w:lang w:val="en-US"/>
              </w:rPr>
            </w:pPr>
            <w:r>
              <w:rPr>
                <w:rFonts w:hint="eastAsia" w:ascii="宋体" w:hAnsi="宋体" w:eastAsia="宋体" w:cs="宋体"/>
                <w:i w:val="0"/>
                <w:color w:val="000000"/>
                <w:kern w:val="0"/>
                <w:sz w:val="22"/>
                <w:szCs w:val="22"/>
                <w:u w:val="none"/>
                <w:shd w:val="clear" w:color="auto" w:fill="auto"/>
                <w:lang w:val="en-US" w:eastAsia="zh-CN" w:bidi="ar"/>
              </w:rPr>
              <w:t>12.06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hd w:val="clear" w:color="auto" w:fill="auto"/>
              </w:rPr>
            </w:pPr>
            <w:r>
              <w:rPr>
                <w:rFonts w:hint="eastAsia" w:ascii="宋体" w:hAnsi="宋体" w:eastAsia="宋体" w:cs="宋体"/>
                <w:i w:val="0"/>
                <w:color w:val="000000"/>
                <w:kern w:val="0"/>
                <w:sz w:val="22"/>
                <w:szCs w:val="22"/>
                <w:u w:val="none"/>
                <w:shd w:val="clear" w:color="auto" w:fill="auto"/>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hd w:val="clear" w:color="auto" w:fill="auto"/>
              </w:rPr>
            </w:pPr>
            <w:r>
              <w:rPr>
                <w:rFonts w:hint="eastAsia" w:ascii="宋体" w:hAnsi="宋体" w:eastAsia="宋体" w:cs="宋体"/>
                <w:i w:val="0"/>
                <w:color w:val="000000"/>
                <w:kern w:val="0"/>
                <w:sz w:val="22"/>
                <w:szCs w:val="22"/>
                <w:u w:val="none"/>
                <w:shd w:val="clear" w:color="auto" w:fill="auto"/>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hd w:val="clear" w:color="auto" w:fill="auto"/>
              </w:rPr>
            </w:pPr>
            <w:r>
              <w:rPr>
                <w:rFonts w:hint="eastAsia" w:ascii="宋体" w:hAnsi="宋体" w:eastAsia="宋体" w:cs="宋体"/>
                <w:i w:val="0"/>
                <w:color w:val="000000"/>
                <w:kern w:val="0"/>
                <w:sz w:val="22"/>
                <w:szCs w:val="22"/>
                <w:u w:val="none"/>
                <w:shd w:val="clear" w:color="auto" w:fill="auto"/>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hd w:val="clear" w:color="auto" w:fill="auto"/>
              </w:rPr>
            </w:pPr>
            <w:r>
              <w:rPr>
                <w:rFonts w:hint="eastAsia" w:ascii="宋体" w:hAnsi="宋体" w:eastAsia="宋体" w:cs="宋体"/>
                <w:i w:val="0"/>
                <w:color w:val="000000"/>
                <w:kern w:val="0"/>
                <w:sz w:val="22"/>
                <w:szCs w:val="22"/>
                <w:u w:val="none"/>
                <w:shd w:val="clear" w:color="auto" w:fill="auto"/>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hd w:val="clear" w:color="auto" w:fill="auto"/>
              </w:rPr>
            </w:pPr>
            <w:r>
              <w:rPr>
                <w:rFonts w:hint="eastAsia" w:ascii="宋体" w:hAnsi="宋体" w:eastAsia="宋体" w:cs="宋体"/>
                <w:i w:val="0"/>
                <w:color w:val="000000"/>
                <w:kern w:val="0"/>
                <w:sz w:val="22"/>
                <w:szCs w:val="22"/>
                <w:u w:val="none"/>
                <w:shd w:val="clear" w:color="auto" w:fill="auto"/>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住房保障支出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22102</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住房改革支出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2210201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住房公积金</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国有资本经营预算支出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31.85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22301</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解决历史遗留问题及改革成本支出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677"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2230105</w:t>
            </w: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国有企业退休人员社会化管理补助支出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4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1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775" w:hRule="atLeast"/>
          <w:jc w:val="center"/>
        </w:trPr>
        <w:tc>
          <w:tcPr>
            <w:tcW w:w="10034" w:type="dxa"/>
            <w:gridSpan w:val="10"/>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注：本表反映部门本年度取得的各项收入情况。</w:t>
            </w:r>
          </w:p>
        </w:tc>
      </w:tr>
    </w:tbl>
    <w:p>
      <w:r>
        <w:br w:type="page"/>
      </w:r>
    </w:p>
    <w:tbl>
      <w:tblPr>
        <w:tblStyle w:val="9"/>
        <w:tblW w:w="11755" w:type="dxa"/>
        <w:jc w:val="center"/>
        <w:tblLayout w:type="fixed"/>
        <w:tblCellMar>
          <w:top w:w="15" w:type="dxa"/>
          <w:left w:w="15" w:type="dxa"/>
          <w:bottom w:w="15" w:type="dxa"/>
          <w:right w:w="15" w:type="dxa"/>
        </w:tblCellMar>
      </w:tblPr>
      <w:tblGrid>
        <w:gridCol w:w="671"/>
        <w:gridCol w:w="667"/>
        <w:gridCol w:w="1231"/>
        <w:gridCol w:w="1706"/>
        <w:gridCol w:w="1739"/>
        <w:gridCol w:w="1069"/>
        <w:gridCol w:w="1069"/>
        <w:gridCol w:w="1069"/>
        <w:gridCol w:w="1065"/>
        <w:gridCol w:w="1469"/>
      </w:tblGrid>
      <w:tr>
        <w:tblPrEx>
          <w:tblCellMar>
            <w:top w:w="15" w:type="dxa"/>
            <w:left w:w="15" w:type="dxa"/>
            <w:bottom w:w="15" w:type="dxa"/>
            <w:right w:w="15" w:type="dxa"/>
          </w:tblCellMar>
        </w:tblPrEx>
        <w:trPr>
          <w:gridAfter w:val="1"/>
          <w:wAfter w:w="1469" w:type="dxa"/>
          <w:trHeight w:val="435" w:hRule="atLeast"/>
          <w:jc w:val="center"/>
        </w:trPr>
        <w:tc>
          <w:tcPr>
            <w:tcW w:w="10286" w:type="dxa"/>
            <w:gridSpan w:val="9"/>
            <w:shd w:val="clear" w:color="auto" w:fill="auto"/>
            <w:vAlign w:val="center"/>
          </w:tcPr>
          <w:p>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tblPrEx>
          <w:tblCellMar>
            <w:top w:w="15" w:type="dxa"/>
            <w:left w:w="15" w:type="dxa"/>
            <w:bottom w:w="15" w:type="dxa"/>
            <w:right w:w="15" w:type="dxa"/>
          </w:tblCellMar>
        </w:tblPrEx>
        <w:trPr>
          <w:gridAfter w:val="1"/>
          <w:wAfter w:w="1469" w:type="dxa"/>
          <w:trHeight w:val="286" w:hRule="atLeast"/>
          <w:jc w:val="center"/>
        </w:trPr>
        <w:tc>
          <w:tcPr>
            <w:tcW w:w="671" w:type="dxa"/>
            <w:shd w:val="clear" w:color="auto" w:fill="FFFFFF"/>
            <w:vAlign w:val="center"/>
          </w:tcPr>
          <w:p>
            <w:pPr>
              <w:jc w:val="right"/>
              <w:rPr>
                <w:rFonts w:ascii="Times New Roman" w:hAnsi="Times New Roman" w:eastAsia="仿宋_GB2312" w:cs="Times New Roman"/>
                <w:color w:val="000000"/>
                <w:sz w:val="24"/>
              </w:rPr>
            </w:pPr>
          </w:p>
        </w:tc>
        <w:tc>
          <w:tcPr>
            <w:tcW w:w="667" w:type="dxa"/>
            <w:shd w:val="clear" w:color="auto" w:fill="FFFFFF"/>
            <w:vAlign w:val="center"/>
          </w:tcPr>
          <w:p>
            <w:pPr>
              <w:jc w:val="right"/>
              <w:rPr>
                <w:rFonts w:ascii="Times New Roman" w:hAnsi="Times New Roman" w:eastAsia="仿宋_GB2312" w:cs="Times New Roman"/>
                <w:color w:val="000000"/>
                <w:sz w:val="24"/>
              </w:rPr>
            </w:pPr>
          </w:p>
        </w:tc>
        <w:tc>
          <w:tcPr>
            <w:tcW w:w="1231" w:type="dxa"/>
            <w:shd w:val="clear" w:color="auto" w:fill="FFFFFF"/>
            <w:vAlign w:val="center"/>
          </w:tcPr>
          <w:p>
            <w:pPr>
              <w:jc w:val="right"/>
              <w:rPr>
                <w:rFonts w:ascii="Times New Roman" w:hAnsi="Times New Roman" w:eastAsia="仿宋_GB2312" w:cs="Times New Roman"/>
                <w:color w:val="000000"/>
                <w:sz w:val="24"/>
              </w:rPr>
            </w:pPr>
          </w:p>
        </w:tc>
        <w:tc>
          <w:tcPr>
            <w:tcW w:w="1706" w:type="dxa"/>
            <w:shd w:val="clear" w:color="auto" w:fill="FFFFFF"/>
            <w:vAlign w:val="center"/>
          </w:tcPr>
          <w:p>
            <w:pPr>
              <w:jc w:val="right"/>
              <w:rPr>
                <w:rFonts w:ascii="Times New Roman" w:hAnsi="Times New Roman" w:eastAsia="仿宋_GB2312" w:cs="Times New Roman"/>
                <w:color w:val="000000"/>
                <w:sz w:val="24"/>
              </w:rPr>
            </w:pPr>
          </w:p>
        </w:tc>
        <w:tc>
          <w:tcPr>
            <w:tcW w:w="1739"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5"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tblPrEx>
          <w:tblCellMar>
            <w:top w:w="15" w:type="dxa"/>
            <w:left w:w="15" w:type="dxa"/>
            <w:bottom w:w="15" w:type="dxa"/>
            <w:right w:w="15" w:type="dxa"/>
          </w:tblCellMar>
        </w:tblPrEx>
        <w:trPr>
          <w:gridAfter w:val="1"/>
          <w:wAfter w:w="1469" w:type="dxa"/>
          <w:trHeight w:val="286" w:hRule="atLeast"/>
          <w:jc w:val="center"/>
        </w:trPr>
        <w:tc>
          <w:tcPr>
            <w:tcW w:w="671"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667" w:type="dxa"/>
            <w:shd w:val="clear" w:color="auto" w:fill="FFFFFF"/>
            <w:vAlign w:val="center"/>
          </w:tcPr>
          <w:p>
            <w:pPr>
              <w:jc w:val="right"/>
              <w:rPr>
                <w:rFonts w:ascii="Times New Roman" w:hAnsi="Times New Roman" w:eastAsia="仿宋_GB2312" w:cs="Times New Roman"/>
                <w:color w:val="000000"/>
                <w:sz w:val="24"/>
              </w:rPr>
            </w:pPr>
          </w:p>
        </w:tc>
        <w:tc>
          <w:tcPr>
            <w:tcW w:w="1231" w:type="dxa"/>
            <w:shd w:val="clear" w:color="auto" w:fill="FFFFFF"/>
            <w:vAlign w:val="center"/>
          </w:tcPr>
          <w:p>
            <w:pPr>
              <w:jc w:val="right"/>
              <w:rPr>
                <w:rFonts w:ascii="Times New Roman" w:hAnsi="Times New Roman" w:eastAsia="仿宋_GB2312" w:cs="Times New Roman"/>
                <w:color w:val="000000"/>
                <w:sz w:val="24"/>
              </w:rPr>
            </w:pPr>
          </w:p>
        </w:tc>
        <w:tc>
          <w:tcPr>
            <w:tcW w:w="1706" w:type="dxa"/>
            <w:shd w:val="clear" w:color="auto" w:fill="FFFFFF"/>
            <w:vAlign w:val="center"/>
          </w:tcPr>
          <w:p>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739" w:type="dxa"/>
            <w:shd w:val="clear" w:color="auto" w:fill="FFFFFF"/>
            <w:vAlign w:val="center"/>
          </w:tcPr>
          <w:p>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w:t>
            </w:r>
            <w:r>
              <w:rPr>
                <w:rFonts w:hint="eastAsia" w:ascii="Times New Roman" w:hAnsi="Times New Roman" w:eastAsia="仿宋_GB2312" w:cs="Times New Roman"/>
                <w:color w:val="000000"/>
                <w:sz w:val="24"/>
                <w:szCs w:val="24"/>
                <w:lang w:val="en-US" w:eastAsia="zh-CN"/>
              </w:rPr>
              <w:t>5</w:t>
            </w:r>
            <w:r>
              <w:rPr>
                <w:rFonts w:ascii="Times New Roman" w:hAnsi="Times New Roman" w:eastAsia="仿宋_GB2312" w:cs="Times New Roman"/>
                <w:color w:val="000000"/>
                <w:sz w:val="24"/>
                <w:szCs w:val="24"/>
              </w:rPr>
              <w:t>年度</w:t>
            </w:r>
          </w:p>
        </w:tc>
        <w:tc>
          <w:tcPr>
            <w:tcW w:w="1069" w:type="dxa"/>
            <w:shd w:val="clear" w:color="auto" w:fill="FFFFFF"/>
            <w:vAlign w:val="center"/>
          </w:tcPr>
          <w:p>
            <w:pPr>
              <w:jc w:val="center"/>
              <w:rPr>
                <w:rFonts w:ascii="Times New Roman" w:hAnsi="Times New Roman" w:eastAsia="仿宋_GB2312" w:cs="Times New Roman"/>
                <w:color w:val="000000"/>
                <w:sz w:val="20"/>
                <w:szCs w:val="20"/>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5"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gridAfter w:val="1"/>
          <w:wAfter w:w="1469" w:type="dxa"/>
          <w:trHeight w:val="450" w:hRule="atLeast"/>
          <w:jc w:val="center"/>
        </w:trPr>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7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本年支出合计</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对附属单位补助支出</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7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r>
      <w:tr>
        <w:trPr>
          <w:gridAfter w:val="1"/>
          <w:wAfter w:w="1469" w:type="dxa"/>
          <w:trHeight w:val="450" w:hRule="atLeast"/>
          <w:jc w:val="center"/>
        </w:trPr>
        <w:tc>
          <w:tcPr>
            <w:tcW w:w="133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7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gridAfter w:val="1"/>
          <w:wAfter w:w="1469" w:type="dxa"/>
          <w:trHeight w:val="450" w:hRule="atLeast"/>
          <w:jc w:val="center"/>
        </w:trPr>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7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r>
      <w:tr>
        <w:tblPrEx>
          <w:tblCellMar>
            <w:top w:w="15" w:type="dxa"/>
            <w:left w:w="15" w:type="dxa"/>
            <w:bottom w:w="15" w:type="dxa"/>
            <w:right w:w="15" w:type="dxa"/>
          </w:tblCellMar>
        </w:tblPrEx>
        <w:trPr>
          <w:trHeight w:val="450" w:hRule="atLeast"/>
          <w:jc w:val="center"/>
        </w:trPr>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3148.95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912.74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2236.21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1469" w:type="dxa"/>
            <w:vAlign w:val="center"/>
          </w:tcPr>
          <w:p>
            <w:pPr>
              <w:keepNext w:val="0"/>
              <w:keepLines w:val="0"/>
              <w:widowControl/>
              <w:suppressLineNumbers w:val="0"/>
              <w:jc w:val="both"/>
              <w:textAlignment w:val="center"/>
            </w:pPr>
          </w:p>
        </w:tc>
      </w:tr>
      <w:tr>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社会保障和就业支出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3024.85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820.49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2204.36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654.36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644.39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9.97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2080101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行政运行</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2080109</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社会保险经办机构</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651.97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642.00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9.97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行政事业单位养老支出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2337.79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176.10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2080502</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事业单位离退休</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108.94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108.94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2080505</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67.16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67.16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2080506</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机关事业单位职业年金缴费支出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20830</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财政代缴社会保险费支出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2083001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财政代缴城乡居民基本养老保险费支出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32.70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32.70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卫生健康支出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21011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行政事业单位医疗</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34.84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34.84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2101102</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事业单位医疗</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22.78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22.78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2101103</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公务员医疗补助</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12.06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12.06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住房保障支出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22102</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住房改革支出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57.41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57.41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2210201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住房公积金</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57.41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57.41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国有资本经营预算支出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31.85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22301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解决历史遗留问题及改革成本支出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2230105</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 xml:space="preserve">  国有企业退休人员社会化管理补助支出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gridAfter w:val="1"/>
          <w:wAfter w:w="1469" w:type="dxa"/>
          <w:trHeight w:val="630" w:hRule="atLeast"/>
          <w:jc w:val="center"/>
        </w:trPr>
        <w:tc>
          <w:tcPr>
            <w:tcW w:w="10286" w:type="dxa"/>
            <w:gridSpan w:val="9"/>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注：本表反映部门本年度各项支出情况。</w:t>
            </w:r>
          </w:p>
        </w:tc>
      </w:tr>
    </w:tbl>
    <w:p/>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0" w:type="dxa"/>
        <w:jc w:val="center"/>
        <w:tblLayout w:type="fixed"/>
        <w:tblCellMar>
          <w:top w:w="15" w:type="dxa"/>
          <w:left w:w="15" w:type="dxa"/>
          <w:bottom w:w="15" w:type="dxa"/>
          <w:right w:w="15" w:type="dxa"/>
        </w:tblCellMar>
      </w:tblPr>
      <w:tblGrid>
        <w:gridCol w:w="2390"/>
        <w:gridCol w:w="586"/>
        <w:gridCol w:w="891"/>
        <w:gridCol w:w="2416"/>
        <w:gridCol w:w="494"/>
        <w:gridCol w:w="670"/>
        <w:gridCol w:w="89"/>
        <w:gridCol w:w="960"/>
        <w:gridCol w:w="960"/>
        <w:gridCol w:w="964"/>
      </w:tblGrid>
      <w:tr>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tblPrEx>
          <w:tblCellMar>
            <w:top w:w="15" w:type="dxa"/>
            <w:left w:w="15" w:type="dxa"/>
            <w:bottom w:w="15" w:type="dxa"/>
            <w:right w:w="15" w:type="dxa"/>
          </w:tblCellMar>
        </w:tblPrEx>
        <w:trPr>
          <w:trHeight w:val="347" w:hRule="atLeast"/>
          <w:jc w:val="center"/>
        </w:trPr>
        <w:tc>
          <w:tcPr>
            <w:tcW w:w="3867" w:type="dxa"/>
            <w:gridSpan w:val="3"/>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4"/>
                <w:szCs w:val="24"/>
                <w:lang w:bidi="ar"/>
              </w:rPr>
            </w:pPr>
          </w:p>
        </w:tc>
        <w:tc>
          <w:tcPr>
            <w:tcW w:w="6553" w:type="dxa"/>
            <w:gridSpan w:val="7"/>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tblPrEx>
          <w:tblCellMar>
            <w:top w:w="15" w:type="dxa"/>
            <w:left w:w="15" w:type="dxa"/>
            <w:bottom w:w="15" w:type="dxa"/>
            <w:right w:w="15" w:type="dxa"/>
          </w:tblCellMar>
        </w:tblPrEx>
        <w:trPr>
          <w:trHeight w:val="388" w:hRule="atLeast"/>
          <w:jc w:val="center"/>
        </w:trPr>
        <w:tc>
          <w:tcPr>
            <w:tcW w:w="3867" w:type="dxa"/>
            <w:gridSpan w:val="3"/>
            <w:tcBorders>
              <w:top w:val="nil"/>
              <w:left w:val="nil"/>
              <w:bottom w:val="nil"/>
              <w:right w:val="nil"/>
            </w:tcBorders>
            <w:shd w:val="clear" w:color="auto" w:fill="FFFFFF"/>
            <w:vAlign w:val="center"/>
          </w:tcPr>
          <w:p>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 xml:space="preserve">部门：                    </w:t>
            </w:r>
          </w:p>
        </w:tc>
        <w:tc>
          <w:tcPr>
            <w:tcW w:w="3580" w:type="dxa"/>
            <w:gridSpan w:val="3"/>
            <w:tcBorders>
              <w:top w:val="nil"/>
              <w:left w:val="nil"/>
              <w:bottom w:val="nil"/>
              <w:right w:val="nil"/>
            </w:tcBorders>
            <w:shd w:val="clear" w:color="auto" w:fill="FFFFFF"/>
            <w:vAlign w:val="center"/>
          </w:tcPr>
          <w:p>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2025年度</w:t>
            </w:r>
          </w:p>
        </w:tc>
        <w:tc>
          <w:tcPr>
            <w:tcW w:w="2973" w:type="dxa"/>
            <w:gridSpan w:val="4"/>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530" w:hRule="atLeast"/>
          <w:jc w:val="center"/>
        </w:trPr>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金额</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国有资本经营预算财政拨款</w:t>
            </w:r>
          </w:p>
        </w:tc>
      </w:tr>
      <w:tr>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3111.81</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31.85</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3019.56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3019.56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34.84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34.84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57.41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57.41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收入</w:t>
            </w:r>
          </w:p>
        </w:tc>
        <w:tc>
          <w:tcPr>
            <w:tcW w:w="6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支出</w:t>
            </w:r>
          </w:p>
        </w:tc>
      </w:tr>
      <w:tr>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金额</w:t>
            </w: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国有资本经营预算财政拨款</w:t>
            </w: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31.85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31.85</w:t>
            </w: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本年收入合计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3143.66</w:t>
            </w: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3143.66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3111.81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31.85</w:t>
            </w: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年初财政拨款结转和结余</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6"/>
                <w:szCs w:val="20"/>
              </w:rPr>
              <w:t xml:space="preserve">  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31</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总计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3143.66</w:t>
            </w: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3143.66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3111.81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31.85</w:t>
            </w:r>
          </w:p>
        </w:tc>
      </w:tr>
      <w:tr>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注：本表反映部门本年度一般公共预算财政拨款、政府性基金预算财政拨款和国有资本经营预算财政拨款的总收支和年末结转结余情况。</w:t>
            </w:r>
          </w:p>
        </w:tc>
      </w:tr>
    </w:tbl>
    <w:p>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pPr>
              <w:jc w:val="center"/>
              <w:rPr>
                <w:rFonts w:ascii="Times New Roman" w:hAnsi="Times New Roman" w:eastAsia="仿宋_GB2312" w:cs="Times New Roman"/>
                <w:color w:val="000000"/>
                <w:sz w:val="20"/>
                <w:szCs w:val="20"/>
              </w:rPr>
            </w:pPr>
          </w:p>
        </w:tc>
        <w:tc>
          <w:tcPr>
            <w:tcW w:w="1085" w:type="dxa"/>
            <w:shd w:val="clear" w:color="auto" w:fill="FFFFFF"/>
            <w:vAlign w:val="center"/>
          </w:tcPr>
          <w:p>
            <w:pPr>
              <w:jc w:val="center"/>
              <w:rPr>
                <w:rFonts w:ascii="Times New Roman" w:hAnsi="Times New Roman" w:eastAsia="仿宋_GB2312" w:cs="Times New Roman"/>
                <w:color w:val="000000"/>
                <w:sz w:val="20"/>
                <w:szCs w:val="20"/>
              </w:rPr>
            </w:pPr>
          </w:p>
        </w:tc>
        <w:tc>
          <w:tcPr>
            <w:tcW w:w="2337" w:type="dxa"/>
            <w:shd w:val="clear" w:color="auto" w:fill="FFFFFF"/>
            <w:vAlign w:val="center"/>
          </w:tcPr>
          <w:p>
            <w:pPr>
              <w:jc w:val="center"/>
              <w:rPr>
                <w:rFonts w:ascii="Times New Roman" w:hAnsi="Times New Roman" w:eastAsia="仿宋_GB2312" w:cs="Times New Roman"/>
                <w:color w:val="000000"/>
                <w:sz w:val="20"/>
                <w:szCs w:val="20"/>
              </w:rPr>
            </w:pPr>
          </w:p>
        </w:tc>
        <w:tc>
          <w:tcPr>
            <w:tcW w:w="2397" w:type="dxa"/>
            <w:shd w:val="clear" w:color="auto" w:fill="FFFFFF"/>
            <w:vAlign w:val="center"/>
          </w:tcPr>
          <w:p>
            <w:pPr>
              <w:rPr>
                <w:rFonts w:ascii="Times New Roman" w:hAnsi="Times New Roman" w:eastAsia="仿宋_GB2312" w:cs="Times New Roman"/>
                <w:color w:val="000000"/>
                <w:sz w:val="20"/>
                <w:szCs w:val="20"/>
              </w:rPr>
            </w:pPr>
          </w:p>
        </w:tc>
        <w:tc>
          <w:tcPr>
            <w:tcW w:w="2186" w:type="dxa"/>
            <w:shd w:val="clear" w:color="auto" w:fill="FFFFFF"/>
            <w:vAlign w:val="center"/>
          </w:tcPr>
          <w:p>
            <w:pPr>
              <w:rPr>
                <w:rFonts w:ascii="Times New Roman" w:hAnsi="Times New Roman" w:eastAsia="仿宋_GB2312" w:cs="Times New Roman"/>
                <w:color w:val="000000"/>
                <w:sz w:val="20"/>
                <w:szCs w:val="20"/>
              </w:rPr>
            </w:pPr>
          </w:p>
        </w:tc>
        <w:tc>
          <w:tcPr>
            <w:tcW w:w="2293"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lang w:bidi="ar"/>
              </w:rPr>
              <w:t>5表</w:t>
            </w:r>
          </w:p>
        </w:tc>
      </w:tr>
      <w:tr>
        <w:tblPrEx>
          <w:tblCellMar>
            <w:top w:w="15" w:type="dxa"/>
            <w:left w:w="15" w:type="dxa"/>
            <w:bottom w:w="15" w:type="dxa"/>
            <w:right w:w="15" w:type="dxa"/>
          </w:tblCellMar>
        </w:tblPrEx>
        <w:trPr>
          <w:trHeight w:val="327" w:hRule="atLeast"/>
          <w:jc w:val="center"/>
        </w:trPr>
        <w:tc>
          <w:tcPr>
            <w:tcW w:w="602"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85" w:type="dxa"/>
            <w:shd w:val="clear" w:color="auto" w:fill="FFFFFF"/>
            <w:vAlign w:val="center"/>
          </w:tcPr>
          <w:p>
            <w:pPr>
              <w:jc w:val="center"/>
              <w:rPr>
                <w:rFonts w:ascii="Times New Roman" w:hAnsi="Times New Roman" w:eastAsia="仿宋_GB2312" w:cs="Times New Roman"/>
                <w:color w:val="000000"/>
                <w:sz w:val="20"/>
                <w:szCs w:val="20"/>
              </w:rPr>
            </w:pPr>
          </w:p>
        </w:tc>
        <w:tc>
          <w:tcPr>
            <w:tcW w:w="2337" w:type="dxa"/>
            <w:shd w:val="clear" w:color="auto" w:fill="FFFFFF"/>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p>
        </w:tc>
        <w:tc>
          <w:tcPr>
            <w:tcW w:w="2397" w:type="dxa"/>
            <w:shd w:val="clear" w:color="auto" w:fill="FFFFFF"/>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w:t>
            </w:r>
            <w:r>
              <w:rPr>
                <w:rFonts w:hint="eastAsia" w:ascii="Times New Roman" w:hAnsi="Times New Roman" w:eastAsia="仿宋_GB2312" w:cs="Times New Roman"/>
                <w:color w:val="000000"/>
                <w:sz w:val="20"/>
                <w:szCs w:val="20"/>
                <w:lang w:val="en-US" w:eastAsia="zh-CN"/>
              </w:rPr>
              <w:t>5</w:t>
            </w:r>
            <w:r>
              <w:rPr>
                <w:rFonts w:ascii="Times New Roman" w:hAnsi="Times New Roman" w:eastAsia="仿宋_GB2312" w:cs="Times New Roman"/>
                <w:color w:val="000000"/>
                <w:sz w:val="20"/>
                <w:szCs w:val="20"/>
              </w:rPr>
              <w:t>年度</w:t>
            </w:r>
          </w:p>
        </w:tc>
        <w:tc>
          <w:tcPr>
            <w:tcW w:w="2186" w:type="dxa"/>
            <w:shd w:val="clear" w:color="auto" w:fill="FFFFFF"/>
            <w:vAlign w:val="center"/>
          </w:tcPr>
          <w:p>
            <w:pPr>
              <w:rPr>
                <w:rFonts w:ascii="Times New Roman" w:hAnsi="Times New Roman" w:eastAsia="仿宋_GB2312" w:cs="Times New Roman"/>
                <w:color w:val="000000"/>
                <w:sz w:val="20"/>
                <w:szCs w:val="20"/>
              </w:rPr>
            </w:pPr>
          </w:p>
        </w:tc>
        <w:tc>
          <w:tcPr>
            <w:tcW w:w="2293"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项 </w:t>
            </w:r>
            <w:r>
              <w:rPr>
                <w:rStyle w:val="18"/>
                <w:rFonts w:hint="default" w:ascii="Times New Roman" w:hAnsi="Times New Roman" w:eastAsia="仿宋_GB2312" w:cs="Times New Roman"/>
                <w:b/>
                <w:lang w:bidi="ar"/>
              </w:rPr>
              <w:t xml:space="preserve">   </w:t>
            </w:r>
            <w:r>
              <w:rPr>
                <w:rStyle w:val="19"/>
                <w:rFonts w:hint="default" w:ascii="Times New Roman" w:hAnsi="Times New Roman" w:eastAsia="仿宋_GB2312" w:cs="Times New Roman"/>
                <w:b/>
                <w:sz w:val="22"/>
                <w:szCs w:val="22"/>
                <w:lang w:bidi="ar"/>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w:t>
            </w:r>
          </w:p>
        </w:tc>
      </w:tr>
      <w:tr>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项目支出</w:t>
            </w:r>
          </w:p>
        </w:tc>
      </w:tr>
      <w:tr>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3111.81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912.74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2199.07</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3019.56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820.49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2199.07</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649.07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644.39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4.69</w:t>
            </w:r>
          </w:p>
        </w:tc>
      </w:tr>
      <w:tr>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2080101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  行政运行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2080109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社会保险经办机构</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646.69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642.00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4.69</w:t>
            </w:r>
          </w:p>
        </w:tc>
      </w:tr>
      <w:tr>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行政事业单位养老支出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2337.79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176.10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事业单位离退休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108.94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108.94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0.00</w:t>
            </w:r>
          </w:p>
        </w:tc>
      </w:tr>
      <w:tr>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67.16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67.16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2080506</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机关事业单位职业年金缴费支出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2161.69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0.00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2161.69</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20830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财政代缴社会保险费支出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2083001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财政代缴城乡居民基本养老保险费支出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32.70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卫生健康支出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21011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行政事业单位医疗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34.84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2101102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22.78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22.78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2101103</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12.06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12.06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住房改革支出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2210201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住房公积金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lang w:val="en-US"/>
              </w:rPr>
            </w:pPr>
            <w:r>
              <w:rPr>
                <w:rFonts w:hint="eastAsia" w:ascii="宋体" w:hAnsi="宋体" w:eastAsia="宋体" w:cs="宋体"/>
                <w:i w:val="0"/>
                <w:color w:val="000000"/>
                <w:kern w:val="0"/>
                <w:sz w:val="22"/>
                <w:szCs w:val="22"/>
                <w:u w:val="none"/>
                <w:lang w:val="en-US" w:eastAsia="zh-CN" w:bidi="ar"/>
              </w:rPr>
              <w:t>57.41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440"/>
        <w:gridCol w:w="596"/>
        <w:gridCol w:w="582"/>
        <w:gridCol w:w="1871"/>
        <w:gridCol w:w="721"/>
        <w:gridCol w:w="615"/>
        <w:gridCol w:w="2543"/>
        <w:gridCol w:w="729"/>
      </w:tblGrid>
      <w:tr>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pPr>
              <w:jc w:val="center"/>
              <w:rPr>
                <w:rFonts w:ascii="Times New Roman" w:hAnsi="Times New Roman" w:eastAsia="仿宋_GB2312" w:cs="Times New Roman"/>
                <w:color w:val="000000"/>
                <w:sz w:val="20"/>
                <w:szCs w:val="20"/>
              </w:rPr>
            </w:pPr>
          </w:p>
        </w:tc>
        <w:tc>
          <w:tcPr>
            <w:tcW w:w="2440" w:type="dxa"/>
            <w:shd w:val="clear" w:color="auto" w:fill="FFFFFF"/>
            <w:vAlign w:val="center"/>
          </w:tcPr>
          <w:p>
            <w:pPr>
              <w:jc w:val="center"/>
              <w:rPr>
                <w:rFonts w:ascii="Times New Roman" w:hAnsi="Times New Roman" w:eastAsia="仿宋_GB2312" w:cs="Times New Roman"/>
                <w:color w:val="000000"/>
                <w:sz w:val="20"/>
                <w:szCs w:val="20"/>
              </w:rPr>
            </w:pPr>
          </w:p>
        </w:tc>
        <w:tc>
          <w:tcPr>
            <w:tcW w:w="596" w:type="dxa"/>
            <w:shd w:val="clear" w:color="auto" w:fill="FFFFFF"/>
            <w:vAlign w:val="center"/>
          </w:tcPr>
          <w:p>
            <w:pPr>
              <w:jc w:val="center"/>
              <w:rPr>
                <w:rFonts w:ascii="Times New Roman" w:hAnsi="Times New Roman" w:eastAsia="仿宋_GB2312" w:cs="Times New Roman"/>
                <w:color w:val="000000"/>
                <w:sz w:val="20"/>
                <w:szCs w:val="20"/>
              </w:rPr>
            </w:pPr>
          </w:p>
        </w:tc>
        <w:tc>
          <w:tcPr>
            <w:tcW w:w="582" w:type="dxa"/>
            <w:shd w:val="clear" w:color="auto" w:fill="FFFFFF"/>
            <w:vAlign w:val="center"/>
          </w:tcPr>
          <w:p>
            <w:pPr>
              <w:rPr>
                <w:rFonts w:ascii="Times New Roman" w:hAnsi="Times New Roman" w:eastAsia="仿宋_GB2312" w:cs="Times New Roman"/>
                <w:color w:val="000000"/>
                <w:sz w:val="20"/>
                <w:szCs w:val="20"/>
              </w:rPr>
            </w:pPr>
          </w:p>
        </w:tc>
        <w:tc>
          <w:tcPr>
            <w:tcW w:w="1871" w:type="dxa"/>
            <w:shd w:val="clear" w:color="auto" w:fill="FFFFFF"/>
            <w:vAlign w:val="center"/>
          </w:tcPr>
          <w:p>
            <w:pPr>
              <w:rPr>
                <w:rFonts w:ascii="Times New Roman" w:hAnsi="Times New Roman" w:eastAsia="仿宋_GB2312" w:cs="Times New Roman"/>
                <w:color w:val="000000"/>
                <w:sz w:val="20"/>
                <w:szCs w:val="20"/>
              </w:rPr>
            </w:pPr>
          </w:p>
        </w:tc>
        <w:tc>
          <w:tcPr>
            <w:tcW w:w="721" w:type="dxa"/>
            <w:shd w:val="clear" w:color="auto" w:fill="FFFFFF"/>
            <w:vAlign w:val="center"/>
          </w:tcPr>
          <w:p>
            <w:pPr>
              <w:rPr>
                <w:rFonts w:ascii="Times New Roman" w:hAnsi="Times New Roman" w:eastAsia="仿宋_GB2312" w:cs="Times New Roman"/>
                <w:color w:val="000000"/>
                <w:sz w:val="20"/>
                <w:szCs w:val="20"/>
              </w:rPr>
            </w:pPr>
          </w:p>
        </w:tc>
        <w:tc>
          <w:tcPr>
            <w:tcW w:w="615" w:type="dxa"/>
            <w:shd w:val="clear" w:color="auto" w:fill="FFFFFF"/>
            <w:vAlign w:val="center"/>
          </w:tcPr>
          <w:p>
            <w:pPr>
              <w:rPr>
                <w:rFonts w:ascii="Times New Roman" w:hAnsi="Times New Roman" w:eastAsia="仿宋_GB2312" w:cs="Times New Roman"/>
                <w:color w:val="000000"/>
                <w:sz w:val="20"/>
                <w:szCs w:val="20"/>
              </w:rPr>
            </w:pPr>
          </w:p>
        </w:tc>
        <w:tc>
          <w:tcPr>
            <w:tcW w:w="3272" w:type="dxa"/>
            <w:gridSpan w:val="2"/>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tblPrEx>
          <w:tblCellMar>
            <w:top w:w="15" w:type="dxa"/>
            <w:left w:w="15" w:type="dxa"/>
            <w:bottom w:w="15" w:type="dxa"/>
            <w:right w:w="15" w:type="dxa"/>
          </w:tblCellMar>
        </w:tblPrEx>
        <w:trPr>
          <w:trHeight w:val="266" w:hRule="atLeast"/>
          <w:jc w:val="center"/>
        </w:trPr>
        <w:tc>
          <w:tcPr>
            <w:tcW w:w="663" w:type="dxa"/>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2440" w:type="dxa"/>
            <w:shd w:val="clear" w:color="auto" w:fill="auto"/>
            <w:vAlign w:val="center"/>
          </w:tcPr>
          <w:p>
            <w:pPr>
              <w:rPr>
                <w:rFonts w:ascii="Times New Roman" w:hAnsi="Times New Roman" w:eastAsia="仿宋_GB2312" w:cs="Times New Roman"/>
                <w:color w:val="000000"/>
                <w:sz w:val="20"/>
                <w:szCs w:val="20"/>
              </w:rPr>
            </w:pPr>
          </w:p>
        </w:tc>
        <w:tc>
          <w:tcPr>
            <w:tcW w:w="596" w:type="dxa"/>
            <w:shd w:val="clear" w:color="auto" w:fill="auto"/>
            <w:vAlign w:val="center"/>
          </w:tcPr>
          <w:p>
            <w:pPr>
              <w:rPr>
                <w:rFonts w:ascii="Times New Roman" w:hAnsi="Times New Roman" w:eastAsia="仿宋_GB2312" w:cs="Times New Roman"/>
                <w:color w:val="000000"/>
                <w:sz w:val="20"/>
                <w:szCs w:val="20"/>
              </w:rPr>
            </w:pPr>
          </w:p>
        </w:tc>
        <w:tc>
          <w:tcPr>
            <w:tcW w:w="582" w:type="dxa"/>
            <w:shd w:val="clear" w:color="auto" w:fill="auto"/>
            <w:vAlign w:val="center"/>
          </w:tcPr>
          <w:p>
            <w:pPr>
              <w:rPr>
                <w:rFonts w:ascii="Times New Roman" w:hAnsi="Times New Roman" w:eastAsia="仿宋_GB2312" w:cs="Times New Roman"/>
                <w:color w:val="000000"/>
                <w:sz w:val="20"/>
                <w:szCs w:val="20"/>
              </w:rPr>
            </w:pPr>
          </w:p>
        </w:tc>
        <w:tc>
          <w:tcPr>
            <w:tcW w:w="1871" w:type="dxa"/>
            <w:shd w:val="clear" w:color="auto" w:fill="auto"/>
            <w:vAlign w:val="center"/>
          </w:tcPr>
          <w:p>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721" w:type="dxa"/>
            <w:shd w:val="clear" w:color="auto" w:fill="auto"/>
            <w:vAlign w:val="center"/>
          </w:tcPr>
          <w:p>
            <w:pPr>
              <w:rPr>
                <w:rFonts w:ascii="Times New Roman" w:hAnsi="Times New Roman" w:eastAsia="仿宋_GB2312" w:cs="Times New Roman"/>
                <w:color w:val="000000"/>
                <w:sz w:val="20"/>
                <w:szCs w:val="20"/>
              </w:rPr>
            </w:pPr>
          </w:p>
        </w:tc>
        <w:tc>
          <w:tcPr>
            <w:tcW w:w="615" w:type="dxa"/>
            <w:shd w:val="clear" w:color="auto" w:fill="auto"/>
            <w:vAlign w:val="center"/>
          </w:tcPr>
          <w:p>
            <w:pPr>
              <w:rPr>
                <w:rFonts w:ascii="Times New Roman" w:hAnsi="Times New Roman" w:eastAsia="仿宋_GB2312" w:cs="Times New Roman"/>
                <w:color w:val="000000"/>
                <w:sz w:val="20"/>
                <w:szCs w:val="20"/>
              </w:rPr>
            </w:pPr>
          </w:p>
        </w:tc>
        <w:tc>
          <w:tcPr>
            <w:tcW w:w="3272" w:type="dxa"/>
            <w:gridSpan w:val="2"/>
            <w:shd w:val="clear" w:color="auto" w:fill="auto"/>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766.69</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29.99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260.76</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16.35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150.16</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31.95</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157.25</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68.53</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23.27</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12.31</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3.84</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58.61</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116.06</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108.94</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7.12</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3.76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6.33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2.38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r>
      <w:tr>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p>
        </w:tc>
        <w:tc>
          <w:tcPr>
            <w:tcW w:w="1871" w:type="dxa"/>
          </w:tcPr>
          <w:p>
            <w:pPr>
              <w:widowControl/>
              <w:jc w:val="left"/>
              <w:textAlignment w:val="center"/>
              <w:rPr>
                <w:rFonts w:ascii="Times New Roman" w:hAnsi="Times New Roman" w:eastAsia="仿宋_GB2312" w:cs="Times New Roman"/>
                <w:color w:val="000000"/>
                <w:sz w:val="20"/>
                <w:szCs w:val="20"/>
              </w:rPr>
            </w:pP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43" w:hRule="atLeast"/>
          <w:jc w:val="center"/>
        </w:trPr>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882.75</w:t>
            </w:r>
          </w:p>
        </w:tc>
        <w:tc>
          <w:tcPr>
            <w:tcW w:w="63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29.99</w:t>
            </w: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注：本表反映部门本年度一般公共预算财政拨款基本支出明细情况。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pPr>
              <w:jc w:val="center"/>
              <w:rPr>
                <w:rFonts w:ascii="Times New Roman" w:hAnsi="Times New Roman" w:eastAsia="仿宋_GB2312" w:cs="Times New Roman"/>
                <w:color w:val="000000"/>
                <w:sz w:val="20"/>
                <w:szCs w:val="20"/>
              </w:rPr>
            </w:pPr>
          </w:p>
        </w:tc>
        <w:tc>
          <w:tcPr>
            <w:tcW w:w="1080" w:type="dxa"/>
            <w:shd w:val="clear" w:color="auto" w:fill="FFFFFF"/>
            <w:vAlign w:val="center"/>
          </w:tcPr>
          <w:p>
            <w:pPr>
              <w:jc w:val="center"/>
              <w:rPr>
                <w:rFonts w:ascii="Times New Roman" w:hAnsi="Times New Roman" w:eastAsia="仿宋_GB2312" w:cs="Times New Roman"/>
                <w:color w:val="000000"/>
                <w:sz w:val="20"/>
                <w:szCs w:val="20"/>
              </w:rPr>
            </w:pPr>
          </w:p>
        </w:tc>
        <w:tc>
          <w:tcPr>
            <w:tcW w:w="1321" w:type="dxa"/>
            <w:shd w:val="clear" w:color="auto" w:fill="FFFFFF"/>
            <w:vAlign w:val="center"/>
          </w:tcPr>
          <w:p>
            <w:pPr>
              <w:jc w:val="center"/>
              <w:rPr>
                <w:rFonts w:ascii="Times New Roman" w:hAnsi="Times New Roman" w:eastAsia="仿宋_GB2312" w:cs="Times New Roman"/>
                <w:color w:val="000000"/>
                <w:sz w:val="20"/>
                <w:szCs w:val="20"/>
              </w:rPr>
            </w:pPr>
          </w:p>
        </w:tc>
        <w:tc>
          <w:tcPr>
            <w:tcW w:w="1996" w:type="dxa"/>
            <w:shd w:val="clear" w:color="auto" w:fill="auto"/>
            <w:vAlign w:val="bottom"/>
          </w:tcPr>
          <w:p>
            <w:pPr>
              <w:rPr>
                <w:rFonts w:ascii="Times New Roman" w:hAnsi="Times New Roman" w:eastAsia="仿宋_GB2312" w:cs="Times New Roman"/>
                <w:color w:val="000000"/>
                <w:sz w:val="24"/>
              </w:rPr>
            </w:pPr>
          </w:p>
        </w:tc>
        <w:tc>
          <w:tcPr>
            <w:tcW w:w="1080" w:type="dxa"/>
            <w:shd w:val="clear" w:color="auto" w:fill="auto"/>
            <w:vAlign w:val="bottom"/>
          </w:tcPr>
          <w:p>
            <w:pPr>
              <w:rPr>
                <w:rFonts w:ascii="Times New Roman" w:hAnsi="Times New Roman" w:eastAsia="仿宋_GB2312" w:cs="Times New Roman"/>
                <w:color w:val="000000"/>
                <w:sz w:val="24"/>
              </w:rPr>
            </w:pPr>
          </w:p>
        </w:tc>
        <w:tc>
          <w:tcPr>
            <w:tcW w:w="1080" w:type="dxa"/>
            <w:shd w:val="clear" w:color="auto" w:fill="auto"/>
            <w:vAlign w:val="bottom"/>
          </w:tcPr>
          <w:p>
            <w:pPr>
              <w:rPr>
                <w:rFonts w:ascii="Times New Roman" w:hAnsi="Times New Roman" w:eastAsia="仿宋_GB2312" w:cs="Times New Roman"/>
                <w:color w:val="000000"/>
                <w:sz w:val="24"/>
              </w:rPr>
            </w:pPr>
          </w:p>
        </w:tc>
        <w:tc>
          <w:tcPr>
            <w:tcW w:w="1080" w:type="dxa"/>
            <w:shd w:val="clear" w:color="auto" w:fill="auto"/>
            <w:vAlign w:val="bottom"/>
          </w:tcPr>
          <w:p>
            <w:pPr>
              <w:rPr>
                <w:rFonts w:ascii="Times New Roman" w:hAnsi="Times New Roman" w:eastAsia="仿宋_GB2312" w:cs="Times New Roman"/>
                <w:color w:val="000000"/>
                <w:sz w:val="24"/>
              </w:rPr>
            </w:pPr>
          </w:p>
        </w:tc>
        <w:tc>
          <w:tcPr>
            <w:tcW w:w="1081" w:type="dxa"/>
            <w:shd w:val="clear" w:color="auto" w:fill="auto"/>
            <w:vAlign w:val="bottom"/>
          </w:tcPr>
          <w:p>
            <w:pPr>
              <w:rPr>
                <w:rFonts w:ascii="Times New Roman" w:hAnsi="Times New Roman" w:eastAsia="仿宋_GB2312" w:cs="Times New Roman"/>
                <w:color w:val="000000"/>
                <w:sz w:val="24"/>
              </w:rPr>
            </w:pPr>
          </w:p>
        </w:tc>
        <w:tc>
          <w:tcPr>
            <w:tcW w:w="1077"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tblPrEx>
          <w:tblCellMar>
            <w:top w:w="15" w:type="dxa"/>
            <w:left w:w="15" w:type="dxa"/>
            <w:bottom w:w="15" w:type="dxa"/>
            <w:right w:w="15" w:type="dxa"/>
          </w:tblCellMar>
        </w:tblPrEx>
        <w:trPr>
          <w:trHeight w:val="301" w:hRule="atLeast"/>
          <w:jc w:val="center"/>
        </w:trPr>
        <w:tc>
          <w:tcPr>
            <w:tcW w:w="555"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80" w:type="dxa"/>
            <w:shd w:val="clear" w:color="auto" w:fill="FFFFFF"/>
            <w:vAlign w:val="center"/>
          </w:tcPr>
          <w:p>
            <w:pPr>
              <w:jc w:val="center"/>
              <w:rPr>
                <w:rFonts w:ascii="Times New Roman" w:hAnsi="Times New Roman" w:eastAsia="仿宋_GB2312" w:cs="Times New Roman"/>
                <w:color w:val="000000"/>
                <w:sz w:val="20"/>
                <w:szCs w:val="20"/>
              </w:rPr>
            </w:pPr>
          </w:p>
        </w:tc>
        <w:tc>
          <w:tcPr>
            <w:tcW w:w="1321" w:type="dxa"/>
            <w:shd w:val="clear" w:color="auto" w:fill="FFFFFF"/>
            <w:vAlign w:val="center"/>
          </w:tcPr>
          <w:p>
            <w:pPr>
              <w:jc w:val="center"/>
              <w:rPr>
                <w:rFonts w:ascii="Times New Roman" w:hAnsi="Times New Roman" w:eastAsia="仿宋_GB2312" w:cs="Times New Roman"/>
                <w:color w:val="000000"/>
                <w:sz w:val="20"/>
                <w:szCs w:val="20"/>
              </w:rPr>
            </w:pPr>
          </w:p>
        </w:tc>
        <w:tc>
          <w:tcPr>
            <w:tcW w:w="1996" w:type="dxa"/>
            <w:shd w:val="clear" w:color="auto" w:fill="FFFFFF"/>
            <w:vAlign w:val="center"/>
          </w:tcPr>
          <w:p>
            <w:pPr>
              <w:rPr>
                <w:rFonts w:ascii="Times New Roman" w:hAnsi="Times New Roman" w:eastAsia="仿宋_GB2312" w:cs="Times New Roman"/>
                <w:color w:val="000000"/>
                <w:sz w:val="20"/>
                <w:szCs w:val="20"/>
              </w:rPr>
            </w:pPr>
          </w:p>
        </w:tc>
        <w:tc>
          <w:tcPr>
            <w:tcW w:w="1080" w:type="dxa"/>
            <w:shd w:val="clear" w:color="auto" w:fill="FFFFFF"/>
            <w:vAlign w:val="center"/>
          </w:tcPr>
          <w:p>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pPr>
              <w:rPr>
                <w:rFonts w:ascii="Times New Roman" w:hAnsi="Times New Roman" w:eastAsia="仿宋_GB2312" w:cs="Times New Roman"/>
                <w:color w:val="000000"/>
                <w:sz w:val="20"/>
                <w:szCs w:val="20"/>
              </w:rPr>
            </w:pPr>
          </w:p>
        </w:tc>
        <w:tc>
          <w:tcPr>
            <w:tcW w:w="1080" w:type="dxa"/>
            <w:shd w:val="clear" w:color="auto" w:fill="FFFFFF"/>
            <w:vAlign w:val="center"/>
          </w:tcPr>
          <w:p>
            <w:pPr>
              <w:rPr>
                <w:rFonts w:ascii="Times New Roman" w:hAnsi="Times New Roman" w:eastAsia="仿宋_GB2312" w:cs="Times New Roman"/>
                <w:color w:val="000000"/>
                <w:sz w:val="20"/>
                <w:szCs w:val="20"/>
              </w:rPr>
            </w:pPr>
          </w:p>
        </w:tc>
        <w:tc>
          <w:tcPr>
            <w:tcW w:w="1081" w:type="dxa"/>
            <w:shd w:val="clear" w:color="auto" w:fill="FFFFFF"/>
            <w:vAlign w:val="center"/>
          </w:tcPr>
          <w:p>
            <w:pPr>
              <w:rPr>
                <w:rFonts w:ascii="Times New Roman" w:hAnsi="Times New Roman" w:eastAsia="仿宋_GB2312" w:cs="Times New Roman"/>
                <w:color w:val="000000"/>
                <w:sz w:val="20"/>
                <w:szCs w:val="20"/>
              </w:rPr>
            </w:pPr>
          </w:p>
        </w:tc>
        <w:tc>
          <w:tcPr>
            <w:tcW w:w="1077"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w:t>
            </w:r>
            <w:r>
              <w:rPr>
                <w:rFonts w:hint="eastAsia" w:ascii="Times New Roman" w:hAnsi="Times New Roman" w:eastAsia="仿宋_GB2312" w:cs="Times New Roman"/>
                <w:color w:val="000000"/>
                <w:kern w:val="0"/>
                <w:sz w:val="24"/>
                <w:szCs w:val="24"/>
                <w:lang w:bidi="ar"/>
              </w:rPr>
              <w:t>本单位本年度无收支及结转结余情况，按要求以空表列示。</w:t>
            </w:r>
            <w:r>
              <w:rPr>
                <w:rFonts w:ascii="Times New Roman" w:hAnsi="Times New Roman" w:eastAsia="仿宋_GB2312" w:cs="Times New Roman"/>
                <w:b/>
              </w:rPr>
              <w:br w:type="page"/>
            </w:r>
          </w:p>
          <w:p>
            <w:pPr>
              <w:widowControl/>
              <w:jc w:val="left"/>
              <w:textAlignment w:val="center"/>
              <w:rPr>
                <w:rFonts w:ascii="Times New Roman" w:hAnsi="Times New Roman" w:eastAsia="仿宋_GB2312" w:cs="Times New Roman"/>
                <w:color w:val="000000"/>
                <w:sz w:val="24"/>
              </w:rPr>
            </w:pP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pPr>
              <w:jc w:val="center"/>
              <w:rPr>
                <w:rFonts w:ascii="Times New Roman" w:hAnsi="Times New Roman" w:eastAsia="仿宋_GB2312" w:cs="Times New Roman"/>
                <w:color w:val="000000"/>
                <w:sz w:val="20"/>
                <w:szCs w:val="20"/>
              </w:rPr>
            </w:pPr>
          </w:p>
        </w:tc>
        <w:tc>
          <w:tcPr>
            <w:tcW w:w="1056" w:type="dxa"/>
            <w:shd w:val="clear" w:color="auto" w:fill="FFFFFF"/>
            <w:vAlign w:val="center"/>
          </w:tcPr>
          <w:p>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pPr>
              <w:rPr>
                <w:rFonts w:ascii="Times New Roman" w:hAnsi="Times New Roman" w:eastAsia="仿宋_GB2312" w:cs="Times New Roman"/>
                <w:color w:val="000000"/>
                <w:sz w:val="20"/>
                <w:szCs w:val="20"/>
              </w:rPr>
            </w:pPr>
          </w:p>
        </w:tc>
        <w:tc>
          <w:tcPr>
            <w:tcW w:w="1036" w:type="dxa"/>
            <w:shd w:val="clear" w:color="auto" w:fill="FFFFFF"/>
            <w:vAlign w:val="center"/>
          </w:tcPr>
          <w:p>
            <w:pPr>
              <w:rPr>
                <w:rFonts w:ascii="Times New Roman" w:hAnsi="Times New Roman" w:eastAsia="仿宋_GB2312" w:cs="Times New Roman"/>
                <w:color w:val="000000"/>
                <w:sz w:val="20"/>
                <w:szCs w:val="20"/>
              </w:rPr>
            </w:pPr>
          </w:p>
        </w:tc>
        <w:tc>
          <w:tcPr>
            <w:tcW w:w="3138" w:type="dxa"/>
            <w:gridSpan w:val="2"/>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995" w:type="dxa"/>
            <w:gridSpan w:val="2"/>
            <w:shd w:val="clear" w:color="auto" w:fill="FFFFFF"/>
            <w:vAlign w:val="center"/>
          </w:tcPr>
          <w:p>
            <w:pPr>
              <w:jc w:val="center"/>
              <w:rPr>
                <w:rFonts w:ascii="Times New Roman" w:hAnsi="Times New Roman" w:eastAsia="仿宋_GB2312" w:cs="Times New Roman"/>
                <w:color w:val="000000"/>
                <w:sz w:val="20"/>
                <w:szCs w:val="20"/>
              </w:rPr>
            </w:pPr>
          </w:p>
        </w:tc>
        <w:tc>
          <w:tcPr>
            <w:tcW w:w="1056" w:type="dxa"/>
            <w:shd w:val="clear" w:color="auto" w:fill="FFFFFF"/>
            <w:vAlign w:val="center"/>
          </w:tcPr>
          <w:p>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w:t>
            </w:r>
            <w:r>
              <w:rPr>
                <w:rFonts w:hint="eastAsia" w:ascii="Times New Roman" w:hAnsi="Times New Roman" w:eastAsia="仿宋_GB2312" w:cs="Times New Roman"/>
                <w:color w:val="000000"/>
                <w:sz w:val="20"/>
                <w:szCs w:val="20"/>
                <w:lang w:val="en-US" w:eastAsia="zh-CN"/>
              </w:rPr>
              <w:t>5</w:t>
            </w:r>
            <w:r>
              <w:rPr>
                <w:rFonts w:ascii="Times New Roman" w:hAnsi="Times New Roman" w:eastAsia="仿宋_GB2312" w:cs="Times New Roman"/>
                <w:color w:val="000000"/>
                <w:sz w:val="20"/>
                <w:szCs w:val="20"/>
              </w:rPr>
              <w:t>年度</w:t>
            </w:r>
          </w:p>
        </w:tc>
        <w:tc>
          <w:tcPr>
            <w:tcW w:w="1036" w:type="dxa"/>
            <w:shd w:val="clear" w:color="auto" w:fill="FFFFFF"/>
            <w:vAlign w:val="center"/>
          </w:tcPr>
          <w:p>
            <w:pPr>
              <w:rPr>
                <w:rFonts w:ascii="Times New Roman" w:hAnsi="Times New Roman" w:eastAsia="仿宋_GB2312" w:cs="Times New Roman"/>
                <w:color w:val="000000"/>
                <w:sz w:val="20"/>
                <w:szCs w:val="20"/>
              </w:rPr>
            </w:pPr>
          </w:p>
        </w:tc>
        <w:tc>
          <w:tcPr>
            <w:tcW w:w="3138" w:type="dxa"/>
            <w:gridSpan w:val="2"/>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31.85</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0.00</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31.85</w:t>
            </w: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国有资本经营预算支出</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22301</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解决历史遗留问题及改革成本支出</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2230105</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 xml:space="preserve">  国有企业退休人员社会化管理补助支出</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0.00</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rPr>
            </w:pPr>
            <w:r>
              <w:rPr>
                <w:rFonts w:hint="eastAsia" w:ascii="宋体" w:hAnsi="宋体" w:eastAsia="宋体" w:cs="宋体"/>
                <w:i w:val="0"/>
                <w:color w:val="000000"/>
                <w:kern w:val="0"/>
                <w:sz w:val="22"/>
                <w:szCs w:val="22"/>
                <w:u w:val="none"/>
                <w:lang w:val="en-US" w:eastAsia="zh-CN" w:bidi="ar"/>
              </w:rPr>
              <w:t>31.85</w:t>
            </w: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仿宋_GB2312" w:cs="Times New Roman"/>
                <w:color w:val="000000"/>
                <w:sz w:val="24"/>
              </w:rPr>
            </w:pPr>
          </w:p>
        </w:tc>
      </w:tr>
    </w:tbl>
    <w:p/>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pPr>
              <w:jc w:val="center"/>
              <w:rPr>
                <w:rFonts w:ascii="Times New Roman" w:hAnsi="Times New Roman" w:eastAsia="仿宋_GB2312" w:cs="Times New Roman"/>
                <w:color w:val="000000"/>
                <w:sz w:val="24"/>
              </w:rPr>
            </w:pPr>
          </w:p>
        </w:tc>
        <w:tc>
          <w:tcPr>
            <w:tcW w:w="1068" w:type="dxa"/>
            <w:gridSpan w:val="2"/>
            <w:shd w:val="clear" w:color="auto" w:fill="auto"/>
            <w:vAlign w:val="center"/>
          </w:tcPr>
          <w:p>
            <w:pPr>
              <w:jc w:val="center"/>
              <w:rPr>
                <w:rFonts w:ascii="Times New Roman" w:hAnsi="Times New Roman" w:eastAsia="仿宋_GB2312" w:cs="Times New Roman"/>
                <w:color w:val="000000"/>
                <w:sz w:val="24"/>
              </w:rPr>
            </w:pPr>
          </w:p>
        </w:tc>
        <w:tc>
          <w:tcPr>
            <w:tcW w:w="1055" w:type="dxa"/>
            <w:gridSpan w:val="3"/>
            <w:shd w:val="clear" w:color="auto" w:fill="auto"/>
            <w:vAlign w:val="center"/>
          </w:tcPr>
          <w:p>
            <w:pPr>
              <w:jc w:val="center"/>
              <w:rPr>
                <w:rFonts w:ascii="Times New Roman" w:hAnsi="Times New Roman" w:eastAsia="仿宋_GB2312" w:cs="Times New Roman"/>
                <w:color w:val="000000"/>
                <w:sz w:val="24"/>
              </w:rPr>
            </w:pPr>
          </w:p>
        </w:tc>
        <w:tc>
          <w:tcPr>
            <w:tcW w:w="1055" w:type="dxa"/>
            <w:gridSpan w:val="2"/>
            <w:shd w:val="clear" w:color="auto" w:fill="auto"/>
            <w:vAlign w:val="center"/>
          </w:tcPr>
          <w:p>
            <w:pPr>
              <w:rPr>
                <w:rFonts w:ascii="Times New Roman" w:hAnsi="Times New Roman" w:eastAsia="仿宋_GB2312" w:cs="Times New Roman"/>
                <w:color w:val="000000"/>
                <w:sz w:val="24"/>
              </w:rPr>
            </w:pPr>
          </w:p>
        </w:tc>
        <w:tc>
          <w:tcPr>
            <w:tcW w:w="1056" w:type="dxa"/>
            <w:shd w:val="clear" w:color="auto" w:fill="auto"/>
            <w:vAlign w:val="center"/>
          </w:tcPr>
          <w:p>
            <w:pPr>
              <w:rPr>
                <w:rFonts w:ascii="Times New Roman" w:hAnsi="Times New Roman" w:eastAsia="仿宋_GB2312" w:cs="Times New Roman"/>
                <w:color w:val="000000"/>
                <w:sz w:val="24"/>
              </w:rPr>
            </w:pPr>
          </w:p>
        </w:tc>
        <w:tc>
          <w:tcPr>
            <w:tcW w:w="240" w:type="dxa"/>
            <w:shd w:val="clear" w:color="auto" w:fill="auto"/>
            <w:vAlign w:val="center"/>
          </w:tcPr>
          <w:p>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pPr>
              <w:jc w:val="right"/>
              <w:rPr>
                <w:rFonts w:ascii="Times New Roman" w:hAnsi="Times New Roman" w:eastAsia="仿宋_GB2312" w:cs="Times New Roman"/>
                <w:color w:val="000000"/>
                <w:sz w:val="24"/>
              </w:rPr>
            </w:pPr>
          </w:p>
        </w:tc>
        <w:tc>
          <w:tcPr>
            <w:tcW w:w="1068" w:type="dxa"/>
            <w:gridSpan w:val="3"/>
            <w:shd w:val="clear" w:color="auto" w:fill="auto"/>
            <w:vAlign w:val="bottom"/>
          </w:tcPr>
          <w:p>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pPr>
              <w:jc w:val="right"/>
              <w:rPr>
                <w:rFonts w:ascii="Times New Roman" w:hAnsi="Times New Roman" w:eastAsia="仿宋_GB2312" w:cs="Times New Roman"/>
                <w:color w:val="000000"/>
                <w:sz w:val="24"/>
              </w:rPr>
            </w:pPr>
          </w:p>
        </w:tc>
        <w:tc>
          <w:tcPr>
            <w:tcW w:w="1055" w:type="dxa"/>
            <w:gridSpan w:val="2"/>
            <w:shd w:val="clear" w:color="auto" w:fill="auto"/>
            <w:vAlign w:val="bottom"/>
          </w:tcPr>
          <w:p>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pPr>
              <w:rPr>
                <w:rFonts w:ascii="Times New Roman" w:hAnsi="Times New Roman" w:eastAsia="仿宋_GB2312" w:cs="Times New Roman"/>
                <w:color w:val="000000"/>
                <w:sz w:val="24"/>
              </w:rPr>
            </w:pPr>
          </w:p>
        </w:tc>
        <w:tc>
          <w:tcPr>
            <w:tcW w:w="240"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p>
        </w:tc>
      </w:tr>
      <w:tr>
        <w:trPr>
          <w:gridAfter w:val="1"/>
          <w:wAfter w:w="1767" w:type="dxa"/>
          <w:trHeight w:val="301" w:hRule="atLeast"/>
        </w:trPr>
        <w:tc>
          <w:tcPr>
            <w:tcW w:w="1191" w:type="dxa"/>
            <w:gridSpan w:val="2"/>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68" w:type="dxa"/>
            <w:gridSpan w:val="2"/>
            <w:shd w:val="clear" w:color="auto" w:fill="FFFFFF"/>
            <w:vAlign w:val="center"/>
          </w:tcPr>
          <w:p>
            <w:pPr>
              <w:jc w:val="center"/>
              <w:rPr>
                <w:rFonts w:ascii="Times New Roman" w:hAnsi="Times New Roman" w:eastAsia="仿宋_GB2312" w:cs="Times New Roman"/>
                <w:color w:val="000000"/>
                <w:sz w:val="20"/>
                <w:szCs w:val="20"/>
              </w:rPr>
            </w:pPr>
          </w:p>
        </w:tc>
        <w:tc>
          <w:tcPr>
            <w:tcW w:w="1055" w:type="dxa"/>
            <w:gridSpan w:val="3"/>
            <w:shd w:val="clear" w:color="auto" w:fill="FFFFFF"/>
            <w:vAlign w:val="center"/>
          </w:tcPr>
          <w:p>
            <w:pPr>
              <w:jc w:val="center"/>
              <w:rPr>
                <w:rFonts w:ascii="Times New Roman" w:hAnsi="Times New Roman" w:eastAsia="仿宋_GB2312" w:cs="Times New Roman"/>
                <w:color w:val="000000"/>
                <w:sz w:val="20"/>
                <w:szCs w:val="20"/>
              </w:rPr>
            </w:pPr>
          </w:p>
        </w:tc>
        <w:tc>
          <w:tcPr>
            <w:tcW w:w="1055" w:type="dxa"/>
            <w:gridSpan w:val="2"/>
            <w:shd w:val="clear" w:color="auto" w:fill="FFFFFF"/>
            <w:vAlign w:val="center"/>
          </w:tcPr>
          <w:p>
            <w:pPr>
              <w:jc w:val="right"/>
              <w:rPr>
                <w:rFonts w:ascii="Times New Roman" w:hAnsi="Times New Roman" w:eastAsia="仿宋_GB2312" w:cs="Times New Roman"/>
                <w:color w:val="000000"/>
                <w:sz w:val="20"/>
                <w:szCs w:val="20"/>
              </w:rPr>
            </w:pPr>
          </w:p>
        </w:tc>
        <w:tc>
          <w:tcPr>
            <w:tcW w:w="1056" w:type="dxa"/>
            <w:shd w:val="clear" w:color="auto" w:fill="FFFFFF"/>
            <w:vAlign w:val="center"/>
          </w:tcPr>
          <w:p>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40" w:type="dxa"/>
            <w:shd w:val="clear" w:color="auto" w:fill="FFFFFF"/>
            <w:vAlign w:val="center"/>
          </w:tcPr>
          <w:p>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2025年度部门决算情况说明</w:t>
      </w:r>
    </w:p>
    <w:p>
      <w:pPr>
        <w:rPr>
          <w:rFonts w:ascii="Times New Roman" w:hAnsi="Times New Roman" w:eastAsia="黑体" w:cs="Times New Roman"/>
          <w:sz w:val="32"/>
          <w:szCs w:val="32"/>
        </w:rPr>
      </w:pPr>
    </w:p>
    <w:p>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2025年度收、支总计（含结转和结余）均为3,178.73万元。与2024年度决算相比，收支各减少123.24万元，下降3.7%，主要原因是是机关事业单位养老保险制度改革补助经费，城乡居民养老保险财政补助资金等由财政代列支，造成今年与去年相比大幅下降。</w:t>
      </w:r>
    </w:p>
    <w:p>
      <w:pPr>
        <w:adjustRightInd w:val="0"/>
        <w:snapToGrid w:val="0"/>
        <w:spacing w:line="580" w:lineRule="exact"/>
        <w:rPr>
          <w:rFonts w:ascii="Times New Roman" w:hAnsi="Times New Roman" w:eastAsia="仿宋_GB2312" w:cs="Times New Roman"/>
          <w:sz w:val="32"/>
          <w:szCs w:val="32"/>
        </w:rPr>
      </w:pPr>
      <w:r>
        <w:rPr>
          <w:rFonts w:hint="eastAsia" w:ascii="Times New Roman" w:hAnsi="Times New Roman" w:eastAsia="宋体"/>
        </w:rPr>
        <w:drawing>
          <wp:anchor distT="0" distB="0" distL="114300" distR="114300" simplePos="0" relativeHeight="251662336" behindDoc="0" locked="0" layoutInCell="1" allowOverlap="1">
            <wp:simplePos x="0" y="0"/>
            <wp:positionH relativeFrom="column">
              <wp:posOffset>65405</wp:posOffset>
            </wp:positionH>
            <wp:positionV relativeFrom="paragraph">
              <wp:posOffset>111125</wp:posOffset>
            </wp:positionV>
            <wp:extent cx="5256530" cy="2988310"/>
            <wp:effectExtent l="5080" t="4445" r="889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本单位2025年度本年收入合计3,143.66万元，其中：财政拨款收入3,143.66万元，占100.0%；上级补助收入0.00万元，占0.0%；事业收入0.00万元，占0.0%；经营收入0.00万元，占0.0%；附</w:t>
      </w:r>
      <w:r>
        <w:rPr>
          <w:rFonts w:ascii="Times New Roman" w:hAnsi="Times New Roman" w:eastAsia="仿宋_GB2312"/>
          <w:kern w:val="2"/>
          <w:sz w:val="32"/>
          <w:szCs w:val="32"/>
          <w:highlight w:val="yellow"/>
          <w:lang w:val="zh-CN"/>
        </w:rPr>
        <w:drawing>
          <wp:anchor distT="0" distB="0" distL="114300" distR="114300" simplePos="0" relativeHeight="251663360" behindDoc="0" locked="0" layoutInCell="1" allowOverlap="1">
            <wp:simplePos x="0" y="0"/>
            <wp:positionH relativeFrom="column">
              <wp:posOffset>271145</wp:posOffset>
            </wp:positionH>
            <wp:positionV relativeFrom="paragraph">
              <wp:posOffset>719455</wp:posOffset>
            </wp:positionV>
            <wp:extent cx="5256530" cy="2988310"/>
            <wp:effectExtent l="5080" t="4445" r="1524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Times New Roman"/>
          <w:sz w:val="32"/>
          <w:szCs w:val="32"/>
        </w:rPr>
        <w:t>属单位上缴收入0.00万元，占0.0%；其他收入0.00万元，占0.0%。</w:t>
      </w:r>
    </w:p>
    <w:p>
      <w:pPr>
        <w:adjustRightInd w:val="0"/>
        <w:snapToGrid w:val="0"/>
        <w:spacing w:line="580" w:lineRule="exact"/>
        <w:ind w:firstLine="640" w:firstLineChars="200"/>
        <w:rPr>
          <w:rFonts w:hint="eastAsia" w:ascii="Times New Roman" w:hAnsi="Times New Roman" w:eastAsia="仿宋_GB2312" w:cs="Times New Roman"/>
          <w:sz w:val="32"/>
          <w:szCs w:val="32"/>
        </w:rPr>
      </w:pPr>
    </w:p>
    <w:p>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pPr>
        <w:autoSpaceDE w:val="0"/>
        <w:autoSpaceDN w:val="0"/>
        <w:adjustRightInd w:val="0"/>
        <w:spacing w:line="58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本单位2025年度本年支出合计3,148.95万元，其中：基本支出912.74万元，占29.0%；项目支出2,236.21万元，占71.0%；经营支出0.00万元，占0.0%；上缴上级支出0.00万元，占0.0%；对附属单位补助支出0.00万元，占0.0%。</w:t>
      </w:r>
    </w:p>
    <w:p>
      <w:pPr>
        <w:autoSpaceDE w:val="0"/>
        <w:autoSpaceDN w:val="0"/>
        <w:adjustRightInd w:val="0"/>
        <w:spacing w:line="580" w:lineRule="exact"/>
        <w:ind w:firstLine="640" w:firstLineChars="20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highlight w:val="none"/>
        </w:rPr>
        <w:drawing>
          <wp:anchor distT="0" distB="0" distL="114300" distR="114300" simplePos="0" relativeHeight="251664384" behindDoc="0" locked="0" layoutInCell="1" allowOverlap="1">
            <wp:simplePos x="0" y="0"/>
            <wp:positionH relativeFrom="column">
              <wp:posOffset>411480</wp:posOffset>
            </wp:positionH>
            <wp:positionV relativeFrom="paragraph">
              <wp:posOffset>-2710815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hint="eastAsia" w:ascii="Times New Roman" w:hAnsi="Times New Roman" w:eastAsia="仿宋_GB2312" w:cs="Times New Roman"/>
          <w:sz w:val="32"/>
          <w:szCs w:val="32"/>
        </w:rPr>
        <w:t>本单位2025年度财政拨款收、支总计（含结转和结余）均为3,143.66万元。与2024年度相比，财政拨款收支各减少119.10万元，降低3.7%，主要原因是。</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是机关事业单位养老保险制度改革补助经费，城乡居民养老保险财政补助资金等由财政代列收入，造成今年与去年相比大幅下降</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本单位2025年度财政拨款本年收入3,143.66万元,比上年减少119.10万元，降低3.7%，主要原因是</w:t>
      </w:r>
      <w:r>
        <w:rPr>
          <w:rFonts w:hint="default" w:ascii="Times New Roman" w:hAnsi="Times New Roman" w:eastAsia="仿宋_GB2312" w:cs="Times New Roman"/>
          <w:color w:val="auto"/>
          <w:kern w:val="2"/>
          <w:sz w:val="32"/>
          <w:szCs w:val="32"/>
          <w:lang w:val="zh-CN" w:eastAsia="zh-CN" w:bidi="ar-SA"/>
        </w:rPr>
        <w:t>机关事业单位养老保险制度改革补助经费</w:t>
      </w:r>
      <w:r>
        <w:rPr>
          <w:rFonts w:hint="eastAsia" w:ascii="Times New Roman" w:hAnsi="Times New Roman" w:eastAsia="仿宋_GB2312" w:cs="Times New Roman"/>
          <w:color w:val="auto"/>
          <w:kern w:val="2"/>
          <w:sz w:val="32"/>
          <w:szCs w:val="32"/>
          <w:lang w:val="zh-CN" w:eastAsia="zh-CN" w:bidi="ar-SA"/>
        </w:rPr>
        <w:t>，城乡居民养老保险财政补助资金等由财政代列收入</w:t>
      </w:r>
      <w:r>
        <w:rPr>
          <w:rFonts w:ascii="Times New Roman" w:hAnsi="Times New Roman" w:eastAsia="仿宋_GB2312" w:cs="Times New Roman"/>
          <w:sz w:val="32"/>
          <w:szCs w:val="32"/>
        </w:rPr>
        <w:t>。具体情况如下</w:t>
      </w:r>
      <w:r>
        <w:rPr>
          <w:rFonts w:hint="eastAsia" w:ascii="Times New Roman" w:hAnsi="Times New Roman" w:eastAsia="仿宋_GB2312" w:cs="Times New Roman"/>
          <w:sz w:val="32"/>
          <w:szCs w:val="32"/>
        </w:rPr>
        <w:t>；本年支出3,143.66万元，比上年减少119.10万元，降低3.7%，主要原因是</w:t>
      </w:r>
      <w:r>
        <w:rPr>
          <w:rFonts w:hint="default" w:ascii="Times New Roman" w:hAnsi="Times New Roman" w:eastAsia="仿宋_GB2312" w:cs="Times New Roman"/>
          <w:color w:val="auto"/>
          <w:kern w:val="2"/>
          <w:sz w:val="32"/>
          <w:szCs w:val="32"/>
          <w:lang w:val="zh-CN" w:eastAsia="zh-CN" w:bidi="ar-SA"/>
        </w:rPr>
        <w:t>机关事业单位养老保险制度改革补助经费</w:t>
      </w:r>
      <w:r>
        <w:rPr>
          <w:rFonts w:hint="eastAsia" w:ascii="Times New Roman" w:hAnsi="Times New Roman" w:eastAsia="仿宋_GB2312" w:cs="Times New Roman"/>
          <w:color w:val="auto"/>
          <w:kern w:val="2"/>
          <w:sz w:val="32"/>
          <w:szCs w:val="32"/>
          <w:lang w:val="zh-CN" w:eastAsia="zh-CN" w:bidi="ar-SA"/>
        </w:rPr>
        <w:t>，城乡居民养老保险财政补助资金等由财政代列收入</w:t>
      </w:r>
      <w:r>
        <w:rPr>
          <w:rFonts w:ascii="Times New Roman" w:hAnsi="Times New Roman" w:eastAsia="仿宋_GB2312" w:cs="Times New Roman"/>
          <w:sz w:val="32"/>
          <w:szCs w:val="32"/>
        </w:rPr>
        <w:t>。具体情况如下</w:t>
      </w:r>
      <w:r>
        <w:rPr>
          <w:rFonts w:hint="eastAsia" w:ascii="Times New Roman" w:hAnsi="Times New Roman" w:eastAsia="仿宋_GB2312" w:cs="Times New Roman"/>
          <w:sz w:val="32"/>
          <w:szCs w:val="32"/>
        </w:rPr>
        <w:t>。具体情况如下：</w:t>
      </w:r>
    </w:p>
    <w:p>
      <w:pPr>
        <w:numPr>
          <w:ilvl w:val="0"/>
          <w:numId w:val="1"/>
        </w:num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一般公共预算财政拨款本年收入3,111.81万元,比上年减少93.45万元，降低2.9%，主要原因是</w:t>
      </w:r>
      <w:r>
        <w:rPr>
          <w:rFonts w:hint="eastAsia" w:ascii="Times New Roman" w:hAnsi="Times New Roman" w:eastAsia="仿宋_GB2312" w:cs="Times New Roman"/>
          <w:sz w:val="32"/>
          <w:szCs w:val="32"/>
          <w:lang w:eastAsia="zh-CN"/>
        </w:rPr>
        <w:t>机</w:t>
      </w:r>
      <w:r>
        <w:rPr>
          <w:rFonts w:hint="default" w:ascii="Times New Roman" w:hAnsi="Times New Roman" w:eastAsia="仿宋_GB2312" w:cs="Times New Roman"/>
          <w:color w:val="auto"/>
          <w:kern w:val="2"/>
          <w:sz w:val="32"/>
          <w:szCs w:val="32"/>
          <w:lang w:val="zh-CN" w:eastAsia="zh-CN" w:bidi="ar-SA"/>
        </w:rPr>
        <w:t>关事业单位养老保险制度改革补助经费</w:t>
      </w:r>
      <w:r>
        <w:rPr>
          <w:rFonts w:hint="eastAsia" w:ascii="Times New Roman" w:hAnsi="Times New Roman" w:eastAsia="仿宋_GB2312" w:cs="Times New Roman"/>
          <w:color w:val="auto"/>
          <w:kern w:val="2"/>
          <w:sz w:val="32"/>
          <w:szCs w:val="32"/>
          <w:lang w:val="zh-CN" w:eastAsia="zh-CN" w:bidi="ar-SA"/>
        </w:rPr>
        <w:t>，城乡居民养老保险财政补助资金等由财政代列支出</w:t>
      </w:r>
      <w:r>
        <w:rPr>
          <w:rFonts w:hint="eastAsia" w:ascii="Times New Roman" w:hAnsi="Times New Roman" w:eastAsia="仿宋_GB2312" w:cs="Times New Roman"/>
          <w:sz w:val="32"/>
          <w:szCs w:val="32"/>
        </w:rPr>
        <w:t>；本年支出3,111.81万元，比上年减少93.45万元，降低2.9%，主要原因是</w:t>
      </w:r>
      <w:r>
        <w:rPr>
          <w:rFonts w:hint="eastAsia" w:ascii="Times New Roman" w:hAnsi="Times New Roman" w:eastAsia="仿宋_GB2312" w:cs="Times New Roman"/>
          <w:sz w:val="32"/>
          <w:szCs w:val="32"/>
          <w:lang w:eastAsia="zh-CN"/>
        </w:rPr>
        <w:t>机</w:t>
      </w:r>
      <w:r>
        <w:rPr>
          <w:rFonts w:hint="default" w:ascii="Times New Roman" w:hAnsi="Times New Roman" w:eastAsia="仿宋_GB2312" w:cs="Times New Roman"/>
          <w:color w:val="auto"/>
          <w:kern w:val="2"/>
          <w:sz w:val="32"/>
          <w:szCs w:val="32"/>
          <w:lang w:val="zh-CN" w:eastAsia="zh-CN" w:bidi="ar-SA"/>
        </w:rPr>
        <w:t>关事业单位养老保险制度改革补助经费</w:t>
      </w:r>
      <w:r>
        <w:rPr>
          <w:rFonts w:hint="eastAsia" w:ascii="Times New Roman" w:hAnsi="Times New Roman" w:eastAsia="仿宋_GB2312" w:cs="Times New Roman"/>
          <w:color w:val="auto"/>
          <w:kern w:val="2"/>
          <w:sz w:val="32"/>
          <w:szCs w:val="32"/>
          <w:lang w:val="zh-CN" w:eastAsia="zh-CN" w:bidi="ar-SA"/>
        </w:rPr>
        <w:t>，城乡居民养老保险财政补助资金等由财政代列支出</w:t>
      </w:r>
      <w:r>
        <w:rPr>
          <w:rFonts w:hint="eastAsia" w:ascii="Times New Roman" w:hAnsi="Times New Roman" w:eastAsia="仿宋_GB2312" w:cs="Times New Roman"/>
          <w:sz w:val="32"/>
          <w:szCs w:val="32"/>
        </w:rPr>
        <w:t>。</w:t>
      </w:r>
    </w:p>
    <w:p>
      <w:pPr>
        <w:numPr>
          <w:ilvl w:val="0"/>
          <w:numId w:val="1"/>
        </w:num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政府性基金预算财政拨款本年收入0万元，比上年</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cs="Times New Roman"/>
          <w:sz w:val="32"/>
          <w:szCs w:val="32"/>
        </w:rPr>
        <w:t>，本年支出0万元，比上年</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国有资本经营预算财政拨款本年收入31.85万元，比上年减少25.65万元，降低44.6%，主要原因是；本年支出31.85万元，比上年减少25.65万元，降低44.6%，主要原因是202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年组织活动较少</w:t>
      </w:r>
      <w:r>
        <w:rPr>
          <w:rFonts w:ascii="Times New Roman" w:hAnsi="Times New Roman" w:eastAsia="仿宋_GB2312" w:cs="Times New Roman"/>
          <w:sz w:val="32"/>
          <w:szCs w:val="32"/>
        </w:rPr>
        <w:t>。</w:t>
      </w:r>
    </w:p>
    <w:p>
      <w:pPr>
        <w:snapToGrid w:val="0"/>
        <w:spacing w:line="58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sz w:val="32"/>
          <w:szCs w:val="32"/>
        </w:rPr>
        <w:drawing>
          <wp:anchor distT="0" distB="0" distL="114300" distR="114300" simplePos="0" relativeHeight="251665408" behindDoc="0" locked="0" layoutInCell="1" allowOverlap="1">
            <wp:simplePos x="0" y="0"/>
            <wp:positionH relativeFrom="column">
              <wp:posOffset>394970</wp:posOffset>
            </wp:positionH>
            <wp:positionV relativeFrom="paragraph">
              <wp:posOffset>133985</wp:posOffset>
            </wp:positionV>
            <wp:extent cx="5256530" cy="3189605"/>
            <wp:effectExtent l="4445" t="4445" r="15875" b="6350"/>
            <wp:wrapTopAndBottom/>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ascii="Times New Roman" w:hAnsi="Times New Roman" w:eastAsia="楷体_GB2312" w:cs="Times New Roman"/>
          <w:b/>
          <w:bCs/>
          <w:sz w:val="32"/>
          <w:szCs w:val="32"/>
        </w:rPr>
        <w:t>（二）财政拨款收支与年初预算数对比情况</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本单位2025年度财政拨款本年收入3,143.66万元，完成年初预算的99.4%，比年初预算减少20.11万元，决算数小于预算数主要原因是退休中人年金虚账记实资金202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实际支出较少</w:t>
      </w:r>
      <w:r>
        <w:rPr>
          <w:rFonts w:hint="eastAsia" w:ascii="Times New Roman" w:hAnsi="Times New Roman" w:eastAsia="仿宋_GB2312" w:cs="Times New Roman"/>
          <w:sz w:val="32"/>
          <w:szCs w:val="32"/>
        </w:rPr>
        <w:t>；本年支出3,143.66万元，完成年初预算的99.4%，比年初预算减少20.11万元，决算数小于预算数主要原因是退休中人年金虚账记实资金202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实际支出较少</w:t>
      </w:r>
      <w:r>
        <w:rPr>
          <w:rFonts w:hint="eastAsia" w:ascii="Times New Roman" w:hAnsi="Times New Roman" w:eastAsia="仿宋_GB2312" w:cs="Times New Roman"/>
          <w:sz w:val="32"/>
          <w:szCs w:val="32"/>
        </w:rPr>
        <w:t>。具体情况如下：</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一般公共预算财政拨款本年收入完成年初预算的99.6%，比年初预算减少11.00万元，主要原因是退休中人年金虚账记实资金202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年度实际支出少；支出完成年初预算的99.6%，比年初预算减少11.00万元，主要原因是退休中人年金虚账记实资金202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实际支出少</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政府性基金预算财政拨款本年收入完成年初预算0%，比年初预算持平；支出完成年初预算0%，比年初预算持平。</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国有资本经营预算财政拨款本年收入完成年初预算的77.8%，比年初预算减少9.11万元，主要原因是</w:t>
      </w:r>
      <w:r>
        <w:rPr>
          <w:rFonts w:hint="eastAsia" w:ascii="Times New Roman" w:hAnsi="Times New Roman" w:eastAsia="仿宋_GB2312" w:cs="Times New Roman"/>
          <w:sz w:val="32"/>
          <w:szCs w:val="32"/>
          <w:lang w:eastAsia="zh-CN"/>
        </w:rPr>
        <w:t>部分资金尚未支出</w:t>
      </w:r>
      <w:r>
        <w:rPr>
          <w:rFonts w:hint="eastAsia" w:ascii="Times New Roman" w:hAnsi="Times New Roman" w:eastAsia="仿宋_GB2312" w:cs="Times New Roman"/>
          <w:sz w:val="32"/>
          <w:szCs w:val="32"/>
        </w:rPr>
        <w:t>；支出完成年初预算的77.8%，比年初预算减少9.11万元，主要原因是</w:t>
      </w:r>
      <w:r>
        <w:rPr>
          <w:rFonts w:hint="eastAsia" w:ascii="Times New Roman" w:hAnsi="Times New Roman" w:eastAsia="仿宋_GB2312" w:cs="Times New Roman"/>
          <w:sz w:val="32"/>
          <w:szCs w:val="32"/>
          <w:lang w:eastAsia="zh-CN"/>
        </w:rPr>
        <w:t>部分资金尚未支出</w:t>
      </w:r>
      <w:r>
        <w:rPr>
          <w:rFonts w:hint="eastAsia" w:ascii="Times New Roman" w:hAnsi="Times New Roman" w:eastAsia="仿宋_GB2312" w:cs="Times New Roman"/>
          <w:sz w:val="32"/>
          <w:szCs w:val="32"/>
        </w:rPr>
        <w:t>。</w:t>
      </w:r>
    </w:p>
    <w:p>
      <w:pPr>
        <w:adjustRightInd w:val="0"/>
        <w:snapToGrid w:val="0"/>
        <w:spacing w:line="580" w:lineRule="exact"/>
        <w:ind w:left="420"/>
        <w:rPr>
          <w:rFonts w:ascii="Times New Roman" w:hAnsi="Times New Roman" w:eastAsia="楷体_GB2312" w:cs="Times New Roman"/>
          <w:b/>
          <w:bCs/>
          <w:sz w:val="32"/>
          <w:szCs w:val="32"/>
        </w:rPr>
      </w:pPr>
      <w:r>
        <w:rPr>
          <w:rFonts w:ascii="Times New Roman" w:hAnsi="Times New Roman" w:eastAsia="仿宋_GB2312"/>
          <w:sz w:val="32"/>
          <w:szCs w:val="32"/>
          <w:highlight w:val="none"/>
        </w:rPr>
        <w:drawing>
          <wp:anchor distT="0" distB="0" distL="114300" distR="114300" simplePos="0" relativeHeight="251666432" behindDoc="0" locked="0" layoutInCell="1" allowOverlap="1">
            <wp:simplePos x="0" y="0"/>
            <wp:positionH relativeFrom="column">
              <wp:posOffset>393700</wp:posOffset>
            </wp:positionH>
            <wp:positionV relativeFrom="paragraph">
              <wp:posOffset>194945</wp:posOffset>
            </wp:positionV>
            <wp:extent cx="5256530" cy="2988310"/>
            <wp:effectExtent l="5080" t="4445" r="15240" b="17145"/>
            <wp:wrapTopAndBottom/>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pPr>
        <w:adjustRightInd w:val="0"/>
        <w:snapToGrid w:val="0"/>
        <w:spacing w:line="580" w:lineRule="exact"/>
        <w:ind w:firstLine="640" w:firstLineChars="200"/>
        <w:rPr>
          <w:rFonts w:hint="eastAsia" w:ascii="Times New Roman" w:eastAsia="仿宋_GB2312"/>
          <w:b w:val="0"/>
          <w:sz w:val="32"/>
          <w:szCs w:val="32"/>
          <w:lang w:eastAsia="zh-CN"/>
        </w:rPr>
      </w:pPr>
      <w:r>
        <w:rPr>
          <w:rFonts w:ascii="Times New Roman" w:hAnsi="Times New Roman" w:eastAsia="仿宋_GB2312" w:cs="Times New Roman"/>
          <w:sz w:val="32"/>
          <w:szCs w:val="32"/>
        </w:rPr>
        <w:t>2025年度财政拨款支出</w:t>
      </w:r>
      <w:r>
        <w:rPr>
          <w:rFonts w:ascii="Times New Roman" w:eastAsia="仿宋_GB2312"/>
          <w:b w:val="0"/>
          <w:sz w:val="32"/>
          <w:szCs w:val="32"/>
        </w:rPr>
        <w:t>3,143.66万元，主要用于以下方面</w:t>
      </w:r>
      <w:r>
        <w:rPr>
          <w:rFonts w:hint="eastAsia" w:ascii="Times New Roman" w:eastAsia="仿宋_GB2312"/>
          <w:b w:val="0"/>
          <w:sz w:val="32"/>
          <w:szCs w:val="32"/>
          <w:lang w:eastAsia="zh-CN"/>
        </w:rPr>
        <w:t>：</w:t>
      </w:r>
    </w:p>
    <w:p>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社会保障和就业（类）支出3,019.56万元，占</w:t>
      </w:r>
      <w:r>
        <w:rPr>
          <w:rFonts w:hint="eastAsia" w:ascii="Times New Roman" w:hAnsi="Times New Roman" w:eastAsia="仿宋_GB2312" w:cs="Times New Roman"/>
          <w:sz w:val="32"/>
          <w:szCs w:val="32"/>
          <w:lang w:val="en-US" w:eastAsia="zh-CN"/>
        </w:rPr>
        <w:t>96.1</w:t>
      </w:r>
      <w:r>
        <w:rPr>
          <w:rFonts w:hint="eastAsia" w:ascii="Times New Roman" w:hAnsi="Times New Roman" w:eastAsia="仿宋_GB2312" w:cs="Times New Roman"/>
          <w:sz w:val="32"/>
          <w:szCs w:val="32"/>
        </w:rPr>
        <w:t>%；主要用于城乡居民养老、机关事业养老等养老保险支出。卫生健康（类）支出</w:t>
      </w:r>
      <w:r>
        <w:rPr>
          <w:rFonts w:ascii="Times New Roman" w:eastAsia="仿宋_GB2312"/>
          <w:b w:val="0"/>
          <w:sz w:val="32"/>
          <w:szCs w:val="32"/>
        </w:rPr>
        <w:t>34.84</w:t>
      </w:r>
      <w:r>
        <w:rPr>
          <w:rFonts w:hint="eastAsia" w:ascii="Times New Roman" w:hAnsi="Times New Roman" w:eastAsia="仿宋_GB2312" w:cs="Times New Roman"/>
          <w:sz w:val="32"/>
          <w:szCs w:val="32"/>
        </w:rPr>
        <w:t>万元，占1.</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%；主要用于单位职工医保缴纳等支出。住房保障（类）支出57.41万元，占1.</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%；用于单位职工住房公积金缴纳。</w:t>
      </w:r>
    </w:p>
    <w:p>
      <w:pPr>
        <w:adjustRightInd w:val="0"/>
        <w:snapToGrid w:val="0"/>
        <w:spacing w:line="58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政府性基金预算财政拨款支出：</w:t>
      </w:r>
      <w:r>
        <w:rPr>
          <w:rFonts w:hint="eastAsia" w:ascii="Times New Roman" w:hAnsi="Times New Roman" w:eastAsia="仿宋_GB2312" w:cs="Times New Roman"/>
          <w:sz w:val="32"/>
          <w:szCs w:val="32"/>
          <w:lang w:eastAsia="zh-CN"/>
        </w:rPr>
        <w:t>无</w:t>
      </w:r>
    </w:p>
    <w:p>
      <w:pPr>
        <w:adjustRightInd w:val="0"/>
        <w:snapToGrid w:val="0"/>
        <w:spacing w:line="580" w:lineRule="exact"/>
        <w:ind w:firstLine="643" w:firstLineChars="200"/>
        <w:rPr>
          <w:rFonts w:ascii="Times New Roman" w:hAnsi="Times New Roman" w:eastAsia="仿宋_GB2312" w:cs="Times New Roman"/>
          <w:b/>
          <w:color w:val="FF0000"/>
          <w:sz w:val="32"/>
          <w:szCs w:val="32"/>
        </w:rPr>
      </w:pPr>
      <w:r>
        <w:rPr>
          <w:rFonts w:hint="eastAsia" w:ascii="Times New Roman" w:hAnsi="Times New Roman" w:eastAsia="仿宋_GB2312" w:cs="Times New Roman"/>
          <w:b/>
          <w:sz w:val="32"/>
          <w:szCs w:val="32"/>
        </w:rPr>
        <w:t>国有资本经营预算财政拨款支出：</w:t>
      </w:r>
      <w:r>
        <w:rPr>
          <w:rFonts w:hint="eastAsia" w:ascii="Times New Roman" w:hAnsi="Times New Roman" w:eastAsia="仿宋_GB2312" w:cs="Times New Roman"/>
          <w:sz w:val="32"/>
          <w:szCs w:val="32"/>
        </w:rPr>
        <w:t>国有资本经营预算支出</w:t>
      </w:r>
      <w:r>
        <w:rPr>
          <w:rFonts w:ascii="Times New Roman" w:eastAsia="仿宋_GB2312"/>
          <w:b w:val="0"/>
          <w:sz w:val="32"/>
          <w:szCs w:val="32"/>
        </w:rPr>
        <w:t>31.85</w:t>
      </w:r>
      <w:r>
        <w:rPr>
          <w:rFonts w:hint="eastAsia" w:ascii="Times New Roman" w:hAnsi="Times New Roman" w:eastAsia="仿宋_GB2312" w:cs="Times New Roman"/>
          <w:sz w:val="32"/>
          <w:szCs w:val="32"/>
        </w:rPr>
        <w:t>万元，占1%；主要用于企业退休人员社会化管理等支出。</w:t>
      </w:r>
    </w:p>
    <w:p>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640" w:firstLineChars="200"/>
        <w:jc w:val="both"/>
        <w:outlineLvl w:val="2"/>
        <w:rPr>
          <w:rFonts w:hint="default" w:ascii="Times New Roman" w:hAnsi="Times New Roman" w:eastAsia="仿宋_GB2312" w:cs="Times New Roman"/>
          <w:color w:val="auto"/>
          <w:kern w:val="2"/>
          <w:sz w:val="32"/>
          <w:szCs w:val="32"/>
          <w:lang w:val="zh-CN" w:eastAsia="zh-CN" w:bidi="ar-SA"/>
        </w:rPr>
      </w:pPr>
      <w:r>
        <w:rPr>
          <w:rFonts w:hint="default" w:ascii="Times New Roman" w:hAnsi="Times New Roman" w:eastAsia="仿宋_GB2312" w:cs="Times New Roman"/>
          <w:color w:val="auto"/>
          <w:kern w:val="2"/>
          <w:sz w:val="32"/>
          <w:szCs w:val="32"/>
          <w:lang w:val="zh-CN" w:eastAsia="zh-CN" w:bidi="ar-SA"/>
        </w:rPr>
        <w:t>202</w:t>
      </w:r>
      <w:r>
        <w:rPr>
          <w:rFonts w:hint="eastAsia"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zh-CN" w:eastAsia="zh-CN" w:bidi="ar-SA"/>
        </w:rPr>
        <w:t>年度财政拨款基本支出</w:t>
      </w:r>
      <w:r>
        <w:rPr>
          <w:rFonts w:ascii="Times New Roman" w:eastAsia="仿宋_GB2312"/>
          <w:b w:val="0"/>
          <w:sz w:val="32"/>
          <w:szCs w:val="32"/>
        </w:rPr>
        <w:t>912.74</w:t>
      </w:r>
      <w:r>
        <w:rPr>
          <w:rFonts w:hint="default" w:ascii="Times New Roman" w:hAnsi="Times New Roman" w:eastAsia="仿宋_GB2312" w:cs="Times New Roman"/>
          <w:color w:val="auto"/>
          <w:kern w:val="2"/>
          <w:sz w:val="32"/>
          <w:szCs w:val="32"/>
          <w:lang w:val="zh-CN" w:eastAsia="zh-CN" w:bidi="ar-SA"/>
        </w:rPr>
        <w:t>万元，其中：</w:t>
      </w:r>
    </w:p>
    <w:p>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lang w:val="zh-CN" w:eastAsia="zh-CN" w:bidi="ar-SA"/>
        </w:rPr>
        <w:t>人员经费</w:t>
      </w:r>
      <w:r>
        <w:rPr>
          <w:rFonts w:ascii="Times New Roman" w:eastAsia="仿宋_GB2312"/>
          <w:b w:val="0"/>
          <w:sz w:val="32"/>
          <w:szCs w:val="32"/>
        </w:rPr>
        <w:t>882.75</w:t>
      </w:r>
      <w:r>
        <w:rPr>
          <w:rFonts w:hint="default" w:ascii="Times New Roman" w:hAnsi="Times New Roman" w:eastAsia="仿宋_GB2312" w:cs="Times New Roman"/>
          <w:color w:val="auto"/>
          <w:kern w:val="2"/>
          <w:sz w:val="32"/>
          <w:szCs w:val="32"/>
          <w:lang w:val="zh-CN" w:eastAsia="zh-CN" w:bidi="ar-SA"/>
        </w:rPr>
        <w:t>万元，主要包括</w:t>
      </w:r>
      <w:r>
        <w:rPr>
          <w:rFonts w:hint="eastAsia" w:ascii="仿宋_GB2312" w:hAnsi="Times New Roman" w:eastAsia="仿宋_GB2312" w:cs="DengXian-Regular"/>
          <w:sz w:val="32"/>
          <w:szCs w:val="32"/>
        </w:rPr>
        <w:t>基本工资、津贴补贴、奖金、绩效工资、机关事业单位基本养老保险缴费、职业年金缴费、职工基本医疗保险缴费、公务员医疗补助缴费、住房公积金、医疗费、其他社会保障缴费、其他工资福利支出</w:t>
      </w:r>
      <w:r>
        <w:rPr>
          <w:rFonts w:hint="eastAsia" w:ascii="仿宋_GB2312" w:hAnsi="Times New Roman" w:eastAsia="仿宋_GB2312" w:cs="DengXian-Regular"/>
          <w:sz w:val="32"/>
          <w:szCs w:val="32"/>
          <w:lang w:eastAsia="zh-CN"/>
        </w:rPr>
        <w:t>、奖励金。</w:t>
      </w:r>
    </w:p>
    <w:p>
      <w:pPr>
        <w:adjustRightInd w:val="0"/>
        <w:snapToGrid w:val="0"/>
        <w:spacing w:line="580" w:lineRule="exact"/>
        <w:ind w:firstLine="660" w:firstLineChars="200"/>
        <w:rPr>
          <w:rFonts w:ascii="Times New Roman" w:hAnsi="Times New Roman" w:eastAsia="仿宋_GB2312" w:cs="Times New Roman"/>
          <w:sz w:val="32"/>
          <w:szCs w:val="32"/>
        </w:rPr>
      </w:pPr>
      <w:r>
        <w:rPr>
          <w:rFonts w:hint="default" w:ascii="Times New Roman" w:hAnsi="Times New Roman" w:eastAsia="仿宋_GB2312" w:cs="Times New Roman"/>
          <w:i w:val="0"/>
          <w:iCs w:val="0"/>
          <w:caps w:val="0"/>
          <w:color w:val="333333"/>
          <w:spacing w:val="0"/>
          <w:sz w:val="33"/>
          <w:szCs w:val="33"/>
          <w:highlight w:val="none"/>
          <w:shd w:val="clear" w:fill="FFFFFF"/>
        </w:rPr>
        <w:t> </w:t>
      </w:r>
      <w:r>
        <w:rPr>
          <w:rFonts w:hint="default" w:ascii="Times New Roman" w:hAnsi="Times New Roman" w:eastAsia="仿宋_GB2312" w:cs="Times New Roman"/>
          <w:color w:val="auto"/>
          <w:kern w:val="2"/>
          <w:sz w:val="32"/>
          <w:szCs w:val="32"/>
          <w:lang w:val="zh-CN" w:eastAsia="zh-CN" w:bidi="ar-SA"/>
        </w:rPr>
        <w:t>公用经费</w:t>
      </w:r>
      <w:r>
        <w:rPr>
          <w:rFonts w:ascii="Times New Roman" w:eastAsia="仿宋_GB2312"/>
          <w:b w:val="0"/>
          <w:sz w:val="32"/>
          <w:szCs w:val="32"/>
        </w:rPr>
        <w:t>29.99</w:t>
      </w:r>
      <w:r>
        <w:rPr>
          <w:rFonts w:hint="default" w:ascii="Times New Roman" w:hAnsi="Times New Roman" w:eastAsia="仿宋_GB2312" w:cs="Times New Roman"/>
          <w:color w:val="auto"/>
          <w:kern w:val="2"/>
          <w:sz w:val="32"/>
          <w:szCs w:val="32"/>
          <w:lang w:val="zh-CN" w:eastAsia="zh-CN" w:bidi="ar-SA"/>
        </w:rPr>
        <w:t>万元，</w:t>
      </w:r>
      <w:r>
        <w:rPr>
          <w:rFonts w:hint="eastAsia" w:ascii="仿宋_GB2312" w:hAnsi="Times New Roman" w:eastAsia="仿宋_GB2312" w:cs="DengXian-Regular"/>
          <w:sz w:val="32"/>
          <w:szCs w:val="32"/>
        </w:rPr>
        <w:t>主要包括办公费、</w:t>
      </w:r>
      <w:r>
        <w:rPr>
          <w:rFonts w:hint="eastAsia" w:ascii="仿宋_GB2312" w:hAnsi="Times New Roman" w:eastAsia="仿宋_GB2312" w:cs="DengXian-Regular"/>
          <w:sz w:val="32"/>
          <w:szCs w:val="32"/>
          <w:lang w:eastAsia="zh-CN"/>
        </w:rPr>
        <w:t>印刷费，</w:t>
      </w:r>
      <w:r>
        <w:rPr>
          <w:rFonts w:hint="eastAsia" w:ascii="仿宋_GB2312" w:hAnsi="Times New Roman" w:eastAsia="仿宋_GB2312" w:cs="DengXian-Regular"/>
          <w:sz w:val="32"/>
          <w:szCs w:val="32"/>
        </w:rPr>
        <w:t>邮电费、差旅费、工会经费、福利费、公务用车运行维护费、其他交通费用</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年度“三公”经费财政拨款支出预算为1.14万元，支出决算为1.12万元，完成预算的98.25%，较预算减少0.02万元，降低1.75%，主要原因是</w:t>
      </w:r>
      <w:r>
        <w:rPr>
          <w:rFonts w:hint="eastAsia" w:ascii="Times New Roman" w:hAnsi="Times New Roman" w:eastAsia="仿宋_GB2312" w:cs="Times New Roman"/>
          <w:sz w:val="32"/>
          <w:szCs w:val="32"/>
          <w:lang w:eastAsia="zh-CN"/>
        </w:rPr>
        <w:t>公</w:t>
      </w:r>
      <w:r>
        <w:rPr>
          <w:rFonts w:hint="eastAsia" w:ascii="Times New Roman" w:hAnsi="Times New Roman" w:eastAsia="仿宋_GB2312" w:cs="Times New Roman"/>
          <w:sz w:val="32"/>
          <w:szCs w:val="32"/>
        </w:rPr>
        <w:t>务用车减少；较202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年度决算持平。</w:t>
      </w:r>
    </w:p>
    <w:p>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pPr>
        <w:adjustRightInd w:val="0"/>
        <w:snapToGrid w:val="0"/>
        <w:spacing w:line="580" w:lineRule="exact"/>
        <w:ind w:firstLine="643" w:firstLineChars="200"/>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1.因公出国（境）费支出情况。</w:t>
      </w: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因公出国（境）费支出预算为0万元，支出决算0万元，完成预算的0%。因公出国（境）费支出较预算持平；较上年持平。其中因公出国（境）团组0个、共0人、参加其他单位组织的因公出国（境）团组0个、无本部门组织的出国（境）团组。未发生此类支出。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年度决算无增减变化，与上年持平</w:t>
      </w:r>
      <w:r>
        <w:rPr>
          <w:rFonts w:hint="eastAsia" w:ascii="Times New Roman" w:hAnsi="Times New Roman" w:eastAsia="仿宋_GB2312" w:cs="Times New Roman"/>
          <w:sz w:val="32"/>
          <w:szCs w:val="32"/>
          <w:lang w:eastAsia="zh-CN"/>
        </w:rPr>
        <w:t>。</w:t>
      </w:r>
    </w:p>
    <w:p>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hint="eastAsia" w:ascii="Times New Roman" w:hAnsi="Times New Roman" w:eastAsia="仿宋_GB2312" w:cs="Times New Roman"/>
          <w:sz w:val="32"/>
          <w:szCs w:val="32"/>
        </w:rPr>
        <w:t>本单位2025年度公务用车购置及运行维护费预算为1.14万元，支出决算1.12万元，完成预算的98.2%,较预算减少0.02万元，降低1.8%,主要原因是；是公务用车减少；较202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年度决算持平较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其中：</w:t>
      </w:r>
    </w:p>
    <w:p>
      <w:pPr>
        <w:adjustRightInd w:val="0"/>
        <w:snapToGrid w:val="0"/>
        <w:spacing w:line="580" w:lineRule="exact"/>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sz w:val="32"/>
          <w:szCs w:val="32"/>
        </w:rPr>
        <w:t>公务用车购置费支出0万元：</w:t>
      </w: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年度公务用车购置量0辆，发生“公务用车购置”经费支出0万元。公务用车购置费支出较预算持平；未发生此类支出。较202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年度决算无增减变化，与上年持平。</w:t>
      </w:r>
    </w:p>
    <w:p>
      <w:pPr>
        <w:adjustRightInd w:val="0"/>
        <w:snapToGrid w:val="0"/>
        <w:spacing w:line="580" w:lineRule="exact"/>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sz w:val="32"/>
          <w:szCs w:val="32"/>
        </w:rPr>
        <w:t>公务用车运行维护费支出1.12万元：</w:t>
      </w: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年度单位财政开支公务用车保有量1辆。发生运行维护费支出1.12万元。公车运行维护费支出较预算减少0.02万元，降低1.8%，主要</w:t>
      </w:r>
      <w:r>
        <w:rPr>
          <w:rFonts w:hint="eastAsia" w:ascii="Times New Roman" w:hAnsi="Times New Roman" w:eastAsia="仿宋_GB2312" w:cs="Times New Roman"/>
          <w:sz w:val="32"/>
          <w:szCs w:val="32"/>
          <w:lang w:eastAsia="zh-CN"/>
        </w:rPr>
        <w:t>原因</w:t>
      </w:r>
      <w:r>
        <w:rPr>
          <w:rFonts w:hint="eastAsia" w:ascii="Times New Roman" w:hAnsi="Times New Roman" w:eastAsia="仿宋_GB2312" w:cs="Times New Roman"/>
          <w:sz w:val="32"/>
          <w:szCs w:val="32"/>
        </w:rPr>
        <w:t>是公务用车减少；较202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年度决算持平。</w:t>
      </w:r>
    </w:p>
    <w:p>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3.公务接待费支出情况</w:t>
      </w:r>
      <w:r>
        <w:rPr>
          <w:rFonts w:ascii="Times New Roman" w:hAnsi="Times New Roman" w:eastAsia="楷体_GB2312" w:cs="Times New Roman"/>
          <w:b/>
          <w:bCs/>
          <w:sz w:val="32"/>
          <w:szCs w:val="32"/>
        </w:rPr>
        <w:t>。</w:t>
      </w:r>
      <w:r>
        <w:rPr>
          <w:rFonts w:hint="eastAsia" w:ascii="Times New Roman" w:hAnsi="Times New Roman" w:eastAsia="仿宋_GB2312" w:cs="Times New Roman"/>
          <w:sz w:val="32"/>
          <w:szCs w:val="32"/>
        </w:rPr>
        <w:t>本单位202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年度公务接待费支出预算为0万元，支出决算0万元。本年度共发生公务接待0批次、0人次。未发生此类支出。较202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年度决算无增减变化，与上年持平。</w:t>
      </w:r>
    </w:p>
    <w:p>
      <w:pPr>
        <w:adjustRightInd w:val="0"/>
        <w:snapToGrid w:val="0"/>
        <w:spacing w:line="580" w:lineRule="exact"/>
        <w:ind w:left="420" w:leftChars="200" w:firstLine="320" w:firstLineChars="1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无</w:t>
      </w:r>
    </w:p>
    <w:p>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pPr>
        <w:snapToGrid w:val="0"/>
        <w:spacing w:line="58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2025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pPr>
        <w:widowControl/>
        <w:spacing w:after="160"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截至2025年12月31日，本单位共有车辆1辆，比上年</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cs="Times New Roman"/>
          <w:sz w:val="32"/>
          <w:szCs w:val="32"/>
        </w:rPr>
        <w:t>。其中，副部（省）级及以上领导用车0辆，主要负责人用车0辆，机要通信用车0辆，应急保障用车0辆，执法执勤用车0辆，特种专业技术用车0辆，离退休干部用车0辆，其他用车1辆，单位价值100万元（含）以上设备（不含车辆）0台（套）。</w:t>
      </w:r>
    </w:p>
    <w:p>
      <w:pPr>
        <w:widowControl/>
        <w:spacing w:after="160" w:line="580" w:lineRule="exact"/>
        <w:ind w:firstLine="640" w:firstLineChars="200"/>
        <w:rPr>
          <w:rFonts w:hint="eastAsia"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pPr>
        <w:widowControl/>
        <w:spacing w:after="160"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根据预算绩效管理要求，本部门组织对</w:t>
      </w:r>
      <w:r>
        <w:rPr>
          <w:rFonts w:ascii="Times New Roman" w:hAnsi="Times New Roman" w:eastAsia="仿宋_GB2312" w:cs="Times New Roman"/>
          <w:color w:val="000000"/>
          <w:kern w:val="0"/>
          <w:sz w:val="32"/>
          <w:szCs w:val="32"/>
          <w:lang w:val="zh-CN"/>
        </w:rPr>
        <w:t>2025</w:t>
      </w:r>
      <w:r>
        <w:rPr>
          <w:rFonts w:hint="eastAsia" w:ascii="仿宋_GB2312" w:eastAsia="仿宋_GB2312" w:cs="楷体"/>
          <w:color w:val="000000"/>
          <w:kern w:val="0"/>
          <w:sz w:val="32"/>
          <w:szCs w:val="32"/>
          <w:lang w:val="zh-CN"/>
        </w:rPr>
        <w:t>年度本级预算项目支出全面开展绩效自评，共涉及资金</w:t>
      </w:r>
      <w:r>
        <w:rPr>
          <w:rFonts w:hint="eastAsia" w:ascii="Times New Roman" w:hAnsi="Times New Roman" w:eastAsia="仿宋_GB2312" w:cs="Times New Roman"/>
          <w:sz w:val="32"/>
          <w:szCs w:val="32"/>
          <w:lang w:val="en-US" w:eastAsia="zh-CN"/>
        </w:rPr>
        <w:t>2230.92</w:t>
      </w:r>
      <w:r>
        <w:rPr>
          <w:rFonts w:hint="eastAsia" w:ascii="仿宋_GB2312" w:eastAsia="仿宋_GB2312" w:cs="楷体"/>
          <w:color w:val="000000"/>
          <w:kern w:val="0"/>
          <w:sz w:val="32"/>
          <w:szCs w:val="32"/>
          <w:lang w:val="zh-CN"/>
        </w:rPr>
        <w:t>万元（决算金额）。其中，一般公共预算财政拨款项目</w:t>
      </w:r>
      <w:r>
        <w:rPr>
          <w:rFonts w:hint="eastAsia" w:ascii="Times New Roman" w:hAnsi="Times New Roman" w:eastAsia="仿宋_GB2312" w:cs="Times New Roman"/>
          <w:sz w:val="32"/>
          <w:szCs w:val="32"/>
          <w:lang w:val="en-US" w:eastAsia="zh-CN"/>
        </w:rPr>
        <w:t>6</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2199.07</w:t>
      </w:r>
      <w:r>
        <w:rPr>
          <w:rFonts w:hint="eastAsia" w:ascii="仿宋_GB2312" w:eastAsia="仿宋_GB2312" w:cs="楷体"/>
          <w:color w:val="000000"/>
          <w:kern w:val="0"/>
          <w:sz w:val="32"/>
          <w:szCs w:val="32"/>
          <w:lang w:val="zh-CN"/>
        </w:rPr>
        <w:t>万元，占一般公共预算财政拨款项目支出总额的100%；政府性基金预算财政拨款项目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万元；国有资本经营预算财政拨款项目</w:t>
      </w:r>
      <w:r>
        <w:rPr>
          <w:rFonts w:hint="eastAsia" w:ascii="Times New Roman" w:hAnsi="Times New Roman" w:eastAsia="仿宋_GB2312" w:cs="Times New Roman"/>
          <w:sz w:val="32"/>
          <w:szCs w:val="32"/>
          <w:lang w:val="en-US" w:eastAsia="zh-CN"/>
        </w:rPr>
        <w:t>3</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31.85</w:t>
      </w:r>
      <w:r>
        <w:rPr>
          <w:rFonts w:hint="eastAsia" w:ascii="仿宋_GB2312" w:eastAsia="仿宋_GB2312" w:cs="楷体"/>
          <w:color w:val="000000"/>
          <w:kern w:val="0"/>
          <w:sz w:val="32"/>
          <w:szCs w:val="32"/>
          <w:lang w:val="zh-CN"/>
        </w:rPr>
        <w:t>万元，占国有资本经营预算项目支出总额的100%。</w:t>
      </w:r>
    </w:p>
    <w:p>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本单位在今年单位决算公开中反映2025年企业退休人员遗属补助县级资金</w:t>
      </w:r>
      <w:r>
        <w:rPr>
          <w:rFonts w:hint="eastAsia" w:ascii="Times New Roman" w:hAnsi="Times New Roman" w:eastAsia="仿宋_GB2312" w:cs="Times New Roman"/>
          <w:sz w:val="32"/>
          <w:szCs w:val="32"/>
          <w:lang w:eastAsia="zh-CN"/>
        </w:rPr>
        <w:t>项目等</w:t>
      </w:r>
      <w:r>
        <w:rPr>
          <w:rFonts w:hint="eastAsia" w:ascii="Times New Roman" w:hAnsi="Times New Roman" w:eastAsia="仿宋_GB2312" w:cs="Times New Roman"/>
          <w:sz w:val="32"/>
          <w:szCs w:val="32"/>
          <w:lang w:val="en-US" w:eastAsia="zh-CN"/>
        </w:rPr>
        <w:t>6个项目的</w:t>
      </w:r>
      <w:r>
        <w:rPr>
          <w:rFonts w:hint="eastAsia" w:ascii="Times New Roman" w:hAnsi="Times New Roman" w:eastAsia="仿宋_GB2312" w:cs="Times New Roman"/>
          <w:sz w:val="32"/>
          <w:szCs w:val="32"/>
        </w:rPr>
        <w:t>绩效自评结果。</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2025年企业退休人员遗属补助县级资金</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绩效自评情况：根据年初设定的绩效目标，2025年企业退休人员遗属补助县级资金</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绩效自评得分为</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分（绩效自评表附后）。全年预算数为0.1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万元，执行数为0.1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万元，完成预算的100%。项目绩效目标完成情况：通过项目实施，完成了年初设定的各项绩效目标，及时拨付财政下达资金，保障群众切身利益，未发现问题。</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提前下达2025年市级企业退休人员社会化管理服务经费石财社[2024]129号</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绩效自评情况：根据年初设定的绩效目标，提前下达2025年市级企业退休人员社会化管理服务经费石财社[2024]129号</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绩效自评得分为</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分（绩效自评表附后）。全年预算数为4.57万元，执行数为4.57万元，完成预算的100%。项目绩效目标完成情况：通过项目实施，完成了年初设定的各项绩效目标，及时拨付财政下达资金，保障群众切身利益，未发现问题。</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2024年度机关事业单位退休中人年金虚账记实</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绩效自评情况：根据年初设定的绩效目标，2024年度机关事业单位退休中人年金虚账记实</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绩效自评得分为</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分（绩效自评表附后）。全年预算数为2161.6</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万元，执行数为2161.6</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万元，完成预算的100%。项目绩效目标完成情况：通过项目实施，完成了年初设定的各项绩效目标，及时拨付财政下达资金，保障群众切身利益，未发现问题。</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提前下达2025年市级城乡居民养老保险补助资金2083001财政代缴石财社[2024]104号</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绩效自评情况：根据年初设定的绩效目标，提前下达2025年市级城乡居民养老保险补助资金2083001财政代缴石财社[2024]104号</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绩效自评得分为</w:t>
      </w:r>
      <w:r>
        <w:rPr>
          <w:rFonts w:hint="eastAsia" w:ascii="Times New Roman" w:hAnsi="Times New Roman" w:eastAsia="仿宋_GB2312" w:cs="Times New Roman"/>
          <w:sz w:val="32"/>
          <w:szCs w:val="32"/>
          <w:lang w:val="en-US" w:eastAsia="zh-CN"/>
        </w:rPr>
        <w:t>88</w:t>
      </w:r>
      <w:r>
        <w:rPr>
          <w:rFonts w:hint="eastAsia" w:ascii="Times New Roman" w:hAnsi="Times New Roman" w:eastAsia="仿宋_GB2312" w:cs="Times New Roman"/>
          <w:sz w:val="32"/>
          <w:szCs w:val="32"/>
        </w:rPr>
        <w:t>分（绩效自评表附后）。全年预算数为13.3万元，执行数为11.7万元，完成预算的</w:t>
      </w:r>
      <w:r>
        <w:rPr>
          <w:rFonts w:hint="eastAsia" w:ascii="Times New Roman" w:hAnsi="Times New Roman" w:eastAsia="仿宋_GB2312" w:cs="Times New Roman"/>
          <w:sz w:val="32"/>
          <w:szCs w:val="32"/>
          <w:lang w:val="en-US" w:eastAsia="zh-CN"/>
        </w:rPr>
        <w:t>88</w:t>
      </w:r>
      <w:r>
        <w:rPr>
          <w:rFonts w:hint="eastAsia" w:ascii="Times New Roman" w:hAnsi="Times New Roman" w:eastAsia="仿宋_GB2312" w:cs="Times New Roman"/>
          <w:sz w:val="32"/>
          <w:szCs w:val="32"/>
        </w:rPr>
        <w:t>%。项目绩效目标完成情况：通过项目实施，</w:t>
      </w:r>
      <w:r>
        <w:rPr>
          <w:rFonts w:hint="eastAsia" w:ascii="Times New Roman" w:hAnsi="Times New Roman" w:eastAsia="仿宋_GB2312" w:cs="Times New Roman"/>
          <w:sz w:val="32"/>
          <w:szCs w:val="32"/>
          <w:lang w:eastAsia="zh-CN"/>
        </w:rPr>
        <w:t>因享受待遇人员自然减少，实际发放金额低于年初预算数，导致执行率未达到</w:t>
      </w:r>
      <w:r>
        <w:rPr>
          <w:rFonts w:hint="eastAsia" w:ascii="Times New Roman" w:hAnsi="Times New Roman" w:eastAsia="仿宋_GB2312" w:cs="Times New Roman"/>
          <w:sz w:val="32"/>
          <w:szCs w:val="32"/>
          <w:lang w:val="en-US" w:eastAsia="zh-CN"/>
        </w:rPr>
        <w:t>100%。</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提前下达2025年省级城乡居民养老保险补助资金2083001财政代缴石财社[2024]90号</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绩效自评情况：根据年初设定的绩效目标，提前下达2025</w:t>
      </w:r>
      <w:r>
        <w:rPr>
          <w:rFonts w:hint="eastAsia" w:ascii="Times New Roman" w:hAnsi="Times New Roman" w:eastAsia="仿宋_GB2312" w:cs="Times New Roman"/>
          <w:sz w:val="32"/>
          <w:szCs w:val="32"/>
          <w:lang w:eastAsia="zh-CN"/>
        </w:rPr>
        <w:t>年</w:t>
      </w:r>
      <w:r>
        <w:rPr>
          <w:rFonts w:hint="eastAsia" w:ascii="Times New Roman" w:hAnsi="Times New Roman" w:eastAsia="仿宋_GB2312" w:cs="Times New Roman"/>
          <w:sz w:val="32"/>
          <w:szCs w:val="32"/>
        </w:rPr>
        <w:t>省级城乡居民养老保险补助资金2083001财政代缴石财社[2024]9</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号</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绩效自评得分为</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分（绩效自评表附后）。全年预算数为14万元，执行数为14万元，完成预算的100%。项目绩效目标完成情况：通过项目实施，完成了年初设定的各项绩效目标，及时拨付财政下达资金，保障群众切身利益，未发现问题。</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2025年城乡居民养老保险县级财政代缴县级资金</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绩效自评情况：根据年初设定的绩效目标，2025年城乡居民养老保险县级财政代缴县级资金</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绩效自评得分为</w:t>
      </w:r>
      <w:r>
        <w:rPr>
          <w:rFonts w:hint="eastAsia" w:ascii="Times New Roman" w:hAnsi="Times New Roman" w:eastAsia="仿宋_GB2312" w:cs="Times New Roman"/>
          <w:sz w:val="32"/>
          <w:szCs w:val="32"/>
          <w:lang w:val="en-US" w:eastAsia="zh-CN"/>
        </w:rPr>
        <w:t>47</w:t>
      </w:r>
      <w:r>
        <w:rPr>
          <w:rFonts w:hint="eastAsia" w:ascii="Times New Roman" w:hAnsi="Times New Roman" w:eastAsia="仿宋_GB2312" w:cs="Times New Roman"/>
          <w:sz w:val="32"/>
          <w:szCs w:val="32"/>
        </w:rPr>
        <w:t>分（绩效自评表附后）。全年预算数为14.87万元，执行数为7万元，完成预算的47.</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城乡居民养老保险县级财政代缴资金按实际符合代缴条件的人数据实拨付，本年度符合代缴条件人员较年初预算测算数有所减少，导致实际支出低于预算，执行率未达到</w:t>
      </w:r>
      <w:r>
        <w:rPr>
          <w:rFonts w:hint="eastAsia" w:ascii="Times New Roman" w:hAnsi="Times New Roman" w:eastAsia="仿宋_GB2312" w:cs="Times New Roman"/>
          <w:sz w:val="32"/>
          <w:szCs w:val="32"/>
          <w:lang w:val="en-US" w:eastAsia="zh-CN"/>
        </w:rPr>
        <w:t>100%。将加强代缴人数前期测算，结合上年实际情况合理编制预算；定期与民政等部门对比代缴人员数据，动态掌握人数变化，提高预算编制准确性。</w:t>
      </w:r>
    </w:p>
    <w:p>
      <w:pPr>
        <w:adjustRightInd w:val="0"/>
        <w:snapToGrid w:val="0"/>
        <w:spacing w:line="580" w:lineRule="exact"/>
        <w:ind w:firstLine="640" w:firstLineChars="200"/>
        <w:rPr>
          <w:rFonts w:hint="eastAsia" w:ascii="Times New Roman" w:hAnsi="Times New Roman" w:eastAsia="仿宋_GB2312" w:cs="Times New Roman"/>
          <w:sz w:val="32"/>
          <w:szCs w:val="32"/>
        </w:rPr>
      </w:pPr>
    </w:p>
    <w:tbl>
      <w:tblPr>
        <w:tblStyle w:val="9"/>
        <w:tblpPr w:leftFromText="180" w:rightFromText="180" w:vertAnchor="text" w:horzAnchor="page" w:tblpX="800" w:tblpY="-578"/>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10646" w:type="dxa"/>
            <w:gridSpan w:val="11"/>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10646" w:type="dxa"/>
            <w:gridSpan w:val="11"/>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862" w:type="dxa"/>
            <w:gridSpan w:val="3"/>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pPr>
              <w:jc w:val="center"/>
              <w:rPr>
                <w:rFonts w:hint="eastAsia" w:ascii="宋体" w:hAnsi="宋体" w:eastAsia="宋体" w:cs="宋体"/>
                <w:i w:val="0"/>
                <w:color w:val="000000"/>
                <w:sz w:val="20"/>
                <w:szCs w:val="20"/>
                <w:u w:val="none"/>
              </w:rPr>
            </w:pPr>
          </w:p>
        </w:tc>
        <w:tc>
          <w:tcPr>
            <w:tcW w:w="595" w:type="dxa"/>
            <w:shd w:val="clear" w:color="auto" w:fill="auto"/>
            <w:vAlign w:val="center"/>
          </w:tcPr>
          <w:p>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pPr>
              <w:jc w:val="center"/>
              <w:rPr>
                <w:rFonts w:hint="eastAsia" w:ascii="宋体" w:hAnsi="宋体" w:eastAsia="宋体" w:cs="宋体"/>
                <w:i w:val="0"/>
                <w:color w:val="000000"/>
                <w:sz w:val="20"/>
                <w:szCs w:val="20"/>
                <w:u w:val="none"/>
              </w:rPr>
            </w:pP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6"/>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2025年企业退休人员遗属补助县级资金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正定县人力资源与社会保障局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eastAsia" w:ascii="宋体" w:hAnsi="宋体" w:eastAsia="宋体" w:cs="宋体"/>
                <w:i w:val="0"/>
                <w:color w:val="000000"/>
                <w:sz w:val="20"/>
                <w:szCs w:val="20"/>
                <w:u w:val="none"/>
                <w:lang w:val="en-US" w:eastAsia="zh-CN"/>
              </w:rPr>
              <w:t>0.12</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保证企业退休人员遗属补助待遇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6"/>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pPr>
              <w:jc w:val="center"/>
              <w:rPr>
                <w:rFonts w:hint="eastAsia" w:ascii="宋体" w:hAnsi="宋体" w:eastAsia="宋体" w:cs="宋体"/>
                <w:i w:val="0"/>
                <w:color w:val="000000"/>
                <w:sz w:val="16"/>
                <w:szCs w:val="16"/>
                <w:u w:val="none"/>
              </w:rPr>
            </w:pPr>
          </w:p>
        </w:tc>
        <w:tc>
          <w:tcPr>
            <w:tcW w:w="994" w:type="dxa"/>
            <w:shd w:val="clear" w:color="auto" w:fill="auto"/>
            <w:vAlign w:val="center"/>
          </w:tcPr>
          <w:p>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r>
        <w:br w:type="page"/>
      </w:r>
    </w:p>
    <w:tbl>
      <w:tblPr>
        <w:tblStyle w:val="9"/>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10646" w:type="dxa"/>
            <w:gridSpan w:val="11"/>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10646" w:type="dxa"/>
            <w:gridSpan w:val="11"/>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862" w:type="dxa"/>
            <w:gridSpan w:val="3"/>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pPr>
              <w:jc w:val="center"/>
              <w:rPr>
                <w:rFonts w:hint="eastAsia" w:ascii="宋体" w:hAnsi="宋体" w:eastAsia="宋体" w:cs="宋体"/>
                <w:i w:val="0"/>
                <w:color w:val="000000"/>
                <w:sz w:val="20"/>
                <w:szCs w:val="20"/>
                <w:u w:val="none"/>
              </w:rPr>
            </w:pPr>
          </w:p>
        </w:tc>
        <w:tc>
          <w:tcPr>
            <w:tcW w:w="595" w:type="dxa"/>
            <w:shd w:val="clear" w:color="auto" w:fill="auto"/>
            <w:vAlign w:val="center"/>
          </w:tcPr>
          <w:p>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pPr>
              <w:jc w:val="center"/>
              <w:rPr>
                <w:rFonts w:hint="eastAsia" w:ascii="宋体" w:hAnsi="宋体" w:eastAsia="宋体" w:cs="宋体"/>
                <w:i w:val="0"/>
                <w:color w:val="000000"/>
                <w:sz w:val="20"/>
                <w:szCs w:val="20"/>
                <w:u w:val="none"/>
              </w:rPr>
            </w:pP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6"/>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提前下达2025年市级企业退休人员社会化管理服务经费石财社[2024]129号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正定县人力资源与社会保障局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eastAsia" w:ascii="宋体" w:hAnsi="宋体" w:eastAsia="宋体" w:cs="宋体"/>
                <w:i w:val="0"/>
                <w:color w:val="000000"/>
                <w:sz w:val="20"/>
                <w:szCs w:val="20"/>
                <w:u w:val="none"/>
                <w:lang w:val="en-US" w:eastAsia="zh-CN"/>
              </w:rPr>
              <w:t>4.57</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保证企业退休人员待遇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6"/>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pPr>
              <w:jc w:val="center"/>
              <w:rPr>
                <w:rFonts w:hint="eastAsia" w:ascii="宋体" w:hAnsi="宋体" w:eastAsia="宋体" w:cs="宋体"/>
                <w:i w:val="0"/>
                <w:color w:val="000000"/>
                <w:sz w:val="16"/>
                <w:szCs w:val="16"/>
                <w:u w:val="none"/>
              </w:rPr>
            </w:pPr>
          </w:p>
        </w:tc>
        <w:tc>
          <w:tcPr>
            <w:tcW w:w="994" w:type="dxa"/>
            <w:shd w:val="clear" w:color="auto" w:fill="auto"/>
            <w:vAlign w:val="center"/>
          </w:tcPr>
          <w:p>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r>
        <w:br w:type="page"/>
      </w:r>
    </w:p>
    <w:tbl>
      <w:tblPr>
        <w:tblStyle w:val="9"/>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10646" w:type="dxa"/>
            <w:gridSpan w:val="11"/>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10646" w:type="dxa"/>
            <w:gridSpan w:val="11"/>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862" w:type="dxa"/>
            <w:gridSpan w:val="3"/>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pPr>
              <w:jc w:val="center"/>
              <w:rPr>
                <w:rFonts w:hint="eastAsia" w:ascii="宋体" w:hAnsi="宋体" w:eastAsia="宋体" w:cs="宋体"/>
                <w:i w:val="0"/>
                <w:color w:val="000000"/>
                <w:sz w:val="20"/>
                <w:szCs w:val="20"/>
                <w:u w:val="none"/>
              </w:rPr>
            </w:pPr>
          </w:p>
        </w:tc>
        <w:tc>
          <w:tcPr>
            <w:tcW w:w="595" w:type="dxa"/>
            <w:shd w:val="clear" w:color="auto" w:fill="auto"/>
            <w:vAlign w:val="center"/>
          </w:tcPr>
          <w:p>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pPr>
              <w:jc w:val="center"/>
              <w:rPr>
                <w:rFonts w:hint="eastAsia" w:ascii="宋体" w:hAnsi="宋体" w:eastAsia="宋体" w:cs="宋体"/>
                <w:i w:val="0"/>
                <w:color w:val="000000"/>
                <w:sz w:val="20"/>
                <w:szCs w:val="20"/>
                <w:u w:val="none"/>
              </w:rPr>
            </w:pP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6"/>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2024年度机关事业单位退休中人年金虚账记实</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正定县人力资源与社会保障局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保证机关事业单位退休中人年金待遇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6"/>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pPr>
              <w:jc w:val="center"/>
              <w:rPr>
                <w:rFonts w:hint="eastAsia" w:ascii="宋体" w:hAnsi="宋体" w:eastAsia="宋体" w:cs="宋体"/>
                <w:i w:val="0"/>
                <w:color w:val="000000"/>
                <w:sz w:val="16"/>
                <w:szCs w:val="16"/>
                <w:u w:val="none"/>
              </w:rPr>
            </w:pPr>
          </w:p>
        </w:tc>
        <w:tc>
          <w:tcPr>
            <w:tcW w:w="994" w:type="dxa"/>
            <w:shd w:val="clear" w:color="auto" w:fill="auto"/>
            <w:vAlign w:val="center"/>
          </w:tcPr>
          <w:p>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r>
        <w:br w:type="page"/>
      </w:r>
    </w:p>
    <w:tbl>
      <w:tblPr>
        <w:tblStyle w:val="9"/>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10646" w:type="dxa"/>
            <w:gridSpan w:val="11"/>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10646" w:type="dxa"/>
            <w:gridSpan w:val="11"/>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862" w:type="dxa"/>
            <w:gridSpan w:val="3"/>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pPr>
              <w:jc w:val="center"/>
              <w:rPr>
                <w:rFonts w:hint="eastAsia" w:ascii="宋体" w:hAnsi="宋体" w:eastAsia="宋体" w:cs="宋体"/>
                <w:i w:val="0"/>
                <w:color w:val="000000"/>
                <w:sz w:val="20"/>
                <w:szCs w:val="20"/>
                <w:u w:val="none"/>
              </w:rPr>
            </w:pPr>
          </w:p>
        </w:tc>
        <w:tc>
          <w:tcPr>
            <w:tcW w:w="595" w:type="dxa"/>
            <w:shd w:val="clear" w:color="auto" w:fill="auto"/>
            <w:vAlign w:val="center"/>
          </w:tcPr>
          <w:p>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pPr>
              <w:jc w:val="center"/>
              <w:rPr>
                <w:rFonts w:hint="eastAsia" w:ascii="宋体" w:hAnsi="宋体" w:eastAsia="宋体" w:cs="宋体"/>
                <w:i w:val="0"/>
                <w:color w:val="000000"/>
                <w:sz w:val="20"/>
                <w:szCs w:val="20"/>
                <w:u w:val="none"/>
              </w:rPr>
            </w:pP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6"/>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提前下达2025年市级城乡居民养老保险补助资金2083001财政代缴石财社[2024]104号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正定县人力资源与社会保障局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default" w:ascii="宋体" w:hAnsi="宋体" w:eastAsia="宋体" w:cs="宋体"/>
                <w:i w:val="0"/>
                <w:color w:val="000000"/>
                <w:sz w:val="20"/>
                <w:szCs w:val="20"/>
                <w:u w:val="none"/>
                <w:lang w:val="en-US" w:eastAsia="zh-CN"/>
              </w:rPr>
              <w:t>11.7</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11.7</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保证城居保待遇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6"/>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88%</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15"/>
                <w:szCs w:val="15"/>
                <w:u w:val="none"/>
                <w:lang w:val="en-US"/>
              </w:rPr>
            </w:pPr>
            <w:r>
              <w:rPr>
                <w:rFonts w:hint="eastAsia" w:ascii="宋体" w:hAnsi="宋体" w:eastAsia="宋体" w:cs="宋体"/>
                <w:i w:val="0"/>
                <w:iCs w:val="0"/>
                <w:color w:val="000000"/>
                <w:kern w:val="0"/>
                <w:sz w:val="16"/>
                <w:szCs w:val="16"/>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color w:val="000000"/>
                <w:kern w:val="0"/>
                <w:sz w:val="15"/>
                <w:szCs w:val="15"/>
                <w:u w:val="none"/>
                <w:lang w:val="en-US" w:eastAsia="zh-CN" w:bidi="ar"/>
              </w:rPr>
              <w:t>88</w:t>
            </w:r>
            <w:r>
              <w:rPr>
                <w:rFonts w:hint="default" w:ascii="Calibri" w:hAnsi="Calibri" w:eastAsia="宋体" w:cs="Calibri"/>
                <w:i w:val="0"/>
                <w:color w:val="000000"/>
                <w:kern w:val="0"/>
                <w:sz w:val="15"/>
                <w:szCs w:val="15"/>
                <w:u w:val="none"/>
                <w:lang w:val="en-US" w:eastAsia="zh-CN" w:bidi="ar"/>
              </w:rPr>
              <w:t>%</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rPr>
            </w:pPr>
            <w:r>
              <w:rPr>
                <w:rFonts w:hint="eastAsia" w:ascii="Calibri" w:hAnsi="Calibri" w:eastAsia="宋体" w:cs="Calibri"/>
                <w:i w:val="0"/>
                <w:iCs w:val="0"/>
                <w:color w:val="000000"/>
                <w:kern w:val="0"/>
                <w:sz w:val="21"/>
                <w:szCs w:val="21"/>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color w:val="000000"/>
                <w:kern w:val="0"/>
                <w:sz w:val="15"/>
                <w:szCs w:val="15"/>
                <w:u w:val="none"/>
                <w:lang w:val="en-US" w:eastAsia="zh-CN" w:bidi="ar"/>
              </w:rPr>
              <w:t>88</w:t>
            </w:r>
            <w:r>
              <w:rPr>
                <w:rFonts w:hint="default" w:ascii="Calibri" w:hAnsi="Calibri" w:eastAsia="宋体" w:cs="Calibri"/>
                <w:i w:val="0"/>
                <w:color w:val="000000"/>
                <w:kern w:val="0"/>
                <w:sz w:val="15"/>
                <w:szCs w:val="15"/>
                <w:u w:val="none"/>
                <w:lang w:val="en-US" w:eastAsia="zh-CN" w:bidi="ar"/>
              </w:rPr>
              <w:t>%</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rPr>
            </w:pPr>
            <w:r>
              <w:rPr>
                <w:rFonts w:hint="eastAsia" w:ascii="Calibri" w:hAnsi="Calibri" w:eastAsia="宋体" w:cs="Calibri"/>
                <w:i w:val="0"/>
                <w:iCs w:val="0"/>
                <w:color w:val="000000"/>
                <w:kern w:val="0"/>
                <w:sz w:val="21"/>
                <w:szCs w:val="21"/>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因享受待遇人员自然减少，实际发放金额低于年初预算数，导致执行率未达到100%。将及时对接民政等部门，实时更新人数，提高预算编制准确性。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pPr>
              <w:jc w:val="center"/>
              <w:rPr>
                <w:rFonts w:hint="eastAsia" w:ascii="宋体" w:hAnsi="宋体" w:eastAsia="宋体" w:cs="宋体"/>
                <w:i w:val="0"/>
                <w:color w:val="000000"/>
                <w:sz w:val="16"/>
                <w:szCs w:val="16"/>
                <w:u w:val="none"/>
              </w:rPr>
            </w:pPr>
          </w:p>
        </w:tc>
        <w:tc>
          <w:tcPr>
            <w:tcW w:w="994" w:type="dxa"/>
            <w:shd w:val="clear" w:color="auto" w:fill="auto"/>
            <w:vAlign w:val="center"/>
          </w:tcPr>
          <w:p>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p/>
    <w:tbl>
      <w:tblPr>
        <w:tblStyle w:val="9"/>
        <w:tblpPr w:leftFromText="180" w:rightFromText="180" w:vertAnchor="text" w:horzAnchor="page" w:tblpX="800" w:tblpY="-578"/>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10646" w:type="dxa"/>
            <w:gridSpan w:val="11"/>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10646" w:type="dxa"/>
            <w:gridSpan w:val="11"/>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862" w:type="dxa"/>
            <w:gridSpan w:val="3"/>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pPr>
              <w:jc w:val="center"/>
              <w:rPr>
                <w:rFonts w:hint="eastAsia" w:ascii="宋体" w:hAnsi="宋体" w:eastAsia="宋体" w:cs="宋体"/>
                <w:i w:val="0"/>
                <w:color w:val="000000"/>
                <w:sz w:val="20"/>
                <w:szCs w:val="20"/>
                <w:u w:val="none"/>
              </w:rPr>
            </w:pPr>
          </w:p>
        </w:tc>
        <w:tc>
          <w:tcPr>
            <w:tcW w:w="595" w:type="dxa"/>
            <w:shd w:val="clear" w:color="auto" w:fill="auto"/>
            <w:vAlign w:val="center"/>
          </w:tcPr>
          <w:p>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pPr>
              <w:jc w:val="center"/>
              <w:rPr>
                <w:rFonts w:hint="eastAsia" w:ascii="宋体" w:hAnsi="宋体" w:eastAsia="宋体" w:cs="宋体"/>
                <w:i w:val="0"/>
                <w:color w:val="000000"/>
                <w:sz w:val="20"/>
                <w:szCs w:val="20"/>
                <w:u w:val="none"/>
              </w:rPr>
            </w:pP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6"/>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提前下达2025年省级城乡居民养老保险补助资金2083001财政代缴石财社[2024]90号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正定县人力资源与社会保障局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eastAsia" w:ascii="宋体" w:hAnsi="宋体" w:eastAsia="宋体" w:cs="宋体"/>
                <w:i w:val="0"/>
                <w:color w:val="000000"/>
                <w:sz w:val="20"/>
                <w:szCs w:val="20"/>
                <w:u w:val="none"/>
                <w:lang w:val="en-US" w:eastAsia="zh-CN"/>
              </w:rPr>
              <w:t>14</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保证城居保待遇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6"/>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pPr>
              <w:jc w:val="center"/>
              <w:rPr>
                <w:rFonts w:hint="eastAsia" w:ascii="宋体" w:hAnsi="宋体" w:eastAsia="宋体" w:cs="宋体"/>
                <w:i w:val="0"/>
                <w:color w:val="000000"/>
                <w:sz w:val="16"/>
                <w:szCs w:val="16"/>
                <w:u w:val="none"/>
              </w:rPr>
            </w:pPr>
          </w:p>
        </w:tc>
        <w:tc>
          <w:tcPr>
            <w:tcW w:w="994" w:type="dxa"/>
            <w:shd w:val="clear" w:color="auto" w:fill="auto"/>
            <w:vAlign w:val="center"/>
          </w:tcPr>
          <w:p>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r>
        <w:br w:type="page"/>
      </w:r>
    </w:p>
    <w:tbl>
      <w:tblPr>
        <w:tblStyle w:val="9"/>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10646" w:type="dxa"/>
            <w:gridSpan w:val="11"/>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10646" w:type="dxa"/>
            <w:gridSpan w:val="11"/>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862" w:type="dxa"/>
            <w:gridSpan w:val="3"/>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pPr>
              <w:jc w:val="center"/>
              <w:rPr>
                <w:rFonts w:hint="eastAsia" w:ascii="宋体" w:hAnsi="宋体" w:eastAsia="宋体" w:cs="宋体"/>
                <w:i w:val="0"/>
                <w:color w:val="000000"/>
                <w:sz w:val="20"/>
                <w:szCs w:val="20"/>
                <w:u w:val="none"/>
              </w:rPr>
            </w:pPr>
          </w:p>
        </w:tc>
        <w:tc>
          <w:tcPr>
            <w:tcW w:w="595" w:type="dxa"/>
            <w:shd w:val="clear" w:color="auto" w:fill="auto"/>
            <w:vAlign w:val="center"/>
          </w:tcPr>
          <w:p>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pPr>
              <w:jc w:val="center"/>
              <w:rPr>
                <w:rFonts w:hint="eastAsia" w:ascii="宋体" w:hAnsi="宋体" w:eastAsia="宋体" w:cs="宋体"/>
                <w:i w:val="0"/>
                <w:color w:val="000000"/>
                <w:sz w:val="20"/>
                <w:szCs w:val="20"/>
                <w:u w:val="none"/>
              </w:rPr>
            </w:pP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6"/>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2025年城乡居民养老保险县级财政代缴县级资金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正定县人力资源与社会保障局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7</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7</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保证城居保待遇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6"/>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6"/>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47.1%</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15"/>
                <w:szCs w:val="15"/>
                <w:u w:val="none"/>
                <w:lang w:val="en-US"/>
              </w:rPr>
            </w:pPr>
            <w:r>
              <w:rPr>
                <w:rFonts w:hint="eastAsia" w:ascii="宋体" w:hAnsi="宋体" w:eastAsia="宋体" w:cs="宋体"/>
                <w:i w:val="0"/>
                <w:iCs w:val="0"/>
                <w:color w:val="000000"/>
                <w:kern w:val="0"/>
                <w:sz w:val="16"/>
                <w:szCs w:val="16"/>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宋体" w:hAnsi="宋体" w:eastAsia="宋体" w:cs="宋体"/>
                <w:i w:val="0"/>
                <w:color w:val="000000"/>
                <w:kern w:val="0"/>
                <w:sz w:val="15"/>
                <w:szCs w:val="15"/>
                <w:u w:val="none"/>
                <w:lang w:val="en-US" w:eastAsia="zh-CN" w:bidi="ar"/>
              </w:rPr>
              <w:t>47.1%</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rPr>
            </w:pPr>
            <w:r>
              <w:rPr>
                <w:rFonts w:hint="eastAsia" w:ascii="Calibri" w:hAnsi="Calibri" w:eastAsia="宋体" w:cs="Calibri"/>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eastAsia="zh-CN"/>
              </w:rPr>
            </w:pPr>
            <w:r>
              <w:rPr>
                <w:rFonts w:hint="eastAsia" w:ascii="Calibri" w:hAnsi="Calibri" w:eastAsia="宋体" w:cs="Calibri"/>
                <w:i w:val="0"/>
                <w:color w:val="000000"/>
                <w:sz w:val="15"/>
                <w:szCs w:val="15"/>
                <w:u w:val="none"/>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宋体" w:hAnsi="宋体" w:eastAsia="宋体" w:cs="宋体"/>
                <w:i w:val="0"/>
                <w:color w:val="000000"/>
                <w:kern w:val="0"/>
                <w:sz w:val="15"/>
                <w:szCs w:val="15"/>
                <w:u w:val="none"/>
                <w:lang w:val="en-US" w:eastAsia="zh-CN" w:bidi="ar"/>
              </w:rPr>
              <w:t>47.1%</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iCs w:val="0"/>
                <w:color w:val="000000"/>
                <w:kern w:val="0"/>
                <w:sz w:val="21"/>
                <w:szCs w:val="21"/>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iCs w:val="0"/>
                <w:color w:val="000000"/>
                <w:kern w:val="0"/>
                <w:sz w:val="21"/>
                <w:szCs w:val="21"/>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城乡居民养老保险县级财政代缴资金按实际符合代缴条件的人数据实拨付，本年度符合代缴条件人员较年初预算测算数有所减少，导致实际支出低于预算，执行率未达到100%。将加强代缴人数前期测算，结合上年实际情况合理编制预算；定期与民政等部门对比代缴人员数据，动态掌握人数变化，提高预算编制准确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pPr>
              <w:jc w:val="center"/>
              <w:rPr>
                <w:rFonts w:hint="eastAsia" w:ascii="宋体" w:hAnsi="宋体" w:eastAsia="宋体" w:cs="宋体"/>
                <w:i w:val="0"/>
                <w:color w:val="000000"/>
                <w:sz w:val="16"/>
                <w:szCs w:val="16"/>
                <w:u w:val="none"/>
              </w:rPr>
            </w:pPr>
          </w:p>
        </w:tc>
        <w:tc>
          <w:tcPr>
            <w:tcW w:w="994" w:type="dxa"/>
            <w:shd w:val="clear" w:color="auto" w:fill="auto"/>
            <w:vAlign w:val="center"/>
          </w:tcPr>
          <w:p>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pPr>
        <w:adjustRightInd w:val="0"/>
        <w:snapToGrid w:val="0"/>
        <w:spacing w:line="580" w:lineRule="exact"/>
        <w:ind w:firstLine="643" w:firstLineChars="200"/>
        <w:rPr>
          <w:rFonts w:hint="eastAsia" w:ascii="Times New Roman" w:hAnsi="Times New Roman" w:eastAsia="仿宋_GB2312" w:cs="Times New Roman"/>
          <w:b/>
          <w:sz w:val="32"/>
          <w:szCs w:val="32"/>
          <w:highlight w:val="green"/>
        </w:rPr>
      </w:pPr>
    </w:p>
    <w:p>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（三）部门评价项目绩效评价结果（如有）</w:t>
      </w:r>
    </w:p>
    <w:p>
      <w:pPr>
        <w:adjustRightInd w:val="0"/>
        <w:snapToGrid w:val="0"/>
        <w:spacing w:line="580" w:lineRule="exact"/>
        <w:ind w:firstLine="640" w:firstLineChars="200"/>
        <w:rPr>
          <w:rFonts w:hint="eastAsia" w:ascii="Times New Roman" w:hAnsi="Times New Roman" w:eastAsia="黑体" w:cs="Times New Roman"/>
          <w:sz w:val="32"/>
          <w:szCs w:val="32"/>
          <w:lang w:val="en-US" w:eastAsia="zh-CN"/>
        </w:rPr>
      </w:pPr>
      <w:r>
        <w:rPr>
          <w:rFonts w:hint="eastAsia" w:ascii="Times New Roman" w:hAnsi="Times New Roman" w:eastAsia="仿宋_GB2312" w:cs="Times New Roman"/>
          <w:sz w:val="32"/>
          <w:szCs w:val="32"/>
          <w:lang w:val="en-US" w:eastAsia="zh-CN"/>
        </w:rPr>
        <w:t>无</w:t>
      </w:r>
    </w:p>
    <w:p>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本部门2025年度</w:t>
      </w:r>
      <w:r>
        <w:rPr>
          <w:rFonts w:hint="eastAsia" w:ascii="Times New Roman" w:hAnsi="Times New Roman" w:eastAsia="仿宋_GB2312" w:cs="Times New Roman"/>
          <w:sz w:val="32"/>
          <w:szCs w:val="32"/>
          <w:lang w:eastAsia="zh-CN"/>
        </w:rPr>
        <w:t>政府基金</w:t>
      </w:r>
      <w:r>
        <w:rPr>
          <w:rFonts w:ascii="Times New Roman" w:hAnsi="Times New Roman" w:eastAsia="仿宋_GB2312" w:cs="Times New Roman"/>
          <w:sz w:val="32"/>
          <w:szCs w:val="32"/>
        </w:rPr>
        <w:t>无收支及结转结余情况，故表以空表列示。</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Times New Roman" w:hAnsi="Times New Roman" w:eastAsia="宋体" w:cs="Times New Roman"/>
          <w:b/>
          <w:bCs/>
          <w:kern w:val="0"/>
          <w:sz w:val="44"/>
          <w:szCs w:val="44"/>
        </w:rPr>
      </w:pPr>
    </w:p>
    <w:p>
      <w:pPr>
        <w:spacing w:line="580" w:lineRule="exact"/>
        <w:rPr>
          <w:rFonts w:ascii="Times New Roman" w:hAnsi="Times New Roman" w:eastAsia="仿宋_GB2312" w:cs="Times New Roman"/>
          <w:sz w:val="32"/>
          <w:szCs w:val="32"/>
        </w:rPr>
      </w:pPr>
    </w:p>
    <w:p>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580" w:lineRule="exact"/>
        <w:jc w:val="both"/>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pPr>
        <w:spacing w:line="580" w:lineRule="exact"/>
        <w:rPr>
          <w:rFonts w:ascii="Times New Roman" w:hAnsi="Times New Roman" w:eastAsia="仿宋_GB2312" w:cs="Times New Roman"/>
          <w:sz w:val="32"/>
          <w:szCs w:val="32"/>
        </w:rPr>
      </w:pP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bookmarkStart w:id="0" w:name="_GoBack"/>
      <w:bookmarkEnd w:id="0"/>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spacing w:line="580" w:lineRule="exact"/>
        <w:rPr>
          <w:rFonts w:ascii="Times New Roman" w:hAnsi="Times New Roman" w:cs="Times New Roman"/>
        </w:rPr>
      </w:pPr>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0" w:usb1="00000000" w:usb2="00000000" w:usb3="00000000" w:csb0="00000000" w:csb1="00000000"/>
  </w:font>
  <w:font w:name="方正小标宋_GBK">
    <w:panose1 w:val="02000000000000000000"/>
    <w:charset w:val="86"/>
    <w:family w:val="script"/>
    <w:pitch w:val="default"/>
    <w:sig w:usb0="00000000" w:usb1="00000000" w:usb2="00000000" w:usb3="00000000" w:csb0="00000000" w:csb1="00000000"/>
  </w:font>
  <w:font w:name="方正小标宋简体">
    <w:panose1 w:val="03000509000000000000"/>
    <w:charset w:val="86"/>
    <w:family w:val="script"/>
    <w:pitch w:val="default"/>
    <w:sig w:usb0="00000000" w:usb1="00000000" w:usb2="00000000" w:usb3="00000000" w:csb0="00000000" w:csb1="00000000"/>
  </w:font>
  <w:font w:name="仿宋_GB2312">
    <w:panose1 w:val="02010609030101010101"/>
    <w:charset w:val="86"/>
    <w:family w:val="modern"/>
    <w:pitch w:val="default"/>
    <w:sig w:usb0="00000000" w:usb1="00000000" w:usb2="00000000" w:usb3="00000000" w:csb0="00000000" w:csb1="00000000"/>
  </w:font>
  <w:font w:name="DengXian-Regular">
    <w:altName w:val="宋体"/>
    <w:panose1 w:val="00000000000000000000"/>
    <w:charset w:val="86"/>
    <w:family w:val="auto"/>
    <w:pitch w:val="default"/>
    <w:sig w:usb0="00000000" w:usb1="00000000" w:usb2="0000001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DBE14"/>
    <w:multiLevelType w:val="singleLevel"/>
    <w:tmpl w:val="7C0DBE1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wNjBkYmUxMjc3ZjAxMjAyZmExYWFmMGM2ZjEyNGUifQ=="/>
  </w:docVars>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0FAC"/>
    <w:rsid w:val="00E33A0E"/>
    <w:rsid w:val="00EA6A18"/>
    <w:rsid w:val="00F04B90"/>
    <w:rsid w:val="00F143AE"/>
    <w:rsid w:val="00F565FC"/>
    <w:rsid w:val="00F94EBA"/>
    <w:rsid w:val="00F95C94"/>
    <w:rsid w:val="00FC3968"/>
    <w:rsid w:val="00FC7282"/>
    <w:rsid w:val="00FD16C8"/>
    <w:rsid w:val="01AA3877"/>
    <w:rsid w:val="027F4D04"/>
    <w:rsid w:val="02EE3C38"/>
    <w:rsid w:val="032C4E8C"/>
    <w:rsid w:val="03680244"/>
    <w:rsid w:val="038A3960"/>
    <w:rsid w:val="04812FB5"/>
    <w:rsid w:val="05CC0260"/>
    <w:rsid w:val="07C338E5"/>
    <w:rsid w:val="07FB307F"/>
    <w:rsid w:val="0A5627EE"/>
    <w:rsid w:val="0A66220B"/>
    <w:rsid w:val="0B8F2FBD"/>
    <w:rsid w:val="0D5F5E5E"/>
    <w:rsid w:val="0E745939"/>
    <w:rsid w:val="10042CED"/>
    <w:rsid w:val="10EB381D"/>
    <w:rsid w:val="113D64B6"/>
    <w:rsid w:val="118539B9"/>
    <w:rsid w:val="12415B32"/>
    <w:rsid w:val="159A3ED7"/>
    <w:rsid w:val="16D9794A"/>
    <w:rsid w:val="17445DA5"/>
    <w:rsid w:val="174C1201"/>
    <w:rsid w:val="17BB1EE3"/>
    <w:rsid w:val="17D86F39"/>
    <w:rsid w:val="182F1538"/>
    <w:rsid w:val="18F13BDB"/>
    <w:rsid w:val="18F356AC"/>
    <w:rsid w:val="195E346D"/>
    <w:rsid w:val="199015C5"/>
    <w:rsid w:val="1A051B3B"/>
    <w:rsid w:val="1AB570BD"/>
    <w:rsid w:val="1CC730D8"/>
    <w:rsid w:val="1D37025D"/>
    <w:rsid w:val="1DB71419"/>
    <w:rsid w:val="1E2A7DC2"/>
    <w:rsid w:val="1FE346CD"/>
    <w:rsid w:val="2027280B"/>
    <w:rsid w:val="2211530C"/>
    <w:rsid w:val="22431452"/>
    <w:rsid w:val="22AF4D3A"/>
    <w:rsid w:val="231D65B1"/>
    <w:rsid w:val="24751C29"/>
    <w:rsid w:val="24B44889"/>
    <w:rsid w:val="256D7E07"/>
    <w:rsid w:val="2A30050E"/>
    <w:rsid w:val="2A391AB9"/>
    <w:rsid w:val="2B91339F"/>
    <w:rsid w:val="2BAC159C"/>
    <w:rsid w:val="2DB759F2"/>
    <w:rsid w:val="2E27522A"/>
    <w:rsid w:val="30BA4FD6"/>
    <w:rsid w:val="31F36233"/>
    <w:rsid w:val="3203475A"/>
    <w:rsid w:val="32546D64"/>
    <w:rsid w:val="34C71A6F"/>
    <w:rsid w:val="37386C54"/>
    <w:rsid w:val="37492C0F"/>
    <w:rsid w:val="37BE35FD"/>
    <w:rsid w:val="386341A5"/>
    <w:rsid w:val="398E0DAD"/>
    <w:rsid w:val="3A810912"/>
    <w:rsid w:val="3AB02799"/>
    <w:rsid w:val="3BB014AF"/>
    <w:rsid w:val="409273D5"/>
    <w:rsid w:val="41313092"/>
    <w:rsid w:val="42D71A17"/>
    <w:rsid w:val="44727C49"/>
    <w:rsid w:val="453C2005"/>
    <w:rsid w:val="45F13468"/>
    <w:rsid w:val="468772B0"/>
    <w:rsid w:val="47D128CC"/>
    <w:rsid w:val="48275722"/>
    <w:rsid w:val="48BB399F"/>
    <w:rsid w:val="495D1A6C"/>
    <w:rsid w:val="4A301A0D"/>
    <w:rsid w:val="4A421E6C"/>
    <w:rsid w:val="4A5E47CC"/>
    <w:rsid w:val="4B0E61F2"/>
    <w:rsid w:val="4B2711BE"/>
    <w:rsid w:val="4C143394"/>
    <w:rsid w:val="4C433C79"/>
    <w:rsid w:val="4C5D11DF"/>
    <w:rsid w:val="4E9B1B4B"/>
    <w:rsid w:val="4F1C6304"/>
    <w:rsid w:val="504D7453"/>
    <w:rsid w:val="511A2C8A"/>
    <w:rsid w:val="51281690"/>
    <w:rsid w:val="53350000"/>
    <w:rsid w:val="543B4686"/>
    <w:rsid w:val="547F1F0F"/>
    <w:rsid w:val="56521689"/>
    <w:rsid w:val="591E1CF6"/>
    <w:rsid w:val="596A6CE9"/>
    <w:rsid w:val="59760FEE"/>
    <w:rsid w:val="598E73AA"/>
    <w:rsid w:val="5A3D7F5A"/>
    <w:rsid w:val="5A47527D"/>
    <w:rsid w:val="5A625C12"/>
    <w:rsid w:val="5AA31831"/>
    <w:rsid w:val="5B75607A"/>
    <w:rsid w:val="5B9067AF"/>
    <w:rsid w:val="5D080CF3"/>
    <w:rsid w:val="5D414205"/>
    <w:rsid w:val="5E1C6E5F"/>
    <w:rsid w:val="5F0D24D7"/>
    <w:rsid w:val="5F125E59"/>
    <w:rsid w:val="5F1D65AC"/>
    <w:rsid w:val="5F700DD2"/>
    <w:rsid w:val="60747139"/>
    <w:rsid w:val="609A4358"/>
    <w:rsid w:val="62C456BC"/>
    <w:rsid w:val="631F28F3"/>
    <w:rsid w:val="650F6997"/>
    <w:rsid w:val="656536CB"/>
    <w:rsid w:val="67332E10"/>
    <w:rsid w:val="675D1C3B"/>
    <w:rsid w:val="6897117D"/>
    <w:rsid w:val="68C61A62"/>
    <w:rsid w:val="68EF7116"/>
    <w:rsid w:val="6AE674BA"/>
    <w:rsid w:val="6B4078AA"/>
    <w:rsid w:val="6D4A4A10"/>
    <w:rsid w:val="6DA46816"/>
    <w:rsid w:val="6E2F3C06"/>
    <w:rsid w:val="6E943ADE"/>
    <w:rsid w:val="6F8231C8"/>
    <w:rsid w:val="706E310B"/>
    <w:rsid w:val="70761FC0"/>
    <w:rsid w:val="758918C0"/>
    <w:rsid w:val="759F4EC1"/>
    <w:rsid w:val="76724FD8"/>
    <w:rsid w:val="776C4A5C"/>
    <w:rsid w:val="77A55067"/>
    <w:rsid w:val="78FF6FF6"/>
    <w:rsid w:val="79837AD1"/>
    <w:rsid w:val="79C44530"/>
    <w:rsid w:val="7CEC1640"/>
    <w:rsid w:val="7CEC5AE4"/>
    <w:rsid w:val="7DBF6D54"/>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 w:type="character" w:customStyle="1" w:styleId="26">
    <w:name w:val="font101"/>
    <w:basedOn w:val="11"/>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manualLayout>
          <c:layoutTarget val="inner"/>
          <c:xMode val="edge"/>
          <c:yMode val="edge"/>
          <c:x val="0.0531046146412177"/>
          <c:y val="0.202932426689333"/>
          <c:w val="0.89736651365064"/>
          <c:h val="0.734679133021674"/>
        </c:manualLayout>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3178.73</c:v>
                </c:pt>
                <c:pt idx="1">
                  <c:v>3301.97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31436579.45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86905049528872"/>
          <c:y val="0.35794730131746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9127399.45</c:v>
                </c:pt>
                <c:pt idx="1">
                  <c:v>22362065.2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3262.76</c:v>
                </c:pt>
                <c:pt idx="1">
                  <c:v>3262.76</c:v>
                </c:pt>
                <c:pt idx="2">
                  <c:v>3205.26</c:v>
                </c:pt>
                <c:pt idx="3">
                  <c:v>3205.26</c:v>
                </c:pt>
                <c:pt idx="4">
                  <c:v>0</c:v>
                </c:pt>
                <c:pt idx="5">
                  <c:v>0</c:v>
                </c:pt>
                <c:pt idx="6">
                  <c:v>57.5</c:v>
                </c:pt>
                <c:pt idx="7">
                  <c:v>57.5</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3143.66</c:v>
                </c:pt>
                <c:pt idx="1">
                  <c:v>3143.66</c:v>
                </c:pt>
                <c:pt idx="2">
                  <c:v>3111.81</c:v>
                </c:pt>
                <c:pt idx="3">
                  <c:v>3111.81</c:v>
                </c:pt>
                <c:pt idx="4">
                  <c:v>0</c:v>
                </c:pt>
                <c:pt idx="5">
                  <c:v>0</c:v>
                </c:pt>
                <c:pt idx="6">
                  <c:v>31.85</c:v>
                </c:pt>
                <c:pt idx="7">
                  <c:v>31.85</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3163.77</c:v>
                </c:pt>
                <c:pt idx="1">
                  <c:v>3163.77</c:v>
                </c:pt>
                <c:pt idx="2">
                  <c:v>3122.81</c:v>
                </c:pt>
                <c:pt idx="3">
                  <c:v>3122.81</c:v>
                </c:pt>
                <c:pt idx="4">
                  <c:v>0</c:v>
                </c:pt>
                <c:pt idx="5">
                  <c:v>0</c:v>
                </c:pt>
                <c:pt idx="6">
                  <c:v>40.96</c:v>
                </c:pt>
                <c:pt idx="7">
                  <c:v>40.96</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3143.66</c:v>
                </c:pt>
                <c:pt idx="1">
                  <c:v>3143.66</c:v>
                </c:pt>
                <c:pt idx="2">
                  <c:v>3111.81</c:v>
                </c:pt>
                <c:pt idx="3">
                  <c:v>3111.81</c:v>
                </c:pt>
                <c:pt idx="4">
                  <c:v>0</c:v>
                </c:pt>
                <c:pt idx="5">
                  <c:v>0</c:v>
                </c:pt>
                <c:pt idx="6">
                  <c:v>31.85</c:v>
                </c:pt>
                <c:pt idx="7">
                  <c:v>31.85</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45</Pages>
  <Words>9770</Words>
  <Characters>12900</Characters>
  <Lines>89</Lines>
  <Paragraphs>25</Paragraphs>
  <TotalTime>46</TotalTime>
  <ScaleCrop>false</ScaleCrop>
  <LinksUpToDate>false</LinksUpToDate>
  <CharactersWithSpaces>13319</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Administrator</cp:lastModifiedBy>
  <cp:lastPrinted>2026-10-08T08:51:00Z</cp:lastPrinted>
  <dcterms:modified xsi:type="dcterms:W3CDTF">2026-10-15T09:08:16Z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eyJoZGlkIjoiMWY3ZWRhYzVmZmE1YTExNmE5ZDRmN2FjNjdhMWFjNzUiLCJ1c2VySWQiOiI2NjY5NTM1NDYifQ==</vt:lpwstr>
  </property>
  <property fmtid="{D5CDD505-2E9C-101B-9397-08002B2CF9AE}" pid="3" name="KSOProductBuildVer">
    <vt:lpwstr>2052-11.1.0.9175</vt:lpwstr>
  </property>
  <property fmtid="{D5CDD505-2E9C-101B-9397-08002B2CF9AE}" pid="4" name="ICV">
    <vt:lpwstr>B21D18FB37274BA8A00E3C6917B1CC0E_12</vt:lpwstr>
  </property>
</Properties>
</file>