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xlsx" ContentType="application/vnd.openxmlformats-officedocument.spreadsheetml.sheet"/>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hint="eastAsia"/>
        </w:rPr>
        <w:drawing>
          <wp:anchor distT="0" distB="0" distL="114300" distR="114300" simplePos="0" relativeHeight="2" behindDoc="1" locked="0" layoutInCell="1" hidden="0" allowOverlap="1">
            <wp:simplePos x="0" y="0"/>
            <wp:positionH relativeFrom="column">
              <wp:posOffset>-887730</wp:posOffset>
            </wp:positionH>
            <wp:positionV relativeFrom="page">
              <wp:posOffset>-201295</wp:posOffset>
            </wp:positionV>
            <wp:extent cx="7569835" cy="10692130"/>
            <wp:effectExtent l="0" t="0" r="0" b="0"/>
            <wp:wrapNone/>
            <wp:docPr id="1" name="图片 4" descr="H:\稻壳儿相关资料\封面-非模\01.jpg01"/>
            <wp:cNvGraphicFramePr>
              <a:graphicFrameLocks noChangeAspect="1"/>
            </wp:cNvGraphicFramePr>
            <a:graphic>
              <a:graphicData uri="http://schemas.openxmlformats.org/drawingml/2006/picture">
                <pic:pic>
                  <pic:nvPicPr>
                    <pic:cNvPr id="3" name="图片 4 3"/>
                    <pic:cNvPicPr/>
                  </pic:nvPicPr>
                  <pic:blipFill>
                    <a:blip r:embed="rId3"/>
                    <a:stretch>
                      <a:fillRect/>
                    </a:stretch>
                  </pic:blipFill>
                  <pic:spPr>
                    <a:xfrm rot="0">
                      <a:off x="0" y="0"/>
                      <a:ext cx="7569835" cy="10692130"/>
                    </a:xfrm>
                    <a:prstGeom prst="rect"/>
                    <a:noFill/>
                    <a:ln w="9525" cmpd="sng" cap="flat">
                      <a:noFill/>
                      <a:prstDash val="solid"/>
                      <a:miter/>
                    </a:ln>
                  </pic:spPr>
                </pic:pic>
              </a:graphicData>
            </a:graphic>
          </wp:anchor>
        </w:drawing>
      </w:r>
      <w:r>
        <mc:AlternateContent>
          <mc:Choice Requires="wps">
            <w:drawing>
              <wp:anchor distT="0" distB="0" distL="114298" distR="114298" simplePos="0" relativeHeight="28" behindDoc="0" locked="0" layoutInCell="1" hidden="0" allowOverlap="1">
                <wp:simplePos x="0" y="0"/>
                <wp:positionH relativeFrom="column">
                  <wp:posOffset>-472440</wp:posOffset>
                </wp:positionH>
                <wp:positionV relativeFrom="paragraph">
                  <wp:posOffset>-17145</wp:posOffset>
                </wp:positionV>
                <wp:extent cx="6431279" cy="2862579"/>
                <wp:effectExtent l="0" t="0" r="0" b="0"/>
                <wp:wrapNone/>
                <wp:docPr id="4" name="文本框 1" descr="7b0a2020202022776f7264617274223a20227b5c2269645c223a32353030323136362c5c227469645c223a5c225c227d220a7d0a"/>
                <wp:cNvGraphicFramePr>
                  <a:graphicFrameLocks noChangeAspect="0"/>
                </wp:cNvGraphicFramePr>
                <a:graphic>
                  <a:graphicData uri="http://schemas.microsoft.com/office/word/2010/wordprocessingShape">
                    <wps:wsp>
                      <wps:cNvSpPr/>
                      <wps:spPr>
                        <a:xfrm rot="0">
                          <a:off x="0" y="0"/>
                          <a:ext cx="6431279" cy="2862579"/>
                        </a:xfrm>
                        <a:prstGeom prst="rect"/>
                        <a:noFill/>
                        <a:ln w="9525" cmpd="sng" cap="flat">
                          <a:noFill/>
                          <a:prstDash val="solid"/>
                          <a:round/>
                        </a:ln>
                      </wps:spPr>
                      <wps:txbx id="5">
                        <w:txbxContent>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202</w:t>
                            </w:r>
                            <w:r>
                              <w:rPr>
                                <w:rFonts w:ascii="微软雅黑" w:eastAsia="微软雅黑" w:cs="微软雅黑" w:hAnsi="微软雅黑" w:hint="eastAsia"/>
                                <w:b/>
                                <w:color w:val="FFFFFF"/>
                                <w:kern w:val="2"/>
                                <w:sz w:val="96"/>
                                <w:szCs w:val="96"/>
                                <w14:textFill>
                                  <w14:solidFill>
                                    <w14:srgbClr w14:val="FFFFFF"/>
                                  </w14:solidFill>
                                </w14:textFill>
                                <w:lang w:val="en-US" w:eastAsia="zh-CN" w:bidi="ar-SA"/>
                              </w:rPr>
                              <w:t>5</w:t>
                            </w:r>
                            <w:r>
                              <w:rPr>
                                <w:rFonts w:ascii="微软雅黑" w:eastAsia="微软雅黑" w:cs="微软雅黑" w:hAnsi="微软雅黑" w:hint="eastAsia"/>
                                <w:b/>
                                <w:color w:val="FFFFFF"/>
                                <w:kern w:val="2"/>
                                <w:sz w:val="96"/>
                                <w:szCs w:val="96"/>
                                <w14:textFill>
                                  <w14:solidFill>
                                    <w14:srgbClr w14:val="FFFFFF"/>
                                  </w14:solidFill>
                                </w14:textFill>
                                <w:lang w:bidi="ar-SA"/>
                              </w:rPr>
                              <w:t>年度</w:t>
                            </w:r>
                          </w:p>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部门决算公开文本</w:t>
                            </w:r>
                          </w:p>
                        </w:txbxContent>
                      </wps:txbx>
                      <wps:bodyPr vert="horz" wrap="square" lIns="91440" tIns="45720" rIns="91440" bIns="45720" anchor="t" anchorCtr="0" upright="1">
                        <a:noAutofit/>
                      </wps:bodyPr>
                    </wps:wsp>
                  </a:graphicData>
                </a:graphic>
              </wp:anchor>
            </w:drawing>
          </mc:Choice>
          <mc:Fallback>
            <w:pict>
              <v:shape type="#_x0000_t202" id="文本框 1 6" o:spid="_x0000_s6" filled="f" stroked="f" alt="7b0a2020202022776f7264617274223a20227b5c2269645c223a32353030323136362c5c227469645c223a5c225c227d220a7d0a" style="position:absolute;margin-left:-37.2pt;margin-top:-1.35pt;width:506.4pt;height:225.4pt;z-index:28;mso-position-horizontal:absolute;mso-position-vertical:absolute;mso-wrap-distance-left:8.999863pt;mso-wrap-distance-right:8.999863pt;mso-wrap-style:square;">
                <v:stroke color="#000000"/>
                <v:textbox id="849" inset="2.54mm,1.27mm,2.54mm,1.27mm" o:insetmode="custom" style="layout-flow:horizontal;v-text-anchor:top;">
                  <w:txbxContent>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202</w:t>
                      </w:r>
                      <w:r>
                        <w:rPr>
                          <w:rFonts w:ascii="微软雅黑" w:eastAsia="微软雅黑" w:cs="微软雅黑" w:hAnsi="微软雅黑" w:hint="eastAsia"/>
                          <w:b/>
                          <w:color w:val="FFFFFF"/>
                          <w:kern w:val="2"/>
                          <w:sz w:val="96"/>
                          <w:szCs w:val="96"/>
                          <w14:textFill>
                            <w14:solidFill>
                              <w14:srgbClr w14:val="FFFFFF"/>
                            </w14:solidFill>
                          </w14:textFill>
                          <w:lang w:val="en-US" w:eastAsia="zh-CN" w:bidi="ar-SA"/>
                        </w:rPr>
                        <w:t>5</w:t>
                      </w:r>
                      <w:r>
                        <w:rPr>
                          <w:rFonts w:ascii="微软雅黑" w:eastAsia="微软雅黑" w:cs="微软雅黑" w:hAnsi="微软雅黑" w:hint="eastAsia"/>
                          <w:b/>
                          <w:color w:val="FFFFFF"/>
                          <w:kern w:val="2"/>
                          <w:sz w:val="96"/>
                          <w:szCs w:val="96"/>
                          <w14:textFill>
                            <w14:solidFill>
                              <w14:srgbClr w14:val="FFFFFF"/>
                            </w14:solidFill>
                          </w14:textFill>
                          <w:lang w:bidi="ar-SA"/>
                        </w:rPr>
                        <w:t>年度</w:t>
                      </w:r>
                    </w:p>
                    <w:p>
                      <w:pPr>
                        <w:pStyle w:val="19"/>
                        <w:spacing w:before="0" w:beforeAutospacing="0" w:after="0" w:afterAutospacing="0" w:line="1400" w:lineRule="exact"/>
                        <w:ind w:left="0" w:right="0"/>
                        <w:jc w:val="left"/>
                        <w:rPr>
                          <w:rFonts w:ascii="微软雅黑" w:eastAsia="微软雅黑" w:cs="微软雅黑" w:hAnsi="微软雅黑" w:hint="eastAsia"/>
                          <w:b/>
                          <w:color w:val="FFFFFF"/>
                          <w:kern w:val="2"/>
                          <w:sz w:val="96"/>
                          <w:szCs w:val="96"/>
                          <w14:textFill>
                            <w14:solidFill>
                              <w14:srgbClr w14:val="FFFFFF"/>
                            </w14:solidFill>
                          </w14:textFill>
                          <w:lang w:bidi="ar-SA"/>
                        </w:rPr>
                      </w:pPr>
                      <w:r>
                        <w:rPr>
                          <w:rFonts w:ascii="微软雅黑" w:eastAsia="微软雅黑" w:cs="微软雅黑" w:hAnsi="微软雅黑" w:hint="eastAsia"/>
                          <w:b/>
                          <w:color w:val="FFFFFF"/>
                          <w:kern w:val="2"/>
                          <w:sz w:val="96"/>
                          <w:szCs w:val="96"/>
                          <w14:textFill>
                            <w14:solidFill>
                              <w14:srgbClr w14:val="FFFFFF"/>
                            </w14:solidFill>
                          </w14:textFill>
                          <w:lang w:bidi="ar-SA"/>
                        </w:rPr>
                        <w:t>部门决算公开文本</w:t>
                      </w:r>
                    </w:p>
                  </w:txbxContent>
                </v:textbox>
              </v:shape>
            </w:pict>
          </mc:Fallback>
        </mc:AlternateContent>
      </w: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spacing w:line="600" w:lineRule="auto"/>
        <w:jc w:val="both"/>
        <w:rPr>
          <w:rFonts w:ascii="楷体_GB2312" w:eastAsia="楷体_GB2312" w:cs="楷体_GB2312" w:hAnsi="楷体_GB2312" w:hint="eastAsia"/>
          <w:color w:val="000000"/>
          <w:sz w:val="40"/>
          <w:szCs w:val="40"/>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bookmarkStart w:id="0" w:name="_GoBack"/>
      <w:bookmarkEnd w:id="0"/>
    </w:p>
    <w:p>
      <w:pPr>
        <w:jc w:val="both"/>
        <w:rPr>
          <w:rFonts w:ascii="楷体_GB2312" w:eastAsia="楷体_GB2312" w:cs="楷体_GB2312" w:hAnsi="楷体_GB2312" w:hint="eastAsia"/>
          <w:b/>
          <w:bCs/>
          <w:color w:val="0D0D0D"/>
          <w:kern w:val="2"/>
          <w:sz w:val="48"/>
          <w:szCs w:val="56"/>
          <w14:textFill>
            <w14:solidFill>
              <w14:srgbClr w14:val="0D0D0D"/>
            </w14:solidFill>
          </w14:textFill>
        </w:rPr>
      </w:pP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ascii="楷体_GB2312" w:eastAsia="楷体_GB2312" w:cs="楷体_GB2312" w:hAnsi="楷体_GB2312" w:hint="eastAsia"/>
          <w:b/>
          <w:bCs/>
          <w:color w:val="0D0D0D"/>
          <w:kern w:val="2"/>
          <w:sz w:val="48"/>
          <w:szCs w:val="56"/>
          <w14:textFill>
            <w14:solidFill>
              <w14:srgbClr w14:val="0D0D0D"/>
            </w14:solidFill>
          </w14:textFill>
        </w:rPr>
        <w:t>中国共产党正定县委员会老干部局（本级）</w:t>
      </w:r>
    </w:p>
    <w:p>
      <w:pPr>
        <w:jc w:val="center"/>
        <w:rPr>
          <w:rFonts w:ascii="楷体_GB2312" w:eastAsia="楷体_GB2312" w:cs="楷体_GB2312" w:hAnsi="楷体_GB2312" w:hint="eastAsia"/>
          <w:b/>
          <w:bCs/>
          <w:color w:val="0D0D0D"/>
          <w:kern w:val="2"/>
          <w:sz w:val="48"/>
          <w:szCs w:val="56"/>
          <w14:textFill>
            <w14:solidFill>
              <w14:srgbClr w14:val="0D0D0D"/>
            </w14:solidFill>
          </w14:textFill>
        </w:rPr>
      </w:pPr>
      <w:r>
        <w:rPr>
          <w:rFonts w:ascii="楷体_GB2312" w:eastAsia="楷体_GB2312" w:cs="楷体_GB2312" w:hAnsi="楷体_GB2312" w:hint="eastAsia"/>
          <w:b/>
          <w:bCs/>
          <w:color w:val="0D0D0D"/>
          <w:kern w:val="2"/>
          <w:sz w:val="48"/>
          <w:szCs w:val="56"/>
          <w14:textFill>
            <w14:solidFill>
              <w14:srgbClr w14:val="0D0D0D"/>
            </w14:solidFill>
          </w14:textFill>
        </w:rPr>
        <w:t>预算代码：</w:t>
      </w:r>
      <w:r>
        <w:rPr>
          <w:rFonts w:ascii="楷体_GB2312" w:eastAsia="楷体_GB2312" w:cs="楷体_GB2312" w:hAnsi="楷体_GB2312" w:hint="eastAsia"/>
          <w:b/>
          <w:bCs/>
          <w:color w:val="0D0D0D"/>
          <w:kern w:val="2"/>
          <w:sz w:val="48"/>
          <w:szCs w:val="56"/>
          <w14:textFill>
            <w14:solidFill>
              <w14:srgbClr w14:val="0D0D0D"/>
            </w14:solidFill>
          </w14:textFill>
          <w:lang w:val="en-US" w:eastAsia="zh-CN"/>
        </w:rPr>
        <w:t>287001</w:t>
      </w:r>
    </w:p>
    <w:p>
      <w:pPr>
        <w:jc w:val="center"/>
        <w:rPr>
          <w:rFonts w:ascii="楷体_GB2312" w:eastAsia="楷体_GB2312" w:cs="楷体_GB2312" w:hAnsi="楷体_GB2312"/>
          <w:b/>
          <w:bCs/>
          <w:color w:val="0D0D0D"/>
          <w:sz w:val="48"/>
          <w:szCs w:val="56"/>
          <w14:textFill>
            <w14:solidFill>
              <w14:srgbClr w14:val="0D0D0D"/>
            </w14:solidFill>
          </w14:textFill>
        </w:rPr>
      </w:pPr>
    </w:p>
    <w:p>
      <w:pPr>
        <w:jc w:val="center"/>
        <w:rPr>
          <w:rFonts w:ascii="楷体_GB2312" w:eastAsia="楷体_GB2312" w:cs="楷体_GB2312" w:hAnsi="楷体_GB2312"/>
          <w:b/>
          <w:bCs/>
          <w:color w:val="0D0D0D"/>
          <w:sz w:val="48"/>
          <w:szCs w:val="56"/>
          <w14:textFill>
            <w14:solidFill>
              <w14:srgbClr w14:val="0D0D0D"/>
            </w14:solidFill>
          </w14:textFill>
        </w:rPr>
      </w:pPr>
      <w:r>
        <w:rPr>
          <w:rFonts w:ascii="楷体_GB2312" w:eastAsia="楷体_GB2312" w:cs="楷体_GB2312" w:hAnsi="楷体_GB2312" w:hint="eastAsia"/>
          <w:b/>
          <w:bCs/>
          <w:color w:val="0D0D0D"/>
          <w:sz w:val="48"/>
          <w:szCs w:val="56"/>
          <w14:textFill>
            <w14:solidFill>
              <w14:srgbClr w14:val="0D0D0D"/>
            </w14:solidFill>
          </w14:textFill>
        </w:rPr>
        <w:t>二〇二六年</w:t>
      </w:r>
      <w:r>
        <w:rPr>
          <w:rFonts w:ascii="楷体_GB2312" w:eastAsia="楷体_GB2312" w:cs="楷体_GB2312" w:hAnsi="楷体_GB2312" w:hint="eastAsia"/>
          <w:b/>
          <w:bCs/>
          <w:color w:val="0D0D0D"/>
          <w:sz w:val="48"/>
          <w:szCs w:val="56"/>
          <w14:textFill>
            <w14:solidFill>
              <w14:srgbClr w14:val="0D0D0D"/>
            </w14:solidFill>
          </w14:textFill>
          <w:lang w:eastAsia="zh-CN"/>
        </w:rPr>
        <w:t>十</w:t>
      </w:r>
      <w:r>
        <w:rPr>
          <w:rFonts w:ascii="楷体_GB2312" w:eastAsia="楷体_GB2312" w:cs="楷体_GB2312" w:hAnsi="楷体_GB2312" w:hint="eastAsia"/>
          <w:b/>
          <w:bCs/>
          <w:color w:val="0D0D0D"/>
          <w:sz w:val="48"/>
          <w:szCs w:val="56"/>
          <w14:textFill>
            <w14:solidFill>
              <w14:srgbClr w14:val="0D0D0D"/>
            </w14:solidFill>
          </w14:textFill>
        </w:rPr>
        <w:t>月</w:t>
      </w:r>
    </w:p>
    <w:p>
      <w:pPr>
        <w:spacing w:line="600" w:lineRule="auto"/>
        <w:jc w:val="both"/>
        <w:rPr>
          <w:rFonts w:ascii="楷体_GB2312" w:eastAsia="楷体_GB2312" w:cs="楷体_GB2312" w:hAnsi="楷体_GB2312" w:hint="eastAsia"/>
          <w:color w:val="000000"/>
          <w:sz w:val="40"/>
          <w:szCs w:val="40"/>
        </w:rPr>
        <w:sectPr>
          <w:footerReference w:type="default" r:id="rId2"/>
          <w:pgSz w:w="11906" w:h="16838"/>
          <w:pgMar w:top="2098" w:right="1417" w:bottom="1871" w:left="1417" w:header="851" w:footer="992" w:gutter="0"/>
          <w:docGrid w:type="lines" w:linePitch="312" w:charSpace="0"/>
        </w:sectPr>
      </w:pPr>
    </w:p>
    <w:p>
      <w:pPr>
        <w:spacing w:line="600" w:lineRule="auto"/>
        <w:jc w:val="center"/>
        <w:rPr>
          <w:rFonts w:ascii="楷体_GB2312" w:eastAsia="楷体_GB2312" w:cs="楷体_GB2312" w:hAnsi="楷体_GB2312" w:hint="eastAsia"/>
          <w:color w:val="000000"/>
          <w:sz w:val="40"/>
          <w:szCs w:val="40"/>
        </w:rPr>
      </w:pPr>
    </w:p>
    <w:p>
      <w:pPr>
        <w:rPr>
          <w:rFonts w:ascii="黑体" w:eastAsia="黑体" w:cs="黑体" w:hAnsi="黑体" w:hint="eastAsia"/>
          <w:b/>
          <w:bCs/>
          <w:sz w:val="32"/>
          <w:szCs w:val="36"/>
          <w:highlight w:val="yellow"/>
        </w:rPr>
      </w:pP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方正小标宋_GBK" w:hAnsi="Times New Roman"/>
          <w:b w:val="0"/>
          <w:sz w:val="72"/>
          <w:szCs w:val="72"/>
        </w:rPr>
        <w:t>中国共产党正定县委员会老干部局（本级）</w:t>
      </w:r>
    </w:p>
    <w:p>
      <w:pPr>
        <w:widowControl/>
        <w:spacing w:before="0" w:beforeAutospacing="0" w:after="0" w:afterAutospacing="0" w:line="360" w:lineRule="auto"/>
        <w:jc w:val="center"/>
        <w:rPr>
          <w:rFonts w:ascii="Times New Roman" w:eastAsia="方正小标宋_GBK" w:hAnsi="Times New Roman"/>
          <w:sz w:val="72"/>
          <w:szCs w:val="72"/>
        </w:rPr>
      </w:pPr>
      <w:r>
        <w:rPr>
          <w:rFonts w:ascii="Times New Roman" w:eastAsia="仿宋_GB2312" w:hAnsi="Times New Roman"/>
          <w:b w:val="0"/>
          <w:sz w:val="72"/>
          <w:szCs w:val="72"/>
        </w:rPr>
        <w:t>2025</w:t>
      </w:r>
      <w:r>
        <w:rPr>
          <w:rFonts w:ascii="Times New Roman" w:eastAsia="方正小标宋_GBK" w:hAnsi="Times New Roman"/>
          <w:b w:val="0"/>
          <w:sz w:val="72"/>
          <w:szCs w:val="72"/>
        </w:rPr>
        <w:t>年度部门决算公开文本</w:t>
      </w:r>
    </w:p>
    <w:p>
      <w:pPr>
        <w:spacing w:line="360" w:lineRule="auto"/>
        <w:jc w:val="center"/>
        <w:rPr>
          <w:rFonts w:ascii="黑体" w:eastAsia="黑体" w:cs="黑体" w:hAnsi="黑体"/>
          <w:sz w:val="56"/>
          <w:szCs w:val="72"/>
        </w:rPr>
      </w:pPr>
    </w:p>
    <w:p>
      <w:pPr>
        <w:spacing w:line="480" w:lineRule="auto"/>
        <w:jc w:val="both"/>
        <w:rPr>
          <w:rFonts w:ascii="黑体" w:eastAsia="黑体" w:cs="黑体" w:hAnsi="黑体"/>
          <w:sz w:val="56"/>
          <w:szCs w:val="72"/>
        </w:rPr>
      </w:pP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中国共产党正定县委员会老干部局（本级）</w:t>
      </w:r>
    </w:p>
    <w:p>
      <w:pPr>
        <w:widowControl/>
        <w:spacing w:before="0" w:beforeAutospacing="0" w:after="0" w:afterAutospacing="0" w:line="240" w:lineRule="auto"/>
        <w:jc w:val="center"/>
        <w:rPr>
          <w:rFonts w:ascii="Times New Roman" w:eastAsia="楷体_GB2312" w:hAnsi="Times New Roman"/>
          <w:sz w:val="44"/>
          <w:szCs w:val="44"/>
        </w:rPr>
      </w:pPr>
    </w:p>
    <w:p>
      <w:pPr>
        <w:widowControl/>
        <w:spacing w:before="0" w:beforeAutospacing="0" w:after="0" w:afterAutospacing="0" w:line="360" w:lineRule="auto"/>
        <w:jc w:val="center"/>
        <w:rPr>
          <w:rFonts w:ascii="Times New Roman" w:eastAsia="楷体_GB2312" w:hAnsi="Times New Roman"/>
          <w:sz w:val="44"/>
          <w:szCs w:val="44"/>
        </w:rPr>
      </w:pPr>
      <w:r>
        <w:rPr>
          <w:rFonts w:ascii="Times New Roman" w:eastAsia="楷体_GB2312" w:hAnsi="Times New Roman"/>
          <w:b w:val="0"/>
          <w:sz w:val="44"/>
          <w:szCs w:val="44"/>
        </w:rPr>
        <w:t>二〇二六年</w:t>
      </w:r>
      <w:r>
        <w:rPr>
          <w:rFonts w:ascii="Times New Roman" w:eastAsia="楷体_GB2312" w:hAnsi="Times New Roman" w:hint="eastAsia"/>
          <w:b w:val="0"/>
          <w:sz w:val="44"/>
          <w:szCs w:val="44"/>
          <w:lang w:eastAsia="zh-CN"/>
        </w:rPr>
        <w:t>十</w:t>
      </w:r>
      <w:r>
        <w:rPr>
          <w:rFonts w:ascii="Times New Roman" w:eastAsia="楷体_GB2312" w:hAnsi="Times New Roman"/>
          <w:b w:val="0"/>
          <w:sz w:val="44"/>
          <w:szCs w:val="44"/>
        </w:rPr>
        <w:t>月</w:t>
      </w:r>
    </w:p>
    <w:p>
      <w:pPr>
        <w:rPr>
          <w:rFonts w:ascii="楷体_GB2312" w:eastAsia="楷体_GB2312" w:cs="楷体_GB2312" w:hAnsi="楷体_GB2312" w:hint="eastAsia"/>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pPr>
      <w:r>
        <w:rPr>
          <w:rFonts w:ascii="楷体_GB2312" w:eastAsia="楷体_GB2312" w:cs="楷体_GB2312" w:hAnsi="楷体_GB2312"/>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br w:type="page"/>
      </w:r>
    </w:p>
    <w:p>
      <w:pPr>
        <w:snapToGrid w:val="0"/>
        <w:jc w:val="left"/>
        <w:rPr>
          <w:rFonts w:ascii="楷体_GB2312" w:eastAsia="楷体_GB2312" w:cs="楷体_GB2312" w:hAnsi="楷体_GB2312"/>
          <w:color w:val="000000"/>
          <w:kern w:val="0"/>
          <w:sz w:val="44"/>
          <w:szCs w:val="44"/>
          <w14:shadow w14:sx="100000" w14:sy="100000" w14:blurRad="38100" w14:dir="2700000" w14:dist="19050" w14:algn="tl">
            <w14:srgbClr w14:val="000000">
              <w14:alpha w14:val="60000"/>
            </w14:srgbClr>
          </w14:shadow>
          <w14:textFill>
            <w14:solidFill>
              <w14:srgbClr w14:val="000000"/>
            </w14:solidFill>
          </w14:textFill>
          <w:lang w:val="en-US" w:eastAsia="zh-CN"/>
        </w:rPr>
        <w:sectPr>
          <w:footerReference w:type="default" r:id="rId4"/>
          <w:pgSz w:w="11906" w:h="16838"/>
          <w:pgMar w:top="1531" w:right="1984" w:bottom="1531" w:left="2098" w:header="851" w:footer="992" w:gutter="0"/>
          <w:pgNumType w:start="1"/>
          <w:docGrid w:type="lines" w:linePitch="312" w:charSpace="0"/>
        </w:sect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目  录</w:t>
      </w:r>
    </w:p>
    <w:p>
      <w:pPr>
        <w:widowControl/>
        <w:spacing w:after="160" w:line="580" w:lineRule="exact"/>
        <w:ind w:firstLineChars="200" w:firstLine="640"/>
        <w:rPr>
          <w:rFonts w:ascii="Times New Roman" w:eastAsia="黑体" w:cs="Times New Roman" w:hAnsi="Times New Roman"/>
          <w:sz w:val="32"/>
          <w:szCs w:val="32"/>
        </w:rPr>
      </w:pP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第一部分单位概况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一、单位职责</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二、机构设置</w:t>
      </w:r>
    </w:p>
    <w:p>
      <w:pPr>
        <w:widowControl/>
        <w:spacing w:before="0" w:beforeAutospacing="0" w:after="0" w:afterAutospacing="0" w:line="360" w:lineRule="auto"/>
        <w:jc w:val="left"/>
        <w:outlineLvl w:val="0"/>
        <w:rPr>
          <w:rFonts w:ascii="Times New Roman" w:eastAsia="黑体" w:hAnsi="Times New Roman"/>
          <w:sz w:val="32"/>
          <w:szCs w:val="32"/>
        </w:rPr>
      </w:pPr>
      <w:r>
        <w:rPr>
          <w:rFonts w:ascii="Times New Roman" w:eastAsia="黑体" w:hAnsi="Times New Roman"/>
          <w:b w:val="0"/>
          <w:sz w:val="32"/>
          <w:szCs w:val="32"/>
        </w:rPr>
        <w:t>第二部分 2025年度部门决算报表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五、一般公共预算财政拨款支出决算表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六、一般公共预算财政拨款基本支出决算明细表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七、政府性基金预算财政拨款收入支出决算表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八、国有资本经营预算财政拨款支出决算表</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九、财政拨款“三公”经费支出决算表</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第三部分 2025年度部门决算情况说明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五、财政拨款“三公”经费支出决算情况说明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九、关于2025年度绩效评价情况的说明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十、其他需要说明的情况</w:t>
      </w:r>
    </w:p>
    <w:p>
      <w:pPr>
        <w:widowControl/>
        <w:spacing w:before="0" w:beforeAutospacing="0" w:after="0" w:afterAutospacing="0" w:line="360" w:lineRule="auto"/>
        <w:jc w:val="left"/>
        <w:rPr>
          <w:rFonts w:ascii="Times New Roman" w:eastAsia="黑体" w:hAnsi="Times New Roman"/>
          <w:sz w:val="32"/>
          <w:szCs w:val="32"/>
        </w:rPr>
      </w:pPr>
      <w:r>
        <w:rPr>
          <w:rFonts w:ascii="Times New Roman" w:eastAsia="黑体" w:hAnsi="Times New Roman"/>
          <w:b w:val="0"/>
          <w:sz w:val="32"/>
          <w:szCs w:val="32"/>
        </w:rPr>
        <w:t>第四部分 名词解释</w:t>
      </w:r>
    </w:p>
    <w:p>
      <w:pPr>
        <w:widowControl/>
        <w:spacing w:after="160" w:line="580" w:lineRule="exact"/>
        <w:rPr>
          <w:rFonts w:ascii="Times New Roman" w:eastAsia="黑体" w:cs="Times New Roman" w:hAnsi="Times New Roman" w:hint="eastAsia"/>
          <w:sz w:val="32"/>
          <w:szCs w:val="32"/>
          <w:lang w:val="en-US" w:eastAsia="zh-CN"/>
        </w:rPr>
        <w:sectPr>
          <w:headerReference w:type="default" r:id="rId5"/>
          <w:headerReference w:type="first" r:id="rId6"/>
          <w:footerReference w:type="default" r:id="rId7"/>
          <w:footerReference w:type="first" r:id="rId8"/>
          <w:pgSz w:w="11906" w:h="16838"/>
          <w:pgMar w:top="1474" w:right="1531" w:bottom="1474" w:left="1531" w:header="851" w:footer="992" w:gutter="0"/>
          <w:titlePg/>
          <w:docGrid w:type="lines" w:linePitch="312" w:charSpace="0"/>
        </w:sect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第一部分单位概况</w:t>
      </w: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both"/>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hd w:val="clear" w:color="auto" w:fill="FFFFFF"/>
        <w:spacing w:before="0" w:beforeAutospacing="0" w:after="0" w:afterAutospacing="0"/>
        <w:ind w:left="0" w:right="0" w:firstLine="0"/>
        <w:jc w:val="left"/>
        <w:outlineLvl w:val="1"/>
        <w:rPr>
          <w:rFonts w:ascii="黑体" w:eastAsia="黑体" w:cs="黑体" w:hAnsi="宋体" w:hint="eastAsia"/>
          <w:i w:val="0"/>
          <w:iCs w:val="0"/>
          <w:caps w:val="0"/>
          <w:smallCaps w:val="0"/>
          <w:color w:val="000000"/>
          <w:spacing w:val="0"/>
          <w:sz w:val="32"/>
          <w:szCs w:val="32"/>
          <w:shd w:val="clear" w:color="auto" w:fill="FFFFFF"/>
          <w:lang w:val="en-US" w:eastAsia="zh-CN"/>
          <w:highlight w:val="auto"/>
        </w:r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一、单位职责</w:t>
      </w:r>
    </w:p>
    <w:p>
      <w:pPr>
        <w:widowControl/>
        <w:spacing w:before="0" w:beforeAutospacing="0" w:after="0" w:afterAutospacing="0" w:line="360" w:lineRule="auto"/>
        <w:ind w:firstLineChars="200" w:firstLine="620"/>
        <w:jc w:val="left"/>
        <w:rPr>
          <w:rFonts w:ascii="Times New Roman" w:eastAsia="仿宋_GB2312" w:hAnsi="Times New Roman"/>
          <w:sz w:val="32"/>
          <w:szCs w:val="32"/>
        </w:rPr>
      </w:pPr>
      <w:r>
        <w:rPr>
          <w:rFonts w:ascii="仿宋" w:eastAsia="仿宋" w:cs="仿宋" w:hAnsi="仿宋" w:hint="eastAsia"/>
          <w:b w:val="0"/>
          <w:bCs w:val="0"/>
          <w:color w:val="000000"/>
          <w:sz w:val="31"/>
          <w:szCs w:val="31"/>
          <w:lang w:eastAsia="zh-CN"/>
        </w:rPr>
        <w:t>（一）</w:t>
      </w:r>
      <w:r>
        <w:rPr>
          <w:rFonts w:ascii="仿宋" w:eastAsia="仿宋" w:cs="仿宋" w:hAnsi="仿宋"/>
          <w:b w:val="0"/>
          <w:bCs w:val="0"/>
          <w:color w:val="000000"/>
          <w:sz w:val="31"/>
          <w:szCs w:val="31"/>
        </w:rPr>
        <w:t>全面贯彻加强党对离退休干部工作集中统一领导要求， 负责宣传贯彻落实党中央、国务院和省、市、县关于离退休干部 工作的方针政策；拟订或参与拟订全县离退休干部工作有关具体 规定和办法；总结宣传全县离退休干部工作和先进典型。 （二）负责指导、督促、检查各部门各单位离退休干部工作； 组织和协调有关部门做好离退休干部工作。 （三）负责督促检查各部门各单位落实离退休干部的政治和 生活待遇，督促组织做好走访慰问工作；督促检查离休干部“两 费”（离休费、医药费）落实情况；调查研究离退休干部政治和 生活待遇中存在的问题，协调有关部门提出解决办法。 （四）加强对全县离退休干部的政治引领和教育管理。配合 相关部门加强新形势下离退休干部党组织建设工作，研究做好离 退休干部思想政治工作的制度办法和措施。 （五）指导老干部活动中心等活动阵地建设与管理。 （六）指导各部门各单位组织离退休干部利用自身优势，在 政治、经济、文化和青少年教育等各领域发挥作用，增添正能量。 （七）了解离退休干部对医疗保健方面的意见和要求。组织 指导离退休干部开展健康科学的文化健身、保健讲座、参观学习 等活动。 （八）负责易地安置离休干部服务管理工作。（九）指导逝世老干部的善后工作，协助承办县委交办的丧 葬事宜。 （十）承担县老干部工作领导小组、县关心下一代工作委员 会的日常工作。 （十一）完成县委交办的其他任务。</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二、机构设置</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从决算编报单位构成看，纳入2025年度本部门决算汇编范围的独立核算单位（以下简称“单位”）共</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个，具体情况如下：</w:t>
      </w:r>
    </w:p>
    <w:tbl>
      <w:tblPr>
        <w:tblpPr w:leftFromText="180" w:rightFromText="180" w:vertAnchor="text" w:horzAnchor="page" w:tblpXSpec="center" w:tblpY="10"/>
        <w:tblOverlap w:val="never"/>
        <w:tblW w:w="9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985"/>
        <w:gridCol w:w="3485"/>
        <w:gridCol w:w="2445"/>
        <w:gridCol w:w="2665"/>
      </w:tblGrid>
      <w:tr>
        <w:trPr>
          <w:trHeight w:val="811"/>
        </w:trPr>
        <w:tc>
          <w:tcPr>
            <w:tcW w:w="9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序号</w:t>
            </w:r>
          </w:p>
        </w:tc>
        <w:tc>
          <w:tcPr>
            <w:tcW w:w="348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单位名称</w:t>
            </w:r>
          </w:p>
        </w:tc>
        <w:tc>
          <w:tcPr>
            <w:tcW w:w="244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单位基本性质</w:t>
            </w:r>
          </w:p>
        </w:tc>
        <w:tc>
          <w:tcPr>
            <w:tcW w:w="2665" w:type="dxa"/>
            <w:vAlign w:val="center"/>
          </w:tcPr>
          <w:p>
            <w:pPr>
              <w:spacing w:line="560" w:lineRule="exact"/>
              <w:jc w:val="center"/>
              <w:rPr>
                <w:rFonts w:ascii="仿宋_GB2312" w:eastAsia="仿宋_GB2312" w:cs="ArialUnicodeMS" w:hAnsi="Calibri"/>
                <w:b/>
                <w:bCs/>
                <w:kern w:val="0"/>
                <w:sz w:val="28"/>
                <w:szCs w:val="28"/>
              </w:rPr>
            </w:pPr>
            <w:r>
              <w:rPr>
                <w:rFonts w:ascii="仿宋_GB2312" w:eastAsia="仿宋_GB2312" w:cs="ArialUnicodeMS" w:hAnsi="Calibri" w:hint="eastAsia"/>
                <w:b/>
                <w:bCs/>
                <w:kern w:val="0"/>
                <w:sz w:val="28"/>
                <w:szCs w:val="28"/>
              </w:rPr>
              <w:t>经费形式</w:t>
            </w:r>
          </w:p>
        </w:tc>
      </w:tr>
      <w:tr>
        <w:trPr>
          <w:trHeight w:val="596"/>
        </w:trPr>
        <w:tc>
          <w:tcPr>
            <w:tcW w:w="9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1</w:t>
            </w:r>
          </w:p>
        </w:tc>
        <w:tc>
          <w:tcPr>
            <w:tcW w:w="348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中国共产党正定县委员会老干部局（本级）</w:t>
            </w:r>
          </w:p>
        </w:tc>
        <w:tc>
          <w:tcPr>
            <w:tcW w:w="244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rPr>
              <w:t>行政单位</w:t>
            </w:r>
          </w:p>
        </w:tc>
        <w:tc>
          <w:tcPr>
            <w:tcW w:w="2665" w:type="dxa"/>
            <w:tcBorders>
              <w:top w:val="single" w:sz="4" w:space="0" w:color="auto"/>
              <w:left w:val="single" w:sz="4" w:space="0" w:color="auto"/>
              <w:right w:val="single" w:sz="4" w:space="0" w:color="auto"/>
            </w:tcBorders>
          </w:tcPr>
          <w:p>
            <w:pPr>
              <w:spacing w:line="560" w:lineRule="exact"/>
              <w:jc w:val="center"/>
              <w:rPr>
                <w:rFonts w:ascii="仿宋_GB2312" w:eastAsia="仿宋_GB2312" w:cs="ArialUnicodeMS" w:hAnsi="Calibri"/>
                <w:kern w:val="0"/>
                <w:sz w:val="28"/>
                <w:szCs w:val="28"/>
              </w:rPr>
            </w:pPr>
            <w:r>
              <w:rPr>
                <w:rFonts w:ascii="仿宋_GB2312" w:eastAsia="仿宋_GB2312" w:cs="ArialUnicodeMS" w:hAnsi="Calibri" w:hint="eastAsia"/>
                <w:kern w:val="0"/>
                <w:sz w:val="28"/>
                <w:szCs w:val="28"/>
                <w:lang w:val="en-US" w:eastAsia="zh-CN"/>
              </w:rPr>
              <w:t>财政拨款</w:t>
            </w:r>
          </w:p>
        </w:tc>
      </w:tr>
    </w:tbl>
    <w:p>
      <w:pPr>
        <w:rPr>
          <w:rFonts w:ascii="Times New Roman" w:eastAsia="黑体" w:cs="Times New Roman" w:hAnsi="Times New Roman" w:hint="eastAsia"/>
          <w:sz w:val="32"/>
          <w:szCs w:val="32"/>
          <w:highlight w:val="yellow"/>
        </w:rPr>
      </w:pPr>
      <w:r>
        <w:rPr>
          <w:rFonts w:ascii="Times New Roman" w:eastAsia="黑体" w:cs="Times New Roman" w:hAnsi="Times New Roman" w:hint="eastAsia"/>
          <w:sz w:val="32"/>
          <w:szCs w:val="32"/>
          <w:highlight w:val="yellow"/>
        </w:rPr>
        <w:br w:type="page"/>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第二部分</w:t>
      </w:r>
      <w:r>
        <w:rPr>
          <w:rFonts w:ascii="Times New Roman" w:eastAsia="仿宋_GB2312" w:hAnsi="Times New Roman"/>
          <w:b w:val="0"/>
          <w:sz w:val="44"/>
          <w:szCs w:val="44"/>
        </w:rPr>
        <w:t>2025</w:t>
      </w:r>
      <w:r>
        <w:rPr>
          <w:rFonts w:ascii="Times New Roman" w:eastAsia="黑体" w:hAnsi="Times New Roman"/>
          <w:b w:val="0"/>
          <w:sz w:val="44"/>
          <w:szCs w:val="44"/>
        </w:rPr>
        <w:t>年度部门决算表</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0"/>
        <w:rPr>
          <w:rFonts w:ascii="黑体" w:eastAsia="黑体" w:cs="黑体" w:hAnsi="宋体" w:hint="eastAsia"/>
          <w:i w:val="0"/>
          <w:iCs w:val="0"/>
          <w:caps w:val="0"/>
          <w:smallCaps w:val="0"/>
          <w:color w:val="000000"/>
          <w:spacing w:val="0"/>
          <w:sz w:val="72"/>
          <w:szCs w:val="72"/>
          <w:shd w:val="clear" w:color="auto" w:fill="FFFFFF"/>
          <w:lang w:val="en-US" w:eastAsia="zh-CN"/>
          <w:highlight w:val="auto"/>
        </w:rPr>
      </w:pPr>
    </w:p>
    <w:p>
      <w:pPr>
        <w:bidi w:val="0"/>
        <w:rPr>
          <w:lang w:val="en-US" w:eastAsia="zh-CN"/>
        </w:rPr>
      </w:pPr>
    </w:p>
    <w:p>
      <w:pPr>
        <w:bidi w:val="0"/>
        <w:rPr>
          <w:lang w:val="en-US" w:eastAsia="zh-CN"/>
        </w:rPr>
      </w:pPr>
    </w:p>
    <w:tbl>
      <w:tblPr>
        <w:jc w:val="left"/>
        <w:tblInd w:w="-1817" w:type="dxa"/>
        <w:tblW w:w="1165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rPr>
          <w:trHeight w:val="361"/>
          <w:gridAfter w:val="1"/>
          <w:wAfter w:w="34" w:type="dxa"/>
        </w:trPr>
        <w:tc>
          <w:tcPr>
            <w:tcW w:w="11625" w:type="dxa"/>
            <w:gridSpan w:val="8"/>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收入支出决算总表</w:t>
            </w:r>
          </w:p>
        </w:tc>
      </w:tr>
      <w:tr>
        <w:trPr>
          <w:trHeight w:val="357"/>
          <w:gridAfter w:val="1"/>
          <w:wAfter w:w="34" w:type="dxa"/>
        </w:trPr>
        <w:tc>
          <w:tcPr>
            <w:tcW w:w="11625" w:type="dxa"/>
            <w:gridSpan w:val="8"/>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公开</w:t>
            </w:r>
            <w:r>
              <w:rPr>
                <w:rFonts w:ascii="Times New Roman" w:eastAsia="宋体" w:cs="Times New Roman" w:hAnsi="Times New Roman" w:hint="eastAsia"/>
                <w:i w:val="0"/>
                <w:iCs w:val="0"/>
                <w:color w:val="000000"/>
                <w:sz w:val="20"/>
                <w:szCs w:val="20"/>
                <w:u w:val="none"/>
                <w:lang w:val="en-US" w:eastAsia="zh-CN"/>
                <w:highlight w:val="auto"/>
              </w:rPr>
              <w:t>01</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51"/>
          <w:gridAfter w:val="1"/>
          <w:wAfter w:w="34" w:type="dxa"/>
        </w:trPr>
        <w:tc>
          <w:tcPr>
            <w:tcW w:w="4581" w:type="dxa"/>
            <w:gridSpan w:val="3"/>
            <w:tcBorders>
              <w:top w:val="nil"/>
              <w:left w:val="nil"/>
              <w:bottom w:val="single" w:sz="8" w:space="0" w:color="000000"/>
              <w:right w:val="nil"/>
            </w:tcBorders>
            <w:vAlign w:val="bottom"/>
          </w:tcPr>
          <w:p>
            <w:pPr>
              <w:jc w:val="both"/>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部门（单位）：中国共产党正定县委员会老干部局（本级）</w:t>
            </w:r>
          </w:p>
        </w:tc>
        <w:tc>
          <w:tcPr>
            <w:tcW w:w="2945" w:type="dxa"/>
            <w:gridSpan w:val="2"/>
            <w:tcBorders>
              <w:top w:val="nil"/>
              <w:left w:val="nil"/>
              <w:bottom w:val="single" w:sz="8" w:space="0" w:color="000000"/>
              <w:right w:val="nil"/>
            </w:tcBorders>
            <w:vAlign w:val="bottom"/>
          </w:tcPr>
          <w:p>
            <w:pPr>
              <w:jc w:val="center"/>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hint="eastAsia"/>
                <w:i w:val="0"/>
                <w:iCs w:val="0"/>
                <w:color w:val="000000"/>
                <w:sz w:val="20"/>
                <w:szCs w:val="20"/>
                <w:u w:val="none"/>
                <w:lang w:val="en-US" w:eastAsia="zh-CN"/>
                <w:highlight w:val="auto"/>
              </w:rPr>
              <w:t>2025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4099" w:type="dxa"/>
            <w:gridSpan w:val="3"/>
            <w:tcBorders>
              <w:top w:val="nil"/>
              <w:left w:val="nil"/>
              <w:bottom w:val="single" w:sz="8" w:space="0" w:color="000000"/>
              <w:right w:val="nil"/>
            </w:tcBorders>
            <w:vAlign w:val="bottom"/>
          </w:tcPr>
          <w:p>
            <w:pPr>
              <w:jc w:val="right"/>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44"/>
          <w:gridAfter w:val="1"/>
          <w:wAfter w:w="34" w:type="dxa"/>
        </w:trPr>
        <w:tc>
          <w:tcPr>
            <w:tcW w:w="5735"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收入</w:t>
            </w:r>
          </w:p>
        </w:tc>
        <w:tc>
          <w:tcPr>
            <w:tcW w:w="5890"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支出</w:t>
            </w:r>
          </w:p>
        </w:tc>
      </w:tr>
      <w:tr>
        <w:trPr>
          <w:trHeight w:val="308"/>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决算数</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21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决算数</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Times New Roman" w:eastAsia="宋体" w:cs="Times New Roman" w:hAnsi="Times New Roman" w:hint="eastAsia"/>
                <w:i w:val="0"/>
                <w:iCs w:val="0"/>
                <w:color w:val="000000"/>
                <w:sz w:val="20"/>
                <w:szCs w:val="20"/>
                <w:u w:val="none"/>
                <w:lang w:val="en-US" w:eastAsia="zh-CN"/>
                <w:highlight w:val="auto"/>
              </w:rPr>
              <w:t>1</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675"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21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Times New Roman" w:eastAsia="宋体" w:cs="Times New Roman" w:hAnsi="Times New Roman" w:hint="eastAsia"/>
                <w:i w:val="0"/>
                <w:iCs w:val="0"/>
                <w:color w:val="000000"/>
                <w:sz w:val="20"/>
                <w:szCs w:val="20"/>
                <w:u w:val="none"/>
                <w:lang w:val="en-US" w:eastAsia="zh-CN"/>
                <w:highlight w:val="auto"/>
              </w:rPr>
              <w:t>2</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宋体" w:eastAsia="宋体" w:cs="宋体" w:hAnsi="宋体"/>
                <w:i w:val="0"/>
                <w:iCs w:val="0"/>
                <w:color w:val="000000"/>
                <w:sz w:val="20"/>
                <w:szCs w:val="20"/>
                <w:u w:val="none"/>
                <w:lang w:val="en-US" w:eastAsia="zh-CN"/>
                <w:highlight w:val="auto"/>
              </w:rPr>
              <w:t>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一、一般公共服务支出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347.89</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二、外交支出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三、国防支出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四、上级补助收入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四、公共安全支出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五、事业收入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五、教育支出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六、经营收入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六、科学技术支出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七、附属单位上缴收入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七、文化旅游体育与传媒支出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八、其他收入</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八、社会保障和就业支出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65.97</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九、卫生健康支出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40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7.51</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十、节能环保支出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十一、城乡社区支出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十二、农林水支出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539"/>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十三、交通运输支出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81"/>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十四、资源勘探工业信息等支出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780"/>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十五、商业服务业等支出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90"/>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十六、金融支出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十七、援助其他地区支出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539"/>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十八、自然资源海洋气象等支出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49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十九、住房保障支出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50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12.69</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二十、粮油物资储备支出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二十一、国有资本经营预算支出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22</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二十二、灾害防治及应急管理支出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53</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23</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二十三、其他支出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54</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24</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二十四、债务还本支出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55</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25</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二十五、债务付息支出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56</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26</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二十六、抗疫特别国债安排的支出</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57</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本年收入合计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27</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本年支出合计</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58</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使用非财政拨款结余（含专用结余）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28</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结余分配</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59</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29</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年末结转和结余</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60</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76"/>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30</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pP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61</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gridAfter w:val="1"/>
          <w:wAfter w:w="34" w:type="dxa"/>
        </w:trPr>
        <w:tc>
          <w:tcPr>
            <w:tcW w:w="33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31</w:t>
            </w:r>
          </w:p>
        </w:tc>
        <w:tc>
          <w:tcPr>
            <w:tcW w:w="176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3091"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75"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highlight w:val="auto"/>
              </w:rPr>
            </w:pPr>
            <w:r>
              <w:rPr>
                <w:rFonts w:ascii="Times New Roman" w:eastAsia="宋体" w:cs="Times New Roman" w:hAnsi="Times New Roman"/>
                <w:i w:val="0"/>
                <w:iCs w:val="0"/>
                <w:color w:val="000000"/>
                <w:kern w:val="0"/>
                <w:sz w:val="20"/>
                <w:szCs w:val="20"/>
                <w:u w:val="none"/>
                <w:lang w:val="en-US" w:eastAsia="zh-CN"/>
                <w:highlight w:val="auto"/>
              </w:rPr>
              <w:t>62</w:t>
            </w:r>
          </w:p>
        </w:tc>
        <w:tc>
          <w:tcPr>
            <w:tcW w:w="212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r>
      <w:tr>
        <w:trPr>
          <w:trHeight w:val="308"/>
        </w:trPr>
        <w:tc>
          <w:tcPr>
            <w:tcW w:w="11659" w:type="dxa"/>
            <w:gridSpan w:val="9"/>
            <w:tcBorders>
              <w:top w:val="nil"/>
              <w:left w:val="nil"/>
              <w:bottom w:val="nil"/>
              <w:right w:val="nil"/>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注：1.本表反映部门本年度的总收支和年末结转结余情况。</w:t>
            </w:r>
          </w:p>
          <w:p>
            <w:pPr>
              <w:keepNext w:val="0"/>
              <w:keepLines w:val="0"/>
              <w:widowControl/>
              <w:suppressLineNumbers w:val="0"/>
              <w:ind w:firstLineChars="200" w:firstLine="40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923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rPr>
          <w:trHeight w:val="550"/>
        </w:trPr>
        <w:tc>
          <w:tcPr>
            <w:tcW w:w="9230" w:type="dxa"/>
            <w:gridSpan w:val="10"/>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收入决算表</w:t>
            </w:r>
          </w:p>
        </w:tc>
      </w:tr>
      <w:tr>
        <w:trPr>
          <w:trHeight w:val="300"/>
        </w:trPr>
        <w:tc>
          <w:tcPr>
            <w:tcW w:w="9230" w:type="dxa"/>
            <w:gridSpan w:val="10"/>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hint="eastAsia"/>
                <w:i w:val="0"/>
                <w:iCs w:val="0"/>
                <w:color w:val="000000"/>
                <w:sz w:val="20"/>
                <w:szCs w:val="20"/>
                <w:u w:val="none"/>
                <w:lang w:val="en-US" w:eastAsia="zh-CN"/>
                <w:highlight w:val="auto"/>
              </w:rPr>
              <w:t>02</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237" w:type="dxa"/>
            <w:gridSpan w:val="3"/>
            <w:tcBorders>
              <w:top w:val="nil"/>
              <w:left w:val="nil"/>
              <w:bottom w:val="single" w:sz="8" w:space="0" w:color="000000"/>
              <w:right w:val="nil"/>
            </w:tcBorders>
            <w:vAlign w:val="bottom"/>
          </w:tcPr>
          <w:p>
            <w:pP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部门（单位）：中国共产党正定县委员会老干部局（本级）                                                                                                         </w:t>
            </w:r>
          </w:p>
        </w:tc>
        <w:tc>
          <w:tcPr>
            <w:tcW w:w="3405" w:type="dxa"/>
            <w:gridSpan w:val="4"/>
            <w:tcBorders>
              <w:top w:val="nil"/>
              <w:left w:val="nil"/>
              <w:bottom w:val="single" w:sz="8" w:space="0" w:color="000000"/>
              <w:right w:val="nil"/>
            </w:tcBorders>
            <w:vAlign w:val="bottom"/>
          </w:tcPr>
          <w:p>
            <w:pPr>
              <w:jc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Times New Roman" w:eastAsia="方正仿宋_GB2312" w:cs="Times New Roman" w:hAnsi="Times New Roman"/>
                <w:i w:val="0"/>
                <w:iCs w:val="0"/>
                <w:color w:val="000000"/>
                <w:sz w:val="20"/>
                <w:szCs w:val="20"/>
                <w:u w:val="none"/>
                <w:lang w:val="en-US" w:eastAsia="zh-CN"/>
                <w:highlight w:val="auto"/>
              </w:rPr>
              <w:t>202</w:t>
            </w:r>
            <w:r>
              <w:rPr>
                <w:rFonts w:ascii="Times New Roman" w:eastAsia="方正仿宋_GB2312" w:cs="Times New Roman" w:hAnsi="Times New Roman" w:hint="eastAsia"/>
                <w:i w:val="0"/>
                <w:iCs w:val="0"/>
                <w:color w:val="00000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2588" w:type="dxa"/>
            <w:gridSpan w:val="3"/>
            <w:tcBorders>
              <w:top w:val="nil"/>
              <w:left w:val="nil"/>
              <w:bottom w:val="single" w:sz="8" w:space="0" w:color="000000"/>
              <w:right w:val="nil"/>
            </w:tcBorders>
            <w:vAlign w:val="bottom"/>
          </w:tcPr>
          <w:p>
            <w:pPr>
              <w:jc w:val="right"/>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10"/>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本年收入合计</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财政拨款收入</w:t>
            </w:r>
          </w:p>
        </w:tc>
        <w:tc>
          <w:tcPr>
            <w:tcW w:w="103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上级补助收入</w:t>
            </w:r>
          </w:p>
        </w:tc>
        <w:tc>
          <w:tcPr>
            <w:tcW w:w="96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事业收入</w:t>
            </w:r>
          </w:p>
        </w:tc>
        <w:tc>
          <w:tcPr>
            <w:tcW w:w="964"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经营收入</w:t>
            </w:r>
          </w:p>
        </w:tc>
        <w:tc>
          <w:tcPr>
            <w:tcW w:w="10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附属单位上缴收入</w:t>
            </w:r>
          </w:p>
        </w:tc>
        <w:tc>
          <w:tcPr>
            <w:tcW w:w="96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其他收入</w:t>
            </w:r>
          </w:p>
        </w:tc>
      </w:tr>
      <w:tr>
        <w:trPr>
          <w:trHeight w:val="312"/>
        </w:trPr>
        <w:tc>
          <w:tcPr>
            <w:tcW w:w="1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16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60"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60"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103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c>
          <w:tcPr>
            <w:tcW w:w="964"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964" w:type="dxa"/>
            <w:vMerge/>
            <w:tcBorders>
              <w:top w:val="single" w:sz="8" w:space="0" w:color="000000"/>
              <w:left w:val="single" w:sz="8" w:space="0" w:color="000000"/>
              <w:bottom w:val="single" w:sz="8" w:space="0" w:color="000000"/>
              <w:right w:val="single" w:sz="8" w:space="0" w:color="000000"/>
            </w:tcBorders>
            <w:vAlign w:val="center"/>
          </w:tcPr>
          <w:p/>
        </w:tc>
      </w:tr>
      <w:tr>
        <w:trPr>
          <w:trHeight w:val="454"/>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1</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2</w:t>
            </w:r>
          </w:p>
        </w:tc>
        <w:tc>
          <w:tcPr>
            <w:tcW w:w="103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3</w:t>
            </w:r>
          </w:p>
        </w:tc>
        <w:tc>
          <w:tcPr>
            <w:tcW w:w="96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i w:val="0"/>
                <w:iCs w:val="0"/>
                <w:color w:val="000000"/>
                <w:sz w:val="20"/>
                <w:szCs w:val="20"/>
                <w:u w:val="none"/>
                <w:lang w:val="en-US" w:eastAsia="zh-CN"/>
                <w:highlight w:val="auto"/>
              </w:rPr>
            </w:pPr>
            <w:r>
              <w:rPr>
                <w:rFonts w:ascii="宋体" w:eastAsia="宋体" w:cs="宋体" w:hAnsi="宋体" w:hint="eastAsia"/>
                <w:i w:val="0"/>
                <w:iCs w:val="0"/>
                <w:color w:val="000000"/>
                <w:sz w:val="20"/>
                <w:szCs w:val="20"/>
                <w:u w:val="none"/>
                <w:lang w:val="en-US" w:eastAsia="zh-CN"/>
                <w:highlight w:val="auto"/>
              </w:rPr>
              <w:t>4</w:t>
            </w: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5</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6</w:t>
            </w:r>
          </w:p>
        </w:tc>
        <w:tc>
          <w:tcPr>
            <w:tcW w:w="96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7</w:t>
            </w:r>
          </w:p>
        </w:tc>
      </w:tr>
      <w:tr>
        <w:trPr>
          <w:trHeight w:val="567"/>
        </w:trPr>
        <w:tc>
          <w:tcPr>
            <w:tcW w:w="220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highlight w:val="auto"/>
              </w:rPr>
              <w:t>434.06</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highlight w:val="auto"/>
              </w:rPr>
              <w:t>434.06</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一般公共服务支出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347.89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347.89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其他共产党事务支出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347.89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347.89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行政运行</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344.53</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344.53</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2013699</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其他共产党事务支出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3.36</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3.36</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社会保障和就业支出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65.97</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65.97</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行政事业单位养老支出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65.97</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65.97</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行政单位离退休</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50.08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50.08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2080503</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离退休人员管理机构</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0.90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0.90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2080505</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机关事业单位基本养老保险缴费支出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15.00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15.00</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卫生健康支出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行政事业单位医疗</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7.51</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行政单位医疗</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4.98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4.98</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2101103</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公务员医疗补助</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2.53</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2.53</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住房保障支出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12.69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12.69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22102</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住房改革支出</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12.69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12.69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Times New Roman" w:eastAsia="方正仿宋_GB2312" w:cs="Times New Roman" w:hAnsi="Times New Roman"/>
                <w:spacing w:val="-2"/>
                <w:sz w:val="20"/>
                <w:szCs w:val="20"/>
                <w:lang w:val="en-US" w:eastAsia="zh-CN"/>
              </w:rPr>
              <w:t>2210201</w:t>
            </w:r>
          </w:p>
        </w:tc>
        <w:tc>
          <w:tcPr>
            <w:tcW w:w="116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kern w:val="0"/>
                <w:sz w:val="20"/>
                <w:szCs w:val="20"/>
                <w:u w:val="none"/>
                <w:lang w:val="en-US" w:eastAsia="zh-CN" w:bidi="ar-SA"/>
                <w:highlight w:val="auto"/>
              </w:rPr>
            </w:pPr>
            <w:r>
              <w:rPr>
                <w:rFonts w:ascii="方正仿宋_GB2312" w:eastAsia="方正仿宋_GB2312" w:cs="方正仿宋_GB2312" w:hAnsi="方正仿宋_GB2312" w:hint="eastAsia"/>
                <w:spacing w:val="-2"/>
                <w:sz w:val="20"/>
                <w:szCs w:val="20"/>
                <w:lang w:val="en-US" w:eastAsia="zh-CN"/>
              </w:rPr>
              <w:t>住房公积金</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12.69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r>
              <w:rPr>
                <w:rFonts w:ascii="Times New Roman" w:eastAsia="宋体" w:cs="Times New Roman" w:hAnsi="Times New Roman"/>
                <w:spacing w:val="-2"/>
                <w:sz w:val="20"/>
                <w:szCs w:val="20"/>
                <w:lang w:val="en-US" w:eastAsia="zh-CN"/>
              </w:rPr>
              <w:t>12.69</w:t>
            </w:r>
          </w:p>
        </w:tc>
        <w:tc>
          <w:tcPr>
            <w:tcW w:w="103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c>
          <w:tcPr>
            <w:tcW w:w="96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kern w:val="0"/>
                <w:sz w:val="20"/>
                <w:szCs w:val="20"/>
                <w:u w:val="none"/>
                <w:lang w:val="en-US" w:eastAsia="zh-CN" w:bidi="ar-SA"/>
                <w:highlight w:val="auto"/>
              </w:rPr>
            </w:pPr>
          </w:p>
        </w:tc>
      </w:tr>
      <w:tr>
        <w:trPr>
          <w:trHeight w:val="308"/>
        </w:trPr>
        <w:tc>
          <w:tcPr>
            <w:tcW w:w="9230" w:type="dxa"/>
            <w:gridSpan w:val="10"/>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黑体" w:eastAsia="黑体" w:cs="宋体" w:hAnsi="黑体" w:hint="eastAsia"/>
          <w:bCs/>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934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rPr>
          <w:trHeight w:val="550"/>
        </w:trPr>
        <w:tc>
          <w:tcPr>
            <w:tcW w:w="9346" w:type="dxa"/>
            <w:gridSpan w:val="10"/>
            <w:tcBorders>
              <w:top w:val="nil"/>
              <w:left w:val="nil"/>
              <w:bottom w:val="nil"/>
              <w:right w:val="nil"/>
            </w:tcBorders>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br w:type="page"/>
              <w:t>支出决算表</w:t>
            </w:r>
          </w:p>
        </w:tc>
      </w:tr>
      <w:tr>
        <w:trPr>
          <w:trHeight w:val="300"/>
        </w:trPr>
        <w:tc>
          <w:tcPr>
            <w:tcW w:w="9346" w:type="dxa"/>
            <w:gridSpan w:val="10"/>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i w:val="0"/>
                <w:iCs w:val="0"/>
                <w:color w:val="000000"/>
                <w:kern w:val="0"/>
                <w:sz w:val="20"/>
                <w:szCs w:val="20"/>
                <w:u w:val="none"/>
                <w:lang w:val="en-US" w:eastAsia="zh-CN"/>
                <w:highlight w:val="auto"/>
              </w:rPr>
              <w:t>03</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481" w:type="dxa"/>
            <w:gridSpan w:val="4"/>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部门（单位）：中国共产党正定县委员会老干部局（本级） </w:t>
            </w:r>
            <w:r>
              <w:rPr>
                <w:rFonts w:ascii="宋体" w:eastAsia="宋体" w:cs="宋体" w:hint="eastAsia"/>
                <w:i w:val="0"/>
                <w:iCs w:val="0"/>
                <w:color w:val="000000"/>
                <w:kern w:val="0"/>
                <w:sz w:val="20"/>
                <w:szCs w:val="20"/>
                <w:u w:val="none"/>
                <w:lang w:val="en-US" w:eastAsia="zh-CN"/>
                <w:highlight w:val="auto"/>
              </w:rPr>
              <w:t xml:space="preserve">                                                                                                         </w:t>
            </w:r>
          </w:p>
        </w:tc>
        <w:tc>
          <w:tcPr>
            <w:tcW w:w="2623"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int="eastAsia"/>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242"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金额单位：万元</w:t>
            </w:r>
          </w:p>
        </w:tc>
      </w:tr>
      <w:tr>
        <w:trPr>
          <w:trHeight w:val="510"/>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128"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本年支出合计</w:t>
            </w:r>
          </w:p>
        </w:tc>
        <w:tc>
          <w:tcPr>
            <w:tcW w:w="1126"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11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c>
          <w:tcPr>
            <w:tcW w:w="1126"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上缴上级支出</w:t>
            </w:r>
          </w:p>
        </w:tc>
        <w:tc>
          <w:tcPr>
            <w:tcW w:w="11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经营支出</w:t>
            </w:r>
          </w:p>
        </w:tc>
        <w:tc>
          <w:tcPr>
            <w:tcW w:w="14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对附属单位补助支出</w:t>
            </w:r>
          </w:p>
        </w:tc>
      </w:tr>
      <w:tr>
        <w:trPr>
          <w:trHeight w:val="308"/>
        </w:trPr>
        <w:tc>
          <w:tcPr>
            <w:tcW w:w="1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1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87" w:type="dxa"/>
            <w:vMerge/>
            <w:tcBorders>
              <w:top w:val="single" w:sz="8" w:space="0" w:color="000000"/>
              <w:left w:val="single" w:sz="8" w:space="0" w:color="000000"/>
              <w:bottom w:val="single" w:sz="8" w:space="0" w:color="000000"/>
              <w:right w:val="single" w:sz="8" w:space="0" w:color="000000"/>
            </w:tcBorders>
            <w:vAlign w:val="center"/>
          </w:tcP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040" w:type="dxa"/>
            <w:vMerge/>
            <w:tcBorders>
              <w:top w:val="single" w:sz="8" w:space="0" w:color="000000"/>
              <w:left w:val="single" w:sz="8" w:space="0" w:color="000000"/>
              <w:bottom w:val="single" w:sz="8" w:space="0" w:color="000000"/>
              <w:right w:val="single" w:sz="8" w:space="0" w:color="000000"/>
            </w:tcBorders>
            <w:vAlign w:val="center"/>
          </w:tcPr>
          <w:p/>
        </w:tc>
        <w:tc>
          <w:tcPr>
            <w:tcW w:w="1187" w:type="dxa"/>
            <w:vMerge/>
            <w:tcBorders>
              <w:top w:val="single" w:sz="8" w:space="0" w:color="000000"/>
              <w:left w:val="single" w:sz="8" w:space="0" w:color="000000"/>
              <w:bottom w:val="single" w:sz="8" w:space="0" w:color="000000"/>
              <w:right w:val="single" w:sz="8" w:space="0" w:color="000000"/>
            </w:tcBorders>
            <w:vAlign w:val="center"/>
          </w:tcPr>
          <w:p/>
        </w:tc>
        <w:tc>
          <w:tcPr>
            <w:tcW w:w="1128"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126"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26" w:type="dxa"/>
            <w:vMerge/>
            <w:tcBorders>
              <w:top w:val="single" w:sz="8" w:space="0" w:color="000000"/>
              <w:left w:val="single" w:sz="8" w:space="0" w:color="000000"/>
              <w:bottom w:val="single" w:sz="8" w:space="0" w:color="000000"/>
              <w:right w:val="single" w:sz="8" w:space="0" w:color="000000"/>
            </w:tcBorders>
            <w:vAlign w:val="center"/>
          </w:tcPr>
          <w:p/>
        </w:tc>
        <w:tc>
          <w:tcPr>
            <w:tcW w:w="1487" w:type="dxa"/>
            <w:vMerge/>
            <w:tcBorders>
              <w:top w:val="single" w:sz="8" w:space="0" w:color="000000"/>
              <w:left w:val="single" w:sz="8" w:space="0" w:color="000000"/>
              <w:bottom w:val="single" w:sz="8" w:space="0" w:color="000000"/>
              <w:right w:val="single" w:sz="8" w:space="0" w:color="000000"/>
            </w:tcBorders>
            <w:vAlign w:val="center"/>
          </w:tcPr>
          <w:p/>
        </w:tc>
      </w:tr>
      <w:tr>
        <w:trPr>
          <w:trHeight w:val="454"/>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128"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1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1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4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r>
      <w:tr>
        <w:trPr>
          <w:trHeight w:val="308"/>
        </w:trPr>
        <w:tc>
          <w:tcPr>
            <w:tcW w:w="222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431.06</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3.00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一般公共服务支出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347.89</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344.89</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347.89</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344.89</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行政运行</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344.53</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344.53</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2013699</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3.36</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0.36</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社会保障和就业支出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65.97</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65.97</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行政事业单位养老支出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65.97</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65.97</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行政单位离退休</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50.08</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50.08</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2080503</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离退休人员管理机构</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0.90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0.90</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2080505</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机关事业单位基本养老保险缴费支出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15.00</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15.00</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卫生健康支出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7.51</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行政事业单位医疗</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7.51</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7.51</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行政单位医疗</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4.98</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4.98</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2101103</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公务员医疗补助</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2.53</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2.53</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住房保障支出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住房改革支出</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0"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2210201</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住房公积金</w:t>
            </w:r>
          </w:p>
        </w:tc>
        <w:tc>
          <w:tcPr>
            <w:tcW w:w="1128"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4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9346" w:type="dxa"/>
            <w:gridSpan w:val="10"/>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857" w:type="dxa"/>
        <w:tblW w:w="1170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rPr>
          <w:trHeight w:val="550"/>
        </w:trPr>
        <w:tc>
          <w:tcPr>
            <w:tcW w:w="11709" w:type="dxa"/>
            <w:gridSpan w:val="11"/>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财政拨款收入支出决算总表</w:t>
            </w:r>
          </w:p>
        </w:tc>
      </w:tr>
      <w:tr>
        <w:trPr>
          <w:trHeight w:val="300"/>
        </w:trPr>
        <w:tc>
          <w:tcPr>
            <w:tcW w:w="11709" w:type="dxa"/>
            <w:gridSpan w:val="11"/>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04</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5694" w:type="dxa"/>
            <w:gridSpan w:val="4"/>
            <w:tcBorders>
              <w:top w:val="nil"/>
              <w:left w:val="nil"/>
              <w:bottom w:val="single" w:sz="8" w:space="0" w:color="000000"/>
              <w:right w:val="nil"/>
            </w:tcBorders>
            <w:vAlign w:val="bottom"/>
          </w:tcPr>
          <w:p>
            <w:pPr>
              <w:rPr>
                <w:rFonts w:ascii="仿宋" w:eastAsia="仿宋" w:cs="仿宋" w:hAnsi="仿宋"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部门（单位）：中国共产党正定县委员会老干部局（本级） </w:t>
            </w:r>
            <w:r>
              <w:rPr>
                <w:rFonts w:ascii="宋体" w:eastAsia="宋体" w:cs="宋体" w:hint="eastAsia"/>
                <w:i w:val="0"/>
                <w:iCs w:val="0"/>
                <w:color w:val="000000"/>
                <w:kern w:val="0"/>
                <w:sz w:val="20"/>
                <w:szCs w:val="20"/>
                <w:u w:val="none"/>
                <w:lang w:val="en-US" w:eastAsia="zh-CN"/>
                <w:highlight w:val="auto"/>
              </w:rPr>
              <w:t xml:space="preserve">                                                                                                   </w:t>
            </w:r>
          </w:p>
        </w:tc>
        <w:tc>
          <w:tcPr>
            <w:tcW w:w="1521" w:type="dxa"/>
            <w:gridSpan w:val="3"/>
            <w:tcBorders>
              <w:top w:val="nil"/>
              <w:left w:val="nil"/>
              <w:bottom w:val="single" w:sz="8" w:space="0" w:color="000000"/>
              <w:right w:val="nil"/>
            </w:tcBorders>
            <w:vAlign w:val="bottom"/>
          </w:tcPr>
          <w:p>
            <w:pPr>
              <w:jc w:val="center"/>
              <w:rPr>
                <w:rFonts w:ascii="宋体" w:eastAsia="宋体" w:cs="宋体"/>
                <w:i w:val="0"/>
                <w:iCs w:val="0"/>
                <w:color w:val="000000"/>
                <w:kern w:val="0"/>
                <w:sz w:val="20"/>
                <w:szCs w:val="20"/>
                <w:u w:val="none"/>
                <w:lang w:val="en-US" w:eastAsia="zh-CN"/>
                <w:highlight w:val="auto"/>
              </w:rPr>
            </w:pPr>
            <w:r>
              <w:rPr>
                <w:rFonts w:ascii="Times New Roman"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4494" w:type="dxa"/>
            <w:gridSpan w:val="4"/>
            <w:tcBorders>
              <w:top w:val="nil"/>
              <w:left w:val="nil"/>
              <w:bottom w:val="single" w:sz="8" w:space="0" w:color="000000"/>
              <w:right w:val="nil"/>
            </w:tcBorders>
            <w:vAlign w:val="bottom"/>
          </w:tcPr>
          <w:p>
            <w:pPr>
              <w:jc w:val="right"/>
              <w:rPr>
                <w:rFonts w:ascii="宋体" w:eastAsia="宋体" w:cs="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08"/>
        </w:trPr>
        <w:tc>
          <w:tcPr>
            <w:tcW w:w="4035"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收入</w:t>
            </w:r>
          </w:p>
        </w:tc>
        <w:tc>
          <w:tcPr>
            <w:tcW w:w="7674" w:type="dxa"/>
            <w:gridSpan w:val="8"/>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支出</w:t>
            </w:r>
          </w:p>
        </w:tc>
      </w:tr>
      <w:tr>
        <w:trPr>
          <w:trHeight w:val="312"/>
        </w:trPr>
        <w:tc>
          <w:tcPr>
            <w:tcW w:w="198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    目</w:t>
            </w:r>
          </w:p>
        </w:tc>
        <w:tc>
          <w:tcPr>
            <w:tcW w:w="62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4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金额</w:t>
            </w:r>
          </w:p>
        </w:tc>
        <w:tc>
          <w:tcPr>
            <w:tcW w:w="2098"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2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行次</w:t>
            </w:r>
          </w:p>
        </w:tc>
        <w:tc>
          <w:tcPr>
            <w:tcW w:w="1295"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合计</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一般公共预算财政拨款</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政府性基金预算财政拨款</w:t>
            </w:r>
          </w:p>
        </w:tc>
        <w:tc>
          <w:tcPr>
            <w:tcW w:w="1219"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highlight w:val="auto"/>
              </w:rPr>
              <w:t>国有资本经营预算财政拨款</w:t>
            </w:r>
          </w:p>
        </w:tc>
      </w:tr>
      <w:tr>
        <w:trPr>
          <w:trHeight w:val="312"/>
        </w:trPr>
        <w:tc>
          <w:tcPr>
            <w:tcW w:w="1984" w:type="dxa"/>
            <w:vMerge/>
            <w:tcBorders>
              <w:top w:val="single" w:sz="8" w:space="0" w:color="000000"/>
              <w:left w:val="single" w:sz="8" w:space="0" w:color="000000"/>
              <w:bottom w:val="single" w:sz="8" w:space="0" w:color="000000"/>
              <w:right w:val="single" w:sz="8" w:space="0" w:color="000000"/>
            </w:tcBorders>
            <w:vAlign w:val="center"/>
          </w:tcPr>
          <w:p/>
        </w:tc>
        <w:tc>
          <w:tcPr>
            <w:tcW w:w="624" w:type="dxa"/>
            <w:vMerge/>
            <w:tcBorders>
              <w:top w:val="single" w:sz="8" w:space="0" w:color="000000"/>
              <w:left w:val="single" w:sz="8" w:space="0" w:color="000000"/>
              <w:bottom w:val="single" w:sz="8" w:space="0" w:color="000000"/>
              <w:right w:val="single" w:sz="8" w:space="0" w:color="000000"/>
            </w:tcBorders>
            <w:vAlign w:val="center"/>
          </w:tcPr>
          <w:p/>
        </w:tc>
        <w:tc>
          <w:tcPr>
            <w:tcW w:w="1427" w:type="dxa"/>
            <w:vMerge/>
            <w:tcBorders>
              <w:top w:val="single" w:sz="8" w:space="0" w:color="000000"/>
              <w:left w:val="single" w:sz="8" w:space="0" w:color="000000"/>
              <w:bottom w:val="single" w:sz="8" w:space="0" w:color="000000"/>
              <w:right w:val="single" w:sz="8" w:space="0" w:color="000000"/>
            </w:tcBorders>
            <w:vAlign w:val="center"/>
          </w:tcPr>
          <w:p/>
        </w:tc>
        <w:tc>
          <w:tcPr>
            <w:tcW w:w="209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624" w:type="dxa"/>
            <w:vMerge/>
            <w:tcBorders>
              <w:top w:val="single" w:sz="8" w:space="0" w:color="000000"/>
              <w:left w:val="single" w:sz="8" w:space="0" w:color="000000"/>
              <w:bottom w:val="single" w:sz="8" w:space="0" w:color="000000"/>
              <w:right w:val="single" w:sz="8" w:space="0" w:color="000000"/>
            </w:tcBorders>
            <w:vAlign w:val="center"/>
          </w:tcPr>
          <w:p/>
        </w:tc>
        <w:tc>
          <w:tcPr>
            <w:tcW w:w="1295"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c>
          <w:tcPr>
            <w:tcW w:w="1219"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    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4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1</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    次</w:t>
            </w:r>
          </w:p>
        </w:tc>
        <w:tc>
          <w:tcPr>
            <w:tcW w:w="62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2</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3</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4</w:t>
            </w:r>
          </w:p>
        </w:tc>
        <w:tc>
          <w:tcPr>
            <w:tcW w:w="1219"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宋体" w:eastAsia="宋体" w:cs="宋体" w:hAnsi="宋体" w:hint="eastAsia"/>
                <w:i w:val="0"/>
                <w:iCs w:val="0"/>
                <w:color w:val="000000"/>
                <w:sz w:val="20"/>
                <w:szCs w:val="20"/>
                <w:u w:val="none"/>
                <w:highlight w:val="auto"/>
              </w:rPr>
            </w:pPr>
            <w:r>
              <w:rPr>
                <w:rFonts w:ascii="宋体" w:eastAsia="宋体" w:cs="宋体" w:hAnsi="宋体" w:hint="eastAsia"/>
                <w:i w:val="0"/>
                <w:iCs w:val="0"/>
                <w:color w:val="000000"/>
                <w:kern w:val="0"/>
                <w:sz w:val="20"/>
                <w:szCs w:val="20"/>
                <w:u w:val="none"/>
                <w:lang w:val="en-US" w:eastAsia="zh-CN"/>
                <w:highlight w:val="auto"/>
              </w:rPr>
              <w:t>5</w:t>
            </w: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一、一般公共服务支出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347.89</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347.89</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二、外交支出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三、国防支出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四、公共安全支出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五、教育支出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六、科学技术支出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七、文化旅游体育与传媒支出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八、社会保障和就业支出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65.97</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65.97</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九、卫生健康支出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7.51</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7.51</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十、节能环保支出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十一、城乡社区支出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十二、农林水支出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十三、交通运输支出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十四、资源勘探工业信息等支出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十五、商业服务业等支出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6"/>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十六、金融支出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441"/>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十七、援助其他地区支出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49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十八、自然资源海洋气象等支出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19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十九、住房保障支出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12.69</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12.69</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二十、粮油物资储备支出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二十一、国有资本经营预算支出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二十二、灾害防治及应急管理支出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23</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二十三、其他支出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55</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left"/>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24</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二十四、债务还本支出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56</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b/>
                <w:bCs/>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25</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二十五、债务付息支出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57</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jc w:val="center"/>
              <w:rPr>
                <w:rFonts w:ascii="宋体" w:eastAsia="宋体" w:cs="宋体" w:hAnsi="宋体"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26</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二十六、抗疫特别国债安排的支出</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58</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本年收入合计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27</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本年支出合计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59</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年初财政拨款结转和结余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28</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年末财政拨款结转和结余</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60</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both"/>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both"/>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一、一般公共预算财政拨款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29</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61</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二、政府性基金预算财政拨款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30</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62</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三、国有资本经营预算财政拨款</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31</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63</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left"/>
              <w:rPr>
                <w:rFonts w:ascii="Times New Roman" w:eastAsia="宋体" w:cs="Times New Roman" w:hAnsi="Times New Roman"/>
                <w:i w:val="0"/>
                <w:iCs w:val="0"/>
                <w:color w:val="000000"/>
                <w:sz w:val="20"/>
                <w:szCs w:val="20"/>
                <w:u w:val="none"/>
                <w:highlight w:val="auto"/>
              </w:rPr>
            </w:pPr>
          </w:p>
        </w:tc>
      </w:tr>
      <w:tr>
        <w:trPr>
          <w:trHeight w:val="308"/>
        </w:trPr>
        <w:tc>
          <w:tcPr>
            <w:tcW w:w="198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32</w:t>
            </w:r>
          </w:p>
        </w:tc>
        <w:tc>
          <w:tcPr>
            <w:tcW w:w="14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209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b/>
                <w:bCs/>
                <w:i w:val="0"/>
                <w:iCs w:val="0"/>
                <w:color w:val="000000"/>
                <w:sz w:val="20"/>
                <w:szCs w:val="20"/>
                <w:u w:val="none"/>
                <w:highlight w:val="auto"/>
              </w:rPr>
            </w:pPr>
            <w:r>
              <w:rPr>
                <w:rFonts w:ascii="方正仿宋_GB2312" w:eastAsia="方正仿宋_GB2312" w:cs="方正仿宋_GB2312" w:hAnsi="方正仿宋_GB2312" w:hint="eastAsia"/>
                <w:b/>
                <w:bCs/>
                <w:i w:val="0"/>
                <w:iCs w:val="0"/>
                <w:color w:val="000000"/>
                <w:kern w:val="0"/>
                <w:sz w:val="20"/>
                <w:szCs w:val="20"/>
                <w:u w:val="none"/>
                <w:lang w:val="en-US" w:eastAsia="zh-CN"/>
                <w:highlight w:val="auto"/>
              </w:rPr>
              <w:t>总计</w:t>
            </w:r>
          </w:p>
        </w:tc>
        <w:tc>
          <w:tcPr>
            <w:tcW w:w="62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kern w:val="0"/>
                <w:sz w:val="20"/>
                <w:szCs w:val="20"/>
                <w:u w:val="none"/>
                <w:lang w:val="en-US" w:eastAsia="zh-CN"/>
                <w:highlight w:val="auto"/>
              </w:rPr>
              <w:t>64</w:t>
            </w:r>
          </w:p>
        </w:tc>
        <w:tc>
          <w:tcPr>
            <w:tcW w:w="1295"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cs="Times New Roman" w:hAnsi="Times New Roman"/>
                <w:sz w:val="20"/>
                <w:szCs w:val="20"/>
                <w:highlight w:val="auto"/>
              </w:rPr>
            </w:pPr>
          </w:p>
          <w:p>
            <w:pPr>
              <w:jc w:val="right"/>
              <w:rPr>
                <w:rFonts w:ascii="Times New Roman" w:cs="Times New Roman" w:hAnsi="Times New Roman"/>
                <w:sz w:val="20"/>
                <w:szCs w:val="20"/>
                <w:highlight w:val="auto"/>
              </w:rPr>
            </w:pPr>
            <w:r>
              <w:rPr>
                <w:rFonts w:ascii="Times New Roman" w:cs="Times New Roman" w:hAnsi="Times New Roman"/>
                <w:sz w:val="20"/>
                <w:szCs w:val="20"/>
                <w:highlight w:val="auto"/>
              </w:rPr>
              <w:t>434.06</w:t>
            </w:r>
          </w:p>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219"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1709" w:type="dxa"/>
            <w:gridSpan w:val="11"/>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657" w:type="dxa"/>
        <w:tblW w:w="8697"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rPr>
          <w:trHeight w:val="657"/>
        </w:trPr>
        <w:tc>
          <w:tcPr>
            <w:tcW w:w="8697" w:type="dxa"/>
            <w:gridSpan w:val="7"/>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一般公共预算财政拨款支出决算表</w:t>
            </w:r>
          </w:p>
        </w:tc>
      </w:tr>
      <w:tr>
        <w:trPr>
          <w:trHeight w:val="329"/>
        </w:trPr>
        <w:tc>
          <w:tcPr>
            <w:tcW w:w="8697" w:type="dxa"/>
            <w:gridSpan w:val="7"/>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29"/>
        </w:trPr>
        <w:tc>
          <w:tcPr>
            <w:tcW w:w="3088" w:type="dxa"/>
            <w:gridSpan w:val="3"/>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部门（单位）：中国共产党正定县委员会老干部局（本级）</w:t>
            </w:r>
          </w:p>
        </w:tc>
        <w:tc>
          <w:tcPr>
            <w:tcW w:w="2813" w:type="dxa"/>
            <w:gridSpan w:val="2"/>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i w:val="0"/>
                <w:iCs w:val="0"/>
                <w:color w:val="000000"/>
                <w:kern w:val="0"/>
                <w:sz w:val="20"/>
                <w:szCs w:val="20"/>
                <w:u w:val="none"/>
                <w:lang w:val="en-US" w:eastAsia="zh-CN"/>
                <w:highlight w:val="auto"/>
              </w:rPr>
            </w:pPr>
            <w:r>
              <w:rPr>
                <w:rFonts w:ascii="Times New Roman" w:cs="Times New Roman" w:hAnsi="Times New Roman"/>
                <w:i w:val="0"/>
                <w:iCs w:val="0"/>
                <w:color w:val="000000"/>
                <w:kern w:val="0"/>
                <w:sz w:val="20"/>
                <w:szCs w:val="20"/>
                <w:u w:val="none"/>
                <w:lang w:val="en-US" w:eastAsia="zh-CN"/>
                <w:highlight w:val="auto"/>
              </w:rPr>
              <w:t>202</w:t>
            </w:r>
            <w:r>
              <w:rPr>
                <w:rFonts w:ascii="Times New Roman"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2796" w:type="dxa"/>
            <w:gridSpan w:val="2"/>
            <w:tcBorders>
              <w:top w:val="nil"/>
              <w:left w:val="nil"/>
              <w:bottom w:val="single" w:sz="8" w:space="0" w:color="000000"/>
              <w:right w:val="nil"/>
            </w:tcBorders>
            <w:vAlign w:val="bottom"/>
          </w:tcPr>
          <w:p>
            <w:pPr>
              <w:keepNext w:val="0"/>
              <w:keepLines w:val="0"/>
              <w:widowControl/>
              <w:suppressLineNumbers w:val="0"/>
              <w:jc w:val="right"/>
              <w:textAlignment w:val="bottom"/>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510"/>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6352" w:type="dxa"/>
            <w:gridSpan w:val="5"/>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w:t>
            </w:r>
          </w:p>
        </w:tc>
      </w:tr>
      <w:tr>
        <w:trPr>
          <w:trHeight w:val="369"/>
        </w:trPr>
        <w:tc>
          <w:tcPr>
            <w:tcW w:w="993" w:type="dxa"/>
            <w:vMerge w:val="restart"/>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科目代码</w:t>
            </w:r>
          </w:p>
        </w:tc>
        <w:tc>
          <w:tcPr>
            <w:tcW w:w="1352"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2117"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小计</w:t>
            </w:r>
          </w:p>
        </w:tc>
        <w:tc>
          <w:tcPr>
            <w:tcW w:w="2118"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2117" w:type="dxa"/>
            <w:vMerge w:val="restart"/>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r>
      <w:tr>
        <w:trPr>
          <w:trHeight w:val="346"/>
        </w:trPr>
        <w:tc>
          <w:tcPr>
            <w:tcW w:w="993" w:type="dxa"/>
            <w:vMerge/>
            <w:tcBorders>
              <w:top w:val="single" w:sz="8" w:space="0" w:color="000000"/>
              <w:left w:val="single" w:sz="8" w:space="0" w:color="auto"/>
              <w:bottom w:val="single" w:sz="8" w:space="0" w:color="000000"/>
              <w:right w:val="single" w:sz="8" w:space="0" w:color="000000"/>
            </w:tcBorders>
            <w:vAlign w:val="center"/>
          </w:tcPr>
          <w:p/>
        </w:tc>
        <w:tc>
          <w:tcPr>
            <w:tcW w:w="1352" w:type="dxa"/>
            <w:vMerge/>
            <w:tcBorders>
              <w:top w:val="single" w:sz="8" w:space="0" w:color="000000"/>
              <w:left w:val="single" w:sz="8" w:space="0" w:color="000000"/>
              <w:bottom w:val="single" w:sz="8" w:space="0" w:color="000000"/>
              <w:right w:val="single" w:sz="8" w:space="0" w:color="000000"/>
            </w:tcBorders>
            <w:vAlign w:val="center"/>
          </w:tcPr>
          <w:p/>
        </w:tc>
        <w:tc>
          <w:tcPr>
            <w:tcW w:w="211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7" w:type="dxa"/>
            <w:vMerge/>
            <w:tcBorders>
              <w:top w:val="single" w:sz="8" w:space="0" w:color="000000"/>
              <w:left w:val="single" w:sz="8" w:space="0" w:color="000000"/>
              <w:bottom w:val="single" w:sz="8" w:space="0" w:color="000000"/>
              <w:right w:val="single" w:sz="8" w:space="0" w:color="auto"/>
            </w:tcBorders>
            <w:vAlign w:val="center"/>
          </w:tcPr>
          <w:p/>
        </w:tc>
      </w:tr>
      <w:tr>
        <w:trPr>
          <w:trHeight w:val="369"/>
        </w:trPr>
        <w:tc>
          <w:tcPr>
            <w:tcW w:w="993" w:type="dxa"/>
            <w:vMerge/>
            <w:tcBorders>
              <w:top w:val="single" w:sz="8" w:space="0" w:color="000000"/>
              <w:left w:val="single" w:sz="8" w:space="0" w:color="auto"/>
              <w:bottom w:val="single" w:sz="8" w:space="0" w:color="000000"/>
              <w:right w:val="single" w:sz="8" w:space="0" w:color="000000"/>
            </w:tcBorders>
            <w:vAlign w:val="center"/>
          </w:tcPr>
          <w:p/>
        </w:tc>
        <w:tc>
          <w:tcPr>
            <w:tcW w:w="1352" w:type="dxa"/>
            <w:vMerge/>
            <w:tcBorders>
              <w:top w:val="single" w:sz="8" w:space="0" w:color="000000"/>
              <w:left w:val="single" w:sz="8" w:space="0" w:color="000000"/>
              <w:bottom w:val="single" w:sz="8" w:space="0" w:color="000000"/>
              <w:right w:val="single" w:sz="8" w:space="0" w:color="000000"/>
            </w:tcBorders>
            <w:vAlign w:val="center"/>
          </w:tcPr>
          <w:p/>
        </w:tc>
        <w:tc>
          <w:tcPr>
            <w:tcW w:w="211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8" w:type="dxa"/>
            <w:gridSpan w:val="2"/>
            <w:vMerge/>
            <w:tcBorders>
              <w:top w:val="single" w:sz="8" w:space="0" w:color="000000"/>
              <w:left w:val="single" w:sz="8" w:space="0" w:color="000000"/>
              <w:bottom w:val="single" w:sz="8" w:space="0" w:color="000000"/>
              <w:right w:val="single" w:sz="8" w:space="0" w:color="000000"/>
            </w:tcBorders>
            <w:vAlign w:val="center"/>
          </w:tcPr>
          <w:p/>
        </w:tc>
        <w:tc>
          <w:tcPr>
            <w:tcW w:w="2117" w:type="dxa"/>
            <w:vMerge/>
            <w:tcBorders>
              <w:top w:val="single" w:sz="8" w:space="0" w:color="000000"/>
              <w:left w:val="single" w:sz="8" w:space="0" w:color="000000"/>
              <w:bottom w:val="single" w:sz="8" w:space="0" w:color="000000"/>
              <w:right w:val="single" w:sz="8" w:space="0" w:color="auto"/>
            </w:tcBorders>
            <w:vAlign w:val="center"/>
          </w:tcPr>
          <w:p/>
        </w:tc>
      </w:tr>
      <w:tr>
        <w:trPr>
          <w:trHeight w:val="369"/>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2</w:t>
            </w:r>
          </w:p>
        </w:tc>
        <w:tc>
          <w:tcPr>
            <w:tcW w:w="2117" w:type="dxa"/>
            <w:tcBorders>
              <w:top w:val="single" w:sz="8" w:space="0" w:color="000000"/>
              <w:left w:val="single" w:sz="8" w:space="0" w:color="000000"/>
              <w:bottom w:val="single" w:sz="8" w:space="0" w:color="000000"/>
              <w:right w:val="single" w:sz="8" w:space="0" w:color="auto"/>
            </w:tcBorders>
            <w:vAlign w:val="center"/>
          </w:tcPr>
          <w:p>
            <w:pPr>
              <w:keepNext w:val="0"/>
              <w:keepLines w:val="0"/>
              <w:widowControl/>
              <w:suppressLineNumbers w:val="0"/>
              <w:jc w:val="center"/>
              <w:textAlignment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宋体" w:cs="Times New Roman" w:hAnsi="Times New Roman"/>
                <w:i w:val="0"/>
                <w:iCs w:val="0"/>
                <w:color w:val="000000"/>
                <w:sz w:val="20"/>
                <w:szCs w:val="20"/>
                <w:u w:val="none"/>
                <w:lang w:val="en-US" w:eastAsia="zh-CN"/>
                <w:highlight w:val="auto"/>
              </w:rPr>
              <w:t>3</w:t>
            </w:r>
          </w:p>
        </w:tc>
      </w:tr>
      <w:tr>
        <w:trPr>
          <w:trHeight w:val="369"/>
        </w:trPr>
        <w:tc>
          <w:tcPr>
            <w:tcW w:w="2345" w:type="dxa"/>
            <w:gridSpan w:val="2"/>
            <w:tcBorders>
              <w:top w:val="single" w:sz="8" w:space="0" w:color="000000"/>
              <w:left w:val="single" w:sz="8" w:space="0" w:color="auto"/>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434.06</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431.06</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cs="Times New Roman" w:hAnsi="Times New Roman"/>
                <w:sz w:val="20"/>
                <w:szCs w:val="20"/>
                <w:highlight w:val="auto"/>
              </w:rPr>
              <w:t>3.00</w:t>
            </w: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一般公共服务支出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347.89</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344.89</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347.89</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344.89</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行政运行</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344.53</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344.53</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2013699</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其他共产党事务支出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3.36</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0.36</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3.00</w:t>
            </w: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社会保障和就业支出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65.97</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65.97</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行政事业单位养老支出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65.97</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65.97</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行政单位离退休</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50.08</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50.08</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2080503</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离退休人员管理机构</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0.90</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0.90</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2080505</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机关事业单位基本养老保险缴费支出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15.00</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15.00</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卫生健康支出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7.51</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行政事业单位医疗</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7.51</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7.51</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行政单位医疗</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4.98</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4.98</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2101103</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公务员医疗补助</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2.53</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2.53</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住房保障支出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住房改革支出</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993" w:type="dxa"/>
            <w:tcBorders>
              <w:top w:val="single" w:sz="8" w:space="0" w:color="000000"/>
              <w:left w:val="single" w:sz="8" w:space="0" w:color="auto"/>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Times New Roman" w:eastAsia="方正仿宋_GB2312" w:cs="Times New Roman" w:hAnsi="Times New Roman"/>
                <w:i w:val="0"/>
                <w:iCs w:val="0"/>
                <w:color w:val="000000"/>
                <w:sz w:val="20"/>
                <w:szCs w:val="20"/>
                <w:u w:val="none"/>
                <w:lang w:val="en-US" w:eastAsia="zh-CN"/>
                <w:highlight w:val="auto"/>
              </w:rPr>
              <w:t>2210201</w:t>
            </w:r>
          </w:p>
        </w:tc>
        <w:tc>
          <w:tcPr>
            <w:tcW w:w="1352" w:type="dxa"/>
            <w:tcBorders>
              <w:top w:val="single" w:sz="8" w:space="0" w:color="000000"/>
              <w:left w:val="single" w:sz="8" w:space="0" w:color="000000"/>
              <w:bottom w:val="single" w:sz="8" w:space="0" w:color="000000"/>
              <w:right w:val="single" w:sz="8" w:space="0" w:color="000000"/>
            </w:tcBorders>
            <w:vAlign w:val="center"/>
          </w:tcPr>
          <w:p>
            <w:pPr>
              <w:jc w:val="left"/>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住房公积金</w:t>
            </w:r>
          </w:p>
        </w:tc>
        <w:tc>
          <w:tcPr>
            <w:tcW w:w="2117"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2118"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r>
              <w:rPr>
                <w:rFonts w:ascii="Times New Roman" w:eastAsia="宋体" w:cs="Times New Roman" w:hAnsi="Times New Roman"/>
                <w:i w:val="0"/>
                <w:iCs w:val="0"/>
                <w:color w:val="000000"/>
                <w:sz w:val="20"/>
                <w:szCs w:val="20"/>
                <w:u w:val="none"/>
                <w:lang w:val="en-US" w:eastAsia="zh-CN"/>
                <w:highlight w:val="auto"/>
              </w:rPr>
              <w:t>12.69</w:t>
            </w:r>
          </w:p>
        </w:tc>
        <w:tc>
          <w:tcPr>
            <w:tcW w:w="2117" w:type="dxa"/>
            <w:tcBorders>
              <w:top w:val="single" w:sz="8" w:space="0" w:color="000000"/>
              <w:left w:val="single" w:sz="8" w:space="0" w:color="000000"/>
              <w:bottom w:val="single" w:sz="8" w:space="0" w:color="000000"/>
              <w:right w:val="single" w:sz="8" w:space="0" w:color="auto"/>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661"/>
        </w:trPr>
        <w:tc>
          <w:tcPr>
            <w:tcW w:w="8697" w:type="dxa"/>
            <w:gridSpan w:val="7"/>
            <w:tcBorders>
              <w:top w:val="single" w:sz="8" w:space="0" w:color="000000"/>
              <w:left w:val="nil"/>
              <w:bottom w:val="nil"/>
              <w:right w:val="nil"/>
            </w:tcBorders>
            <w:vAlign w:val="center"/>
          </w:tcPr>
          <w:p>
            <w:pPr>
              <w:keepNext w:val="0"/>
              <w:keepLines w:val="0"/>
              <w:widowControl/>
              <w:suppressLineNumbers w:val="0"/>
              <w:jc w:val="left"/>
              <w:textAlignment w:val="center"/>
              <w:rPr>
                <w:rFonts w:ascii="方正仿宋_GB2312" w:eastAsia="方正仿宋_GB2312" w:cs="方正仿宋_GB2312" w:hAnsi="方正仿宋_GB2312" w:hint="eastAsia"/>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center"/>
        <w:tblW w:w="11601" w:type="dxa"/>
        <w:tblBorders>
          <w:top w:val="none" w:sz="0" w:space="0" w:color="auto"/>
          <w:left w:val="none" w:sz="0" w:space="0" w:color="auto"/>
          <w:bottom w:val="none" w:sz="0" w:space="0" w:color="auto"/>
          <w:right w:val="none" w:sz="0" w:space="0" w:color="auto"/>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center"/>
              <w:textAlignment w:val="bottom"/>
              <w:rPr>
                <w:rFonts w:ascii="方正仿宋_GB2312" w:eastAsia="方正仿宋_GB2312" w:cs="方正仿宋_GB2312" w:hAnsi="方正仿宋_GB2312"/>
                <w:i w:val="0"/>
                <w:iCs w:val="0"/>
                <w:color w:val="000000"/>
                <w:sz w:val="32"/>
                <w:szCs w:val="32"/>
                <w:u w:val="none"/>
              </w:rPr>
            </w:pPr>
            <w:r>
              <w:rPr>
                <w:rFonts w:ascii="方正仿宋_GB2312" w:eastAsia="方正仿宋_GB2312" w:cs="方正仿宋_GB2312" w:hAnsi="方正仿宋_GB2312" w:hint="eastAsia"/>
                <w:i w:val="0"/>
                <w:iCs w:val="0"/>
                <w:color w:val="000000"/>
                <w:kern w:val="0"/>
                <w:sz w:val="32"/>
                <w:szCs w:val="32"/>
                <w:u w:val="none"/>
                <w:lang w:val="en-US" w:eastAsia="zh-CN"/>
              </w:rPr>
              <w:t>一般公共预算财政拨款基本支出决算明细表</w:t>
            </w:r>
          </w:p>
        </w:tc>
      </w:tr>
      <w:tr>
        <w:tc>
          <w:tcPr>
            <w:tcW w:w="11601" w:type="dxa"/>
            <w:gridSpan w:val="10"/>
            <w:tcBorders>
              <w:top w:val="nil"/>
              <w:left w:val="nil"/>
              <w:bottom w:val="nil"/>
              <w:right w:val="nil"/>
            </w:tcBorders>
            <w:shd w:val="clear" w:color="auto" w:fill="auto"/>
            <w:vAlign w:val="bottom"/>
          </w:tcPr>
          <w:p>
            <w:pPr>
              <w:keepNext w:val="0"/>
              <w:keepLines w:val="0"/>
              <w:widowControl/>
              <w:suppressLineNumbers w:val="0"/>
              <w:snapToGrid w:val="0"/>
              <w:jc w:val="right"/>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公开</w:t>
            </w:r>
            <w:r>
              <w:rPr>
                <w:rFonts w:ascii="Times New Roman" w:eastAsia="方正仿宋_GB2312" w:cs="Times New Roman" w:hAnsi="Times New Roman"/>
                <w:i w:val="0"/>
                <w:iCs w:val="0"/>
                <w:color w:val="000000"/>
                <w:kern w:val="0"/>
                <w:sz w:val="18"/>
                <w:szCs w:val="18"/>
                <w:u w:val="none"/>
                <w:lang w:val="en-US" w:eastAsia="zh-CN"/>
              </w:rPr>
              <w:t>06</w:t>
            </w:r>
            <w:r>
              <w:rPr>
                <w:rStyle w:val="27"/>
                <w:lang w:val="en-US" w:eastAsia="zh-CN"/>
              </w:rPr>
              <w:t>表</w:t>
            </w:r>
          </w:p>
        </w:tc>
      </w:tr>
      <w:tr>
        <w:tc>
          <w:tcPr>
            <w:tcW w:w="5615" w:type="dxa"/>
            <w:gridSpan w:val="6"/>
            <w:tcBorders>
              <w:top w:val="nil"/>
              <w:left w:val="nil"/>
              <w:bottom w:val="single" w:sz="8" w:space="0" w:color="000000"/>
              <w:right w:val="nil"/>
            </w:tcBorders>
            <w:shd w:val="clear" w:color="auto" w:fill="auto"/>
            <w:vAlign w:val="bottom"/>
          </w:tcPr>
          <w:p>
            <w:pPr>
              <w:keepNext w:val="0"/>
              <w:keepLines w:val="0"/>
              <w:widowControl/>
              <w:suppressLineNumbers w:val="0"/>
              <w:snapToGrid w:val="0"/>
              <w:jc w:val="both"/>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部门（单位）：中国共产党正定县委员会老干部局（本级） </w:t>
            </w:r>
            <w:r>
              <w:rPr>
                <w:rFonts w:ascii="宋体" w:eastAsia="宋体" w:cs="宋体" w:hAnsi="宋体" w:hint="eastAsia"/>
                <w:i w:val="0"/>
                <w:iCs w:val="0"/>
                <w:color w:val="000000"/>
                <w:kern w:val="0"/>
                <w:sz w:val="18"/>
                <w:szCs w:val="18"/>
                <w:u w:val="none"/>
                <w:lang w:val="en-US" w:eastAsia="zh-CN"/>
              </w:rPr>
              <w:t xml:space="preserve">                                                                   </w:t>
            </w:r>
          </w:p>
        </w:tc>
        <w:tc>
          <w:tcPr>
            <w:tcW w:w="1774" w:type="dxa"/>
            <w:tcBorders>
              <w:top w:val="nil"/>
              <w:left w:val="nil"/>
              <w:bottom w:val="single" w:sz="8" w:space="0" w:color="000000"/>
              <w:right w:val="nil"/>
            </w:tcBorders>
            <w:shd w:val="clear" w:color="auto" w:fill="auto"/>
            <w:vAlign w:val="bottom"/>
          </w:tcPr>
          <w:p>
            <w:pPr>
              <w:keepNext w:val="0"/>
              <w:keepLines w:val="0"/>
              <w:widowControl/>
              <w:suppressLineNumbers w:val="0"/>
              <w:snapToGrid w:val="0"/>
              <w:jc w:val="center"/>
              <w:textAlignment w:val="bottom"/>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2025</w:t>
            </w:r>
            <w:r>
              <w:rPr>
                <w:rStyle w:val="27"/>
                <w:lang w:val="en-US" w:eastAsia="zh-CN"/>
              </w:rPr>
              <w:t>年度</w:t>
            </w:r>
          </w:p>
        </w:tc>
        <w:tc>
          <w:tcPr>
            <w:tcW w:w="4212" w:type="dxa"/>
            <w:gridSpan w:val="3"/>
            <w:tcBorders>
              <w:top w:val="nil"/>
              <w:left w:val="nil"/>
              <w:bottom w:val="single" w:sz="8" w:space="0" w:color="000000"/>
              <w:right w:val="nil"/>
            </w:tcBorders>
            <w:shd w:val="clear" w:color="auto" w:fill="auto"/>
            <w:vAlign w:val="bottom"/>
          </w:tcPr>
          <w:p>
            <w:pPr>
              <w:keepNext w:val="0"/>
              <w:keepLines w:val="0"/>
              <w:widowControl/>
              <w:suppressLineNumbers w:val="0"/>
              <w:snapToGrid w:val="0"/>
              <w:jc w:val="right"/>
              <w:textAlignment w:val="bottom"/>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金额单位：万元</w:t>
            </w:r>
          </w:p>
        </w:tc>
      </w:tr>
      <w:tr>
        <w:tc>
          <w:tcPr>
            <w:tcW w:w="3894" w:type="dxa"/>
            <w:gridSpan w:val="3"/>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人员经费</w:t>
            </w:r>
          </w:p>
        </w:tc>
        <w:tc>
          <w:tcPr>
            <w:tcW w:w="7707" w:type="dxa"/>
            <w:gridSpan w:val="7"/>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公用经费</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89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055" w:type="dxa"/>
            <w:gridSpan w:val="2"/>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774"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c>
          <w:tcPr>
            <w:tcW w:w="66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科目代码</w:t>
            </w:r>
          </w:p>
        </w:tc>
        <w:tc>
          <w:tcPr>
            <w:tcW w:w="1650"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科目名称</w:t>
            </w:r>
          </w:p>
        </w:tc>
        <w:tc>
          <w:tcPr>
            <w:tcW w:w="1896" w:type="dxa"/>
            <w:tcBorders>
              <w:top w:val="single" w:sz="8" w:space="0" w:color="000000"/>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金额</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工资福利支出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163.74</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商品和服务支出</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18.58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债务利息及费用支出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基本工资</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50.48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30201</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办公费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2.06</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30701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国内债务付息</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津贴补贴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33.94</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印刷费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30702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国外债务付息</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奖金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38.11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手续费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资本性支出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1.06</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30106</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伙食补助费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水费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房屋建筑物购建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30107</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绩效工资</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电费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办公设备购置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1.06</w:t>
            </w: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30108</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机关事业单位基本养老保险缴费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15.42</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邮电费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5.39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31003</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专用设备购置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30109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职业年金缴费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取暖费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31005</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基础设施建设</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30110</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职工基本医疗保险缴费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4.98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30209</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物业管理费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31006</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大型修缮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公务员医疗补助缴费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2.53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30211</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差旅费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信息网络及软件购置更新</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其他社会保障缴费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0.37</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30212</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因公出国（境）费用</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31008</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物资储备</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住房公积金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12.69</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30213</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维修（护）费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0.07</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31009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土地补偿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297"/>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30114</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医疗费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 xml:space="preserve">  </w:t>
            </w:r>
            <w:r>
              <w:rPr>
                <w:rStyle w:val="27"/>
                <w:lang w:val="en-US" w:eastAsia="zh-CN"/>
              </w:rPr>
              <w:t>租赁费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安置补助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05"/>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30199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其他工资福利支出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5.23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会议费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地上附着物和青苗补偿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对个人和家庭的补助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247.68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培训费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拆迁补偿</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离休费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公务接待费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31013</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公务用车购置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30302</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退休费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246.24</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30218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专用材料费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31019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其他交通工具购置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30303</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退职（役）费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30224</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被装购置费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31021</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文物和陈列品购置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30304</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抚恤金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30225</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专用燃料费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31022</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无形资产购置</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530"/>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30305</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生活补助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1.43</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30226</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劳务费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31099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其他资本性支出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05"/>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30306</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救济费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30227</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委托业务费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636"/>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30307</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医疗费补助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30228</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工会经费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0.86</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39907</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国家赔偿费用支出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rPr>
          <w:trHeight w:val="90"/>
        </w:trP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30308</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助学金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30229</w:t>
            </w:r>
          </w:p>
        </w:tc>
        <w:tc>
          <w:tcPr>
            <w:tcW w:w="1055"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福利费</w:t>
            </w:r>
          </w:p>
        </w:tc>
        <w:tc>
          <w:tcPr>
            <w:tcW w:w="1774"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1.98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39908</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对民间非营利组织和群众性自治组织补贴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30309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奖励金</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0.01</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30231</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公务用车运行维护费</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2.15</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39909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经常性赠与</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30310</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个人农业生产补贴</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30239</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其他交通费用</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6.08</w:t>
            </w: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39910</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资本性赠与</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30311</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代缴社会保险费</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30240</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税金及附加费用</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39999</w:t>
            </w:r>
          </w:p>
        </w:tc>
        <w:tc>
          <w:tcPr>
            <w:tcW w:w="1650"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其他支出</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r>
      <w:tr>
        <w:tc>
          <w:tcPr>
            <w:tcW w:w="666" w:type="dxa"/>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30399</w:t>
            </w:r>
          </w:p>
        </w:tc>
        <w:tc>
          <w:tcPr>
            <w:tcW w:w="1332"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其他对个人和家庭的补助</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30299</w:t>
            </w:r>
          </w:p>
        </w:tc>
        <w:tc>
          <w:tcPr>
            <w:tcW w:w="933"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其他商品和服务支出</w:t>
            </w:r>
          </w:p>
        </w:tc>
        <w:tc>
          <w:tcPr>
            <w:tcW w:w="1896" w:type="dxa"/>
            <w:gridSpan w:val="2"/>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p>
        </w:tc>
        <w:tc>
          <w:tcPr>
            <w:tcW w:w="666" w:type="dxa"/>
            <w:tcBorders>
              <w:top w:val="nil"/>
              <w:left w:val="nil"/>
              <w:bottom w:val="single" w:sz="8" w:space="0" w:color="000000"/>
              <w:right w:val="single" w:sz="8" w:space="0" w:color="000000"/>
            </w:tcBorders>
            <w:shd w:val="clear" w:color="auto" w:fill="auto"/>
            <w:vAlign w:val="center"/>
          </w:tcPr>
          <w:p>
            <w:pPr>
              <w:snapToGrid w:val="0"/>
              <w:jc w:val="center"/>
              <w:rPr>
                <w:rFonts w:ascii="Times New Roman" w:eastAsia="宋体" w:cs="Times New Roman" w:hAnsi="Times New Roman"/>
                <w:i w:val="0"/>
                <w:iCs w:val="0"/>
                <w:color w:val="000000"/>
                <w:sz w:val="18"/>
                <w:szCs w:val="18"/>
                <w:u w:val="none"/>
              </w:rPr>
            </w:pPr>
          </w:p>
        </w:tc>
        <w:tc>
          <w:tcPr>
            <w:tcW w:w="1650" w:type="dxa"/>
            <w:tcBorders>
              <w:top w:val="nil"/>
              <w:left w:val="nil"/>
              <w:bottom w:val="single" w:sz="8" w:space="0" w:color="000000"/>
              <w:right w:val="single" w:sz="8" w:space="0" w:color="000000"/>
            </w:tcBorders>
            <w:shd w:val="clear" w:color="auto" w:fill="auto"/>
            <w:vAlign w:val="center"/>
          </w:tcPr>
          <w:p>
            <w:pPr>
              <w:snapToGrid w:val="0"/>
              <w:jc w:val="left"/>
              <w:rPr>
                <w:rFonts w:ascii="方正仿宋_GB2312" w:eastAsia="方正仿宋_GB2312" w:cs="方正仿宋_GB2312" w:hAnsi="方正仿宋_GB2312" w:hint="eastAsia"/>
                <w:i w:val="0"/>
                <w:iCs w:val="0"/>
                <w:color w:val="000000"/>
                <w:sz w:val="18"/>
                <w:szCs w:val="18"/>
                <w:u w:val="none"/>
              </w:rPr>
            </w:pPr>
          </w:p>
        </w:tc>
        <w:tc>
          <w:tcPr>
            <w:tcW w:w="1896" w:type="dxa"/>
            <w:tcBorders>
              <w:top w:val="nil"/>
              <w:left w:val="nil"/>
              <w:bottom w:val="single" w:sz="8" w:space="0" w:color="000000"/>
              <w:right w:val="single" w:sz="8" w:space="0" w:color="000000"/>
            </w:tcBorders>
            <w:shd w:val="clear" w:color="auto" w:fill="auto"/>
            <w:vAlign w:val="center"/>
          </w:tcPr>
          <w:p>
            <w:pPr>
              <w:snapToGrid w:val="0"/>
              <w:jc w:val="right"/>
              <w:rPr>
                <w:rFonts w:ascii="Times New Roman" w:eastAsia="宋体" w:cs="Times New Roman" w:hAnsi="Times New Roman"/>
                <w:i w:val="0"/>
                <w:iCs w:val="0"/>
                <w:color w:val="000000"/>
                <w:sz w:val="18"/>
                <w:szCs w:val="18"/>
                <w:u w:val="none"/>
              </w:rPr>
            </w:pPr>
          </w:p>
        </w:tc>
      </w:tr>
      <w:tr>
        <w:tc>
          <w:tcPr>
            <w:tcW w:w="1998" w:type="dxa"/>
            <w:gridSpan w:val="2"/>
            <w:tcBorders>
              <w:top w:val="nil"/>
              <w:left w:val="single" w:sz="8" w:space="0" w:color="000000"/>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人员经费合计</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411.42</w:t>
            </w:r>
          </w:p>
        </w:tc>
        <w:tc>
          <w:tcPr>
            <w:tcW w:w="5811" w:type="dxa"/>
            <w:gridSpan w:val="6"/>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center"/>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公用经费合计</w:t>
            </w:r>
          </w:p>
        </w:tc>
        <w:tc>
          <w:tcPr>
            <w:tcW w:w="1896" w:type="dxa"/>
            <w:tcBorders>
              <w:top w:val="nil"/>
              <w:left w:val="nil"/>
              <w:bottom w:val="single" w:sz="8" w:space="0" w:color="000000"/>
              <w:right w:val="single" w:sz="8" w:space="0" w:color="000000"/>
            </w:tcBorders>
            <w:shd w:val="clear" w:color="auto" w:fill="auto"/>
            <w:vAlign w:val="center"/>
          </w:tcPr>
          <w:p>
            <w:pPr>
              <w:keepNext w:val="0"/>
              <w:keepLines w:val="0"/>
              <w:widowControl/>
              <w:suppressLineNumbers w:val="0"/>
              <w:snapToGrid w:val="0"/>
              <w:jc w:val="right"/>
              <w:textAlignment w:val="center"/>
              <w:rPr>
                <w:rFonts w:ascii="Times New Roman" w:eastAsia="宋体" w:cs="Times New Roman" w:hAnsi="Times New Roman"/>
                <w:i w:val="0"/>
                <w:iCs w:val="0"/>
                <w:color w:val="000000"/>
                <w:sz w:val="18"/>
                <w:szCs w:val="18"/>
                <w:u w:val="none"/>
              </w:rPr>
            </w:pPr>
            <w:r>
              <w:rPr>
                <w:rFonts w:ascii="Times New Roman" w:eastAsia="宋体" w:cs="Times New Roman" w:hAnsi="Times New Roman"/>
                <w:i w:val="0"/>
                <w:iCs w:val="0"/>
                <w:color w:val="000000"/>
                <w:kern w:val="0"/>
                <w:sz w:val="18"/>
                <w:szCs w:val="18"/>
                <w:u w:val="none"/>
                <w:lang w:val="en-US" w:eastAsia="zh-CN"/>
              </w:rPr>
              <w:t>19.64</w:t>
            </w:r>
          </w:p>
        </w:tc>
      </w:tr>
      <w:tr>
        <w:tc>
          <w:tcPr>
            <w:tcW w:w="11601" w:type="dxa"/>
            <w:gridSpan w:val="10"/>
            <w:tcBorders>
              <w:top w:val="nil"/>
              <w:left w:val="nil"/>
              <w:bottom w:val="nil"/>
              <w:right w:val="nil"/>
            </w:tcBorders>
            <w:shd w:val="clear" w:color="auto" w:fill="auto"/>
            <w:vAlign w:val="center"/>
          </w:tcPr>
          <w:p>
            <w:pPr>
              <w:keepNext w:val="0"/>
              <w:keepLines w:val="0"/>
              <w:widowControl/>
              <w:suppressLineNumbers w:val="0"/>
              <w:snapToGrid w:val="0"/>
              <w:jc w:val="left"/>
              <w:textAlignment w:val="center"/>
              <w:rPr>
                <w:rFonts w:ascii="方正仿宋_GB2312" w:eastAsia="方正仿宋_GB2312" w:cs="方正仿宋_GB2312" w:hAnsi="方正仿宋_GB2312" w:hint="eastAsia"/>
                <w:i w:val="0"/>
                <w:iCs w:val="0"/>
                <w:color w:val="000000"/>
                <w:sz w:val="18"/>
                <w:szCs w:val="18"/>
                <w:u w:val="none"/>
              </w:rPr>
            </w:pPr>
            <w:r>
              <w:rPr>
                <w:rFonts w:ascii="方正仿宋_GB2312" w:eastAsia="方正仿宋_GB2312" w:cs="方正仿宋_GB2312" w:hAnsi="方正仿宋_GB2312" w:hint="eastAsia"/>
                <w:i w:val="0"/>
                <w:iCs w:val="0"/>
                <w:color w:val="000000"/>
                <w:kern w:val="0"/>
                <w:sz w:val="18"/>
                <w:szCs w:val="18"/>
                <w:u w:val="none"/>
                <w:lang w:val="en-US" w:eastAsia="zh-CN"/>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1404" w:type="dxa"/>
        <w:tblW w:w="10480"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rPr>
          <w:trHeight w:val="550"/>
        </w:trPr>
        <w:tc>
          <w:tcPr>
            <w:tcW w:w="10480" w:type="dxa"/>
            <w:gridSpan w:val="9"/>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政府性基金预算财政拨款收入支出决算表</w:t>
            </w:r>
          </w:p>
        </w:tc>
      </w:tr>
      <w:tr>
        <w:trPr>
          <w:trHeight w:val="90"/>
        </w:trPr>
        <w:tc>
          <w:tcPr>
            <w:tcW w:w="10480" w:type="dxa"/>
            <w:gridSpan w:val="9"/>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宋体" w:cs="Times New Roman" w:hAnsi="Times New Roman"/>
                <w:i w:val="0"/>
                <w:iCs w:val="0"/>
                <w:color w:val="000000"/>
                <w:kern w:val="0"/>
                <w:sz w:val="20"/>
                <w:szCs w:val="20"/>
                <w:u w:val="none"/>
                <w:lang w:val="en-US" w:eastAsia="zh-CN"/>
                <w:highlight w:val="auto"/>
              </w:rPr>
              <w:t>07</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4040" w:type="dxa"/>
            <w:gridSpan w:val="3"/>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部门（单位）：中国共产党正定县委员会老干部局（本级） </w:t>
            </w:r>
            <w:r>
              <w:rPr>
                <w:rFonts w:ascii="宋体" w:eastAsia="宋体" w:cs="宋体" w:hAnsi="宋体" w:hint="eastAsia"/>
                <w:i w:val="0"/>
                <w:iCs w:val="0"/>
                <w:color w:val="000000"/>
                <w:kern w:val="0"/>
                <w:sz w:val="20"/>
                <w:szCs w:val="20"/>
                <w:u w:val="none"/>
                <w:lang w:val="en-US" w:eastAsia="zh-CN"/>
                <w:highlight w:val="auto"/>
              </w:rPr>
              <w:t xml:space="preserve">                                                                                     </w:t>
            </w:r>
          </w:p>
        </w:tc>
        <w:tc>
          <w:tcPr>
            <w:tcW w:w="2552"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eastAsia="宋体"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888"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08"/>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w:t>
            </w:r>
          </w:p>
        </w:tc>
        <w:tc>
          <w:tcPr>
            <w:tcW w:w="130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年初结转和结余</w:t>
            </w:r>
          </w:p>
        </w:tc>
        <w:tc>
          <w:tcPr>
            <w:tcW w:w="102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本年收入</w:t>
            </w:r>
          </w:p>
        </w:tc>
        <w:tc>
          <w:tcPr>
            <w:tcW w:w="3373"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本年支出</w:t>
            </w:r>
          </w:p>
        </w:tc>
        <w:tc>
          <w:tcPr>
            <w:tcW w:w="204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年末结转和结余</w:t>
            </w:r>
          </w:p>
        </w:tc>
      </w:tr>
      <w:tr>
        <w:trPr>
          <w:trHeight w:val="312"/>
        </w:trPr>
        <w:tc>
          <w:tcPr>
            <w:tcW w:w="1260"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1474"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科目名称</w:t>
            </w: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小计</w:t>
            </w:r>
          </w:p>
        </w:tc>
        <w:tc>
          <w:tcPr>
            <w:tcW w:w="1120"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基本支出</w:t>
            </w:r>
          </w:p>
        </w:tc>
        <w:tc>
          <w:tcPr>
            <w:tcW w:w="114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项目支出</w:t>
            </w: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260" w:type="dxa"/>
            <w:vMerge/>
            <w:tcBorders>
              <w:top w:val="single" w:sz="8" w:space="0" w:color="000000"/>
              <w:left w:val="single" w:sz="8" w:space="0" w:color="000000"/>
              <w:bottom w:val="single" w:sz="8" w:space="0" w:color="000000"/>
              <w:right w:val="single" w:sz="8" w:space="0" w:color="000000"/>
            </w:tcBorders>
            <w:vAlign w:val="center"/>
          </w:tcPr>
          <w:p/>
        </w:tc>
        <w:tc>
          <w:tcPr>
            <w:tcW w:w="1474" w:type="dxa"/>
            <w:vMerge/>
            <w:tcBorders>
              <w:top w:val="single" w:sz="8" w:space="0" w:color="000000"/>
              <w:left w:val="single" w:sz="8" w:space="0" w:color="000000"/>
              <w:bottom w:val="single" w:sz="8" w:space="0" w:color="000000"/>
              <w:right w:val="single" w:sz="8" w:space="0" w:color="000000"/>
            </w:tcBorders>
            <w:vAlign w:val="center"/>
          </w:tcP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tcBorders>
              <w:top w:val="single" w:sz="8" w:space="0" w:color="000000"/>
              <w:left w:val="single" w:sz="8" w:space="0" w:color="000000"/>
              <w:bottom w:val="single" w:sz="8" w:space="0" w:color="000000"/>
              <w:right w:val="single" w:sz="8" w:space="0" w:color="000000"/>
            </w:tcBorders>
            <w:vAlign w:val="center"/>
          </w:tcPr>
          <w:p/>
        </w:tc>
        <w:tc>
          <w:tcPr>
            <w:tcW w:w="112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46" w:type="dxa"/>
            <w:vMerge/>
            <w:tcBorders>
              <w:top w:val="single" w:sz="8" w:space="0" w:color="000000"/>
              <w:left w:val="single" w:sz="8" w:space="0" w:color="000000"/>
              <w:bottom w:val="single" w:sz="8" w:space="0" w:color="000000"/>
              <w:right w:val="single" w:sz="8" w:space="0" w:color="000000"/>
            </w:tcBorders>
            <w:vAlign w:val="center"/>
          </w:tcP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1260" w:type="dxa"/>
            <w:vMerge/>
            <w:tcBorders>
              <w:top w:val="single" w:sz="8" w:space="0" w:color="000000"/>
              <w:left w:val="single" w:sz="8" w:space="0" w:color="000000"/>
              <w:bottom w:val="single" w:sz="8" w:space="0" w:color="000000"/>
              <w:right w:val="single" w:sz="8" w:space="0" w:color="000000"/>
            </w:tcBorders>
            <w:vAlign w:val="center"/>
          </w:tcPr>
          <w:p/>
        </w:tc>
        <w:tc>
          <w:tcPr>
            <w:tcW w:w="1474" w:type="dxa"/>
            <w:vMerge/>
            <w:tcBorders>
              <w:top w:val="single" w:sz="8" w:space="0" w:color="000000"/>
              <w:left w:val="single" w:sz="8" w:space="0" w:color="000000"/>
              <w:bottom w:val="single" w:sz="8" w:space="0" w:color="000000"/>
              <w:right w:val="single" w:sz="8" w:space="0" w:color="000000"/>
            </w:tcBorders>
            <w:vAlign w:val="center"/>
          </w:tcPr>
          <w:p/>
        </w:tc>
        <w:tc>
          <w:tcPr>
            <w:tcW w:w="1306" w:type="dxa"/>
            <w:vMerge/>
            <w:tcBorders>
              <w:top w:val="single" w:sz="8" w:space="0" w:color="000000"/>
              <w:left w:val="single" w:sz="8" w:space="0" w:color="000000"/>
              <w:bottom w:val="single" w:sz="8" w:space="0" w:color="000000"/>
              <w:right w:val="single" w:sz="8" w:space="0" w:color="000000"/>
            </w:tcBorders>
            <w:vAlign w:val="center"/>
          </w:tcPr>
          <w:p/>
        </w:tc>
        <w:tc>
          <w:tcPr>
            <w:tcW w:w="1027" w:type="dxa"/>
            <w:vMerge/>
            <w:tcBorders>
              <w:top w:val="single" w:sz="8" w:space="0" w:color="000000"/>
              <w:left w:val="single" w:sz="8" w:space="0" w:color="000000"/>
              <w:bottom w:val="single" w:sz="8" w:space="0" w:color="000000"/>
              <w:right w:val="single" w:sz="8" w:space="0" w:color="000000"/>
            </w:tcBorders>
            <w:vAlign w:val="center"/>
          </w:tcPr>
          <w:p/>
        </w:tc>
        <w:tc>
          <w:tcPr>
            <w:tcW w:w="1107" w:type="dxa"/>
            <w:vMerge/>
            <w:tcBorders>
              <w:top w:val="single" w:sz="8" w:space="0" w:color="000000"/>
              <w:left w:val="single" w:sz="8" w:space="0" w:color="000000"/>
              <w:bottom w:val="single" w:sz="8" w:space="0" w:color="000000"/>
              <w:right w:val="single" w:sz="8" w:space="0" w:color="000000"/>
            </w:tcBorders>
            <w:vAlign w:val="center"/>
          </w:tcPr>
          <w:p/>
        </w:tc>
        <w:tc>
          <w:tcPr>
            <w:tcW w:w="112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46" w:type="dxa"/>
            <w:vMerge/>
            <w:tcBorders>
              <w:top w:val="single" w:sz="8" w:space="0" w:color="000000"/>
              <w:left w:val="single" w:sz="8" w:space="0" w:color="000000"/>
              <w:bottom w:val="single" w:sz="8" w:space="0" w:color="000000"/>
              <w:right w:val="single" w:sz="8" w:space="0" w:color="000000"/>
            </w:tcBorders>
            <w:vAlign w:val="center"/>
          </w:tcPr>
          <w:p/>
        </w:tc>
        <w:tc>
          <w:tcPr>
            <w:tcW w:w="2040" w:type="dxa"/>
            <w:vMerge/>
            <w:tcBorders>
              <w:top w:val="single" w:sz="8" w:space="0" w:color="000000"/>
              <w:left w:val="single" w:sz="8" w:space="0" w:color="000000"/>
              <w:bottom w:val="single" w:sz="8" w:space="0" w:color="000000"/>
              <w:right w:val="single" w:sz="8" w:space="0" w:color="000000"/>
            </w:tcBorders>
            <w:vAlign w:val="center"/>
          </w:tcPr>
          <w:p/>
        </w:tc>
      </w:tr>
      <w:tr>
        <w:trPr>
          <w:trHeight w:val="308"/>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栏次</w:t>
            </w:r>
          </w:p>
        </w:tc>
        <w:tc>
          <w:tcPr>
            <w:tcW w:w="130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1</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2</w:t>
            </w:r>
          </w:p>
        </w:tc>
        <w:tc>
          <w:tcPr>
            <w:tcW w:w="110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3</w:t>
            </w:r>
          </w:p>
        </w:tc>
        <w:tc>
          <w:tcPr>
            <w:tcW w:w="112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4</w:t>
            </w:r>
          </w:p>
        </w:tc>
        <w:tc>
          <w:tcPr>
            <w:tcW w:w="11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highlight w:val="auto"/>
              </w:rPr>
            </w:pPr>
            <w:r>
              <w:rPr>
                <w:rFonts w:ascii="Times New Roman" w:eastAsia="方正仿宋_GB2312" w:cs="Times New Roman" w:hAnsi="Times New Roman"/>
                <w:i w:val="0"/>
                <w:iCs w:val="0"/>
                <w:color w:val="000000"/>
                <w:kern w:val="0"/>
                <w:sz w:val="20"/>
                <w:szCs w:val="20"/>
                <w:u w:val="none"/>
                <w:lang w:val="en-US" w:eastAsia="zh-CN"/>
                <w:highlight w:val="auto"/>
              </w:rPr>
              <w:t>5</w:t>
            </w:r>
          </w:p>
        </w:tc>
        <w:tc>
          <w:tcPr>
            <w:tcW w:w="20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20"/>
                <w:szCs w:val="20"/>
                <w:u w:val="none"/>
                <w:lang w:val="en-US" w:eastAsia="zh-CN"/>
                <w:highlight w:val="auto"/>
              </w:rPr>
            </w:pPr>
            <w:r>
              <w:rPr>
                <w:rFonts w:ascii="Times New Roman" w:eastAsia="方正仿宋_GB2312" w:cs="Times New Roman" w:hAnsi="Times New Roman"/>
                <w:i w:val="0"/>
                <w:iCs w:val="0"/>
                <w:color w:val="000000"/>
                <w:sz w:val="20"/>
                <w:szCs w:val="20"/>
                <w:u w:val="none"/>
                <w:lang w:val="en-US" w:eastAsia="zh-CN"/>
                <w:highlight w:val="auto"/>
              </w:rPr>
              <w:t>6</w:t>
            </w:r>
          </w:p>
        </w:tc>
      </w:tr>
      <w:tr>
        <w:trPr>
          <w:trHeight w:val="869"/>
        </w:trPr>
        <w:tc>
          <w:tcPr>
            <w:tcW w:w="2734"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合计</w:t>
            </w:r>
          </w:p>
        </w:tc>
        <w:tc>
          <w:tcPr>
            <w:tcW w:w="130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0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20"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1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2040"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10480" w:type="dxa"/>
            <w:gridSpan w:val="9"/>
            <w:tcBorders>
              <w:top w:val="single" w:sz="8" w:space="0" w:color="000000"/>
              <w:left w:val="nil"/>
              <w:bottom w:val="nil"/>
              <w:right w:val="nil"/>
            </w:tcBorders>
            <w:vAlign w:val="center"/>
          </w:tcPr>
          <w:p>
            <w:pP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注：本表反映部门本年度政府性基金预算财政拨款收入、支出及结转和结余情况。我单位本年度无相关数据，空表列示</w:t>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jc w:val="left"/>
        <w:tblInd w:w="-976" w:type="dxa"/>
        <w:tblW w:w="9428"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rPr>
          <w:trHeight w:val="550"/>
        </w:trPr>
        <w:tc>
          <w:tcPr>
            <w:tcW w:w="9428" w:type="dxa"/>
            <w:gridSpan w:val="9"/>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国有资本经营预算财政拨款支出决算表</w:t>
            </w:r>
          </w:p>
        </w:tc>
      </w:tr>
      <w:tr>
        <w:trPr>
          <w:trHeight w:val="300"/>
        </w:trPr>
        <w:tc>
          <w:tcPr>
            <w:tcW w:w="9428" w:type="dxa"/>
            <w:gridSpan w:val="9"/>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公开</w:t>
            </w:r>
            <w:r>
              <w:rPr>
                <w:rFonts w:ascii="Times New Roman" w:eastAsia="方正仿宋_GB2312" w:cs="Times New Roman" w:hAnsi="Times New Roman"/>
                <w:i w:val="0"/>
                <w:iCs w:val="0"/>
                <w:color w:val="000000"/>
                <w:kern w:val="0"/>
                <w:sz w:val="20"/>
                <w:szCs w:val="20"/>
                <w:u w:val="none"/>
                <w:lang w:val="en-US" w:eastAsia="zh-CN"/>
                <w:highlight w:val="auto"/>
              </w:rPr>
              <w:t>08</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表</w:t>
            </w:r>
          </w:p>
        </w:tc>
      </w:tr>
      <w:tr>
        <w:trPr>
          <w:trHeight w:val="300"/>
        </w:trPr>
        <w:tc>
          <w:tcPr>
            <w:tcW w:w="3724" w:type="dxa"/>
            <w:gridSpan w:val="2"/>
            <w:tcBorders>
              <w:top w:val="nil"/>
              <w:left w:val="nil"/>
              <w:bottom w:val="single" w:sz="8" w:space="0" w:color="000000"/>
              <w:right w:val="nil"/>
            </w:tcBorders>
            <w:vAlign w:val="bottom"/>
          </w:tcPr>
          <w:p>
            <w:pPr>
              <w:keepNext w:val="0"/>
              <w:keepLines w:val="0"/>
              <w:widowControl/>
              <w:suppressLineNumbers w:val="0"/>
              <w:jc w:val="both"/>
              <w:textAlignment w:val="bottom"/>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部门（单位）：中国共产党正定县委员会老干部局（本级）</w:t>
            </w:r>
          </w:p>
        </w:tc>
        <w:tc>
          <w:tcPr>
            <w:tcW w:w="2680" w:type="dxa"/>
            <w:gridSpan w:val="4"/>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20"/>
                <w:szCs w:val="20"/>
                <w:u w:val="none"/>
                <w:lang w:val="en-US" w:eastAsia="zh-CN"/>
                <w:highlight w:val="auto"/>
              </w:rPr>
            </w:pPr>
            <w:r>
              <w:rPr>
                <w:rFonts w:ascii="Times New Roman" w:eastAsia="宋体" w:cs="Times New Roman" w:hAnsi="Times New Roman"/>
                <w:i w:val="0"/>
                <w:iCs w:val="0"/>
                <w:color w:val="000000"/>
                <w:kern w:val="0"/>
                <w:sz w:val="20"/>
                <w:szCs w:val="20"/>
                <w:u w:val="none"/>
                <w:lang w:val="en-US" w:eastAsia="zh-CN"/>
                <w:highlight w:val="auto"/>
              </w:rPr>
              <w:t>202</w:t>
            </w:r>
            <w:r>
              <w:rPr>
                <w:rFonts w:ascii="Times New Roman" w:eastAsia="宋体" w:cs="Times New Roman" w:hAnsi="Times New Roman" w:hint="eastAsia"/>
                <w:i w:val="0"/>
                <w:iCs w:val="0"/>
                <w:color w:val="000000"/>
                <w:kern w:val="0"/>
                <w:sz w:val="20"/>
                <w:szCs w:val="20"/>
                <w:u w:val="none"/>
                <w:lang w:val="en-US" w:eastAsia="zh-CN"/>
                <w:highlight w:val="auto"/>
              </w:rPr>
              <w:t>5</w:t>
            </w:r>
            <w:r>
              <w:rPr>
                <w:rFonts w:ascii="方正仿宋_GB2312" w:eastAsia="方正仿宋_GB2312" w:cs="方正仿宋_GB2312" w:hAnsi="方正仿宋_GB2312" w:hint="eastAsia"/>
                <w:i w:val="0"/>
                <w:iCs w:val="0"/>
                <w:color w:val="000000"/>
                <w:kern w:val="0"/>
                <w:sz w:val="20"/>
                <w:szCs w:val="20"/>
                <w:u w:val="none"/>
                <w:lang w:val="en-US" w:eastAsia="zh-CN"/>
                <w:highlight w:val="auto"/>
              </w:rPr>
              <w:t>年度</w:t>
            </w:r>
          </w:p>
        </w:tc>
        <w:tc>
          <w:tcPr>
            <w:tcW w:w="3024" w:type="dxa"/>
            <w:gridSpan w:val="3"/>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金额单位：万元</w:t>
            </w:r>
          </w:p>
        </w:tc>
      </w:tr>
      <w:tr>
        <w:trPr>
          <w:trHeight w:val="312"/>
        </w:trPr>
        <w:tc>
          <w:tcPr>
            <w:tcW w:w="5020" w:type="dxa"/>
            <w:gridSpan w:val="3"/>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 xml:space="preserve"> 项目</w:t>
            </w:r>
          </w:p>
        </w:tc>
        <w:tc>
          <w:tcPr>
            <w:tcW w:w="4408" w:type="dxa"/>
            <w:gridSpan w:val="6"/>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本年支出</w:t>
            </w:r>
          </w:p>
        </w:tc>
      </w:tr>
      <w:tr>
        <w:trPr>
          <w:trHeight w:val="312"/>
        </w:trPr>
        <w:tc>
          <w:tcPr>
            <w:tcW w:w="5020" w:type="dxa"/>
            <w:gridSpan w:val="3"/>
            <w:vMerge/>
            <w:tcBorders>
              <w:top w:val="single" w:sz="8" w:space="0" w:color="000000"/>
              <w:left w:val="single" w:sz="8" w:space="0" w:color="000000"/>
              <w:bottom w:val="single" w:sz="8" w:space="0" w:color="000000"/>
              <w:right w:val="single" w:sz="8" w:space="0" w:color="000000"/>
            </w:tcBorders>
            <w:vAlign w:val="center"/>
          </w:tcPr>
          <w:p/>
        </w:tc>
        <w:tc>
          <w:tcPr>
            <w:tcW w:w="4408" w:type="dxa"/>
            <w:gridSpan w:val="6"/>
            <w:vMerge/>
            <w:tcBorders>
              <w:top w:val="single" w:sz="8" w:space="0" w:color="000000"/>
              <w:left w:val="single" w:sz="8" w:space="0" w:color="000000"/>
              <w:bottom w:val="single" w:sz="8" w:space="0" w:color="000000"/>
              <w:right w:val="single" w:sz="8" w:space="0" w:color="000000"/>
            </w:tcBorders>
            <w:vAlign w:val="center"/>
          </w:tcPr>
          <w:p/>
        </w:tc>
      </w:tr>
      <w:tr>
        <w:trPr>
          <w:trHeight w:val="312"/>
        </w:trPr>
        <w:tc>
          <w:tcPr>
            <w:tcW w:w="2993" w:type="dxa"/>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科目代码</w:t>
            </w:r>
          </w:p>
        </w:tc>
        <w:tc>
          <w:tcPr>
            <w:tcW w:w="2027" w:type="dxa"/>
            <w:gridSpan w:val="2"/>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科目名称</w:t>
            </w:r>
          </w:p>
        </w:tc>
        <w:tc>
          <w:tcPr>
            <w:tcW w:w="1337" w:type="dxa"/>
            <w:gridSpan w:val="2"/>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hint="eastAsia"/>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合计</w:t>
            </w:r>
          </w:p>
        </w:tc>
        <w:tc>
          <w:tcPr>
            <w:tcW w:w="1338" w:type="dxa"/>
            <w:gridSpan w:val="3"/>
            <w:vMerge w:val="restart"/>
            <w:tcBorders>
              <w:top w:val="single" w:sz="8" w:space="0" w:color="000000"/>
              <w:left w:val="single" w:sz="8" w:space="0" w:color="000000"/>
              <w:bottom w:val="single" w:sz="8" w:space="0" w:color="000000"/>
              <w:right w:val="single" w:sz="8"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基本支出</w:t>
            </w:r>
          </w:p>
        </w:tc>
        <w:tc>
          <w:tcPr>
            <w:tcW w:w="1733" w:type="dxa"/>
            <w:vMerge w:val="restart"/>
            <w:tcBorders>
              <w:top w:val="single" w:sz="8" w:space="0" w:color="000000"/>
              <w:left w:val="single" w:sz="8" w:space="0" w:color="000000"/>
              <w:bottom w:val="single" w:sz="8" w:space="0" w:color="000000"/>
              <w:right w:val="single" w:sz="4" w:space="0" w:color="000000"/>
            </w:tcBorders>
            <w:vAlign w:val="center"/>
          </w:tcPr>
          <w:p>
            <w:pPr>
              <w:jc w:val="center"/>
              <w:rPr>
                <w:rFonts w:ascii="方正仿宋_GB2312" w:eastAsia="方正仿宋_GB2312" w:cs="方正仿宋_GB2312" w:hAnsi="方正仿宋_GB2312"/>
                <w:i w:val="0"/>
                <w:iCs w:val="0"/>
                <w:color w:val="000000"/>
                <w:sz w:val="20"/>
                <w:szCs w:val="20"/>
                <w:u w:val="none"/>
                <w:lang w:val="en-US" w:eastAsia="zh-CN"/>
                <w:highlight w:val="auto"/>
              </w:rPr>
            </w:pPr>
            <w:r>
              <w:rPr>
                <w:rFonts w:ascii="方正仿宋_GB2312" w:eastAsia="方正仿宋_GB2312" w:cs="方正仿宋_GB2312" w:hAnsi="方正仿宋_GB2312" w:hint="eastAsia"/>
                <w:i w:val="0"/>
                <w:iCs w:val="0"/>
                <w:color w:val="000000"/>
                <w:sz w:val="20"/>
                <w:szCs w:val="20"/>
                <w:u w:val="none"/>
                <w:lang w:val="en-US" w:eastAsia="zh-CN"/>
                <w:highlight w:val="auto"/>
              </w:rPr>
              <w:t>项目支出</w:t>
            </w:r>
          </w:p>
        </w:tc>
      </w:tr>
      <w:tr>
        <w:trPr>
          <w:trHeight w:val="312"/>
        </w:trPr>
        <w:tc>
          <w:tcPr>
            <w:tcW w:w="2993" w:type="dxa"/>
            <w:vMerge/>
            <w:tcBorders>
              <w:top w:val="single" w:sz="8" w:space="0" w:color="000000"/>
              <w:left w:val="single" w:sz="8" w:space="0" w:color="000000"/>
              <w:bottom w:val="single" w:sz="8" w:space="0" w:color="000000"/>
              <w:right w:val="single" w:sz="8" w:space="0" w:color="000000"/>
            </w:tcBorders>
            <w:vAlign w:val="center"/>
          </w:tcPr>
          <w:p/>
        </w:tc>
        <w:tc>
          <w:tcPr>
            <w:tcW w:w="202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337"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338" w:type="dxa"/>
            <w:gridSpan w:val="3"/>
            <w:vMerge/>
            <w:tcBorders>
              <w:top w:val="single" w:sz="8" w:space="0" w:color="000000"/>
              <w:left w:val="single" w:sz="8" w:space="0" w:color="000000"/>
              <w:bottom w:val="single" w:sz="8" w:space="0" w:color="000000"/>
              <w:right w:val="single" w:sz="8" w:space="0" w:color="000000"/>
            </w:tcBorders>
            <w:vAlign w:val="center"/>
          </w:tcPr>
          <w:p/>
        </w:tc>
        <w:tc>
          <w:tcPr>
            <w:tcW w:w="1733" w:type="dxa"/>
            <w:vMerge/>
            <w:tcBorders>
              <w:top w:val="single" w:sz="8" w:space="0" w:color="000000"/>
              <w:left w:val="single" w:sz="8" w:space="0" w:color="000000"/>
              <w:bottom w:val="single" w:sz="8" w:space="0" w:color="000000"/>
              <w:right w:val="single" w:sz="4" w:space="0" w:color="000000"/>
            </w:tcBorders>
            <w:vAlign w:val="center"/>
          </w:tcPr>
          <w:p/>
        </w:tc>
      </w:tr>
      <w:tr>
        <w:trPr>
          <w:trHeight w:val="308"/>
        </w:trPr>
        <w:tc>
          <w:tcPr>
            <w:tcW w:w="5020"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栏次</w:t>
            </w:r>
          </w:p>
        </w:tc>
        <w:tc>
          <w:tcPr>
            <w:tcW w:w="1332"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1</w:t>
            </w:r>
          </w:p>
        </w:tc>
        <w:tc>
          <w:tcPr>
            <w:tcW w:w="1333"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2</w:t>
            </w:r>
          </w:p>
        </w:tc>
        <w:tc>
          <w:tcPr>
            <w:tcW w:w="1743" w:type="dxa"/>
            <w:gridSpan w:val="2"/>
            <w:tcBorders>
              <w:top w:val="single" w:sz="8" w:space="0" w:color="000000"/>
              <w:left w:val="single" w:sz="8" w:space="0" w:color="000000"/>
              <w:bottom w:val="single" w:sz="8" w:space="0" w:color="000000"/>
              <w:right w:val="single" w:sz="4"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hint="eastAsia"/>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3</w:t>
            </w:r>
          </w:p>
        </w:tc>
      </w:tr>
      <w:tr>
        <w:trPr>
          <w:trHeight w:val="308"/>
        </w:trPr>
        <w:tc>
          <w:tcPr>
            <w:tcW w:w="5020" w:type="dxa"/>
            <w:gridSpan w:val="3"/>
            <w:tcBorders>
              <w:top w:val="single" w:sz="8" w:space="0" w:color="000000"/>
              <w:left w:val="single" w:sz="8" w:space="0" w:color="000000"/>
              <w:bottom w:val="single" w:sz="8" w:space="0" w:color="000000"/>
              <w:right w:val="single" w:sz="8" w:space="0" w:color="000000"/>
            </w:tcBorders>
            <w:vAlign w:val="center"/>
          </w:tcPr>
          <w:p>
            <w:pPr>
              <w:jc w:val="center"/>
              <w:rPr>
                <w:rFonts w:ascii="Times New Roman" w:eastAsia="宋体" w:cs="Times New Roman" w:hAnsi="Times New Roman"/>
                <w:i w:val="0"/>
                <w:iCs w:val="0"/>
                <w:color w:val="000000"/>
                <w:sz w:val="20"/>
                <w:szCs w:val="20"/>
                <w:u w:val="none"/>
                <w:lang w:val="en-US" w:eastAsia="zh-CN"/>
                <w:highlight w:val="auto"/>
              </w:rPr>
            </w:pPr>
            <w:r>
              <w:rPr>
                <w:rFonts w:ascii="Times New Roman" w:eastAsia="方正仿宋_GB2312" w:cs="Times New Roman" w:hAnsi="Times New Roman" w:hint="eastAsia"/>
                <w:i w:val="0"/>
                <w:iCs w:val="0"/>
                <w:color w:val="000000"/>
                <w:sz w:val="20"/>
                <w:szCs w:val="20"/>
                <w:u w:val="none"/>
                <w:lang w:val="en-US" w:eastAsia="zh-CN"/>
                <w:highlight w:val="auto"/>
              </w:rPr>
              <w:t>合计</w:t>
            </w:r>
          </w:p>
        </w:tc>
        <w:tc>
          <w:tcPr>
            <w:tcW w:w="1332"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333" w:type="dxa"/>
            <w:gridSpan w:val="3"/>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c>
          <w:tcPr>
            <w:tcW w:w="1743" w:type="dxa"/>
            <w:gridSpan w:val="2"/>
            <w:tcBorders>
              <w:top w:val="single" w:sz="8" w:space="0" w:color="000000"/>
              <w:left w:val="single" w:sz="8" w:space="0" w:color="000000"/>
              <w:bottom w:val="single" w:sz="8" w:space="0" w:color="000000"/>
              <w:right w:val="single" w:sz="4" w:space="0" w:color="000000"/>
            </w:tcBorders>
            <w:vAlign w:val="center"/>
          </w:tcPr>
          <w:p>
            <w:pPr>
              <w:jc w:val="right"/>
              <w:rPr>
                <w:rFonts w:ascii="Times New Roman" w:eastAsia="宋体" w:cs="Times New Roman" w:hAnsi="Times New Roman"/>
                <w:i w:val="0"/>
                <w:iCs w:val="0"/>
                <w:color w:val="000000"/>
                <w:sz w:val="20"/>
                <w:szCs w:val="20"/>
                <w:u w:val="none"/>
                <w:highlight w:val="auto"/>
              </w:rPr>
            </w:pPr>
          </w:p>
        </w:tc>
      </w:tr>
      <w:tr>
        <w:trPr>
          <w:trHeight w:val="308"/>
        </w:trPr>
        <w:tc>
          <w:tcPr>
            <w:tcW w:w="9428" w:type="dxa"/>
            <w:gridSpan w:val="9"/>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20"/>
                <w:szCs w:val="20"/>
                <w:u w:val="none"/>
                <w:highlight w:val="auto"/>
              </w:rPr>
            </w:pPr>
            <w:r>
              <w:rPr>
                <w:rFonts w:ascii="方正仿宋_GB2312" w:eastAsia="方正仿宋_GB2312" w:cs="方正仿宋_GB2312" w:hAnsi="方正仿宋_GB2312" w:hint="eastAsia"/>
                <w:i w:val="0"/>
                <w:iCs w:val="0"/>
                <w:color w:val="000000"/>
                <w:kern w:val="0"/>
                <w:sz w:val="20"/>
                <w:szCs w:val="20"/>
                <w:u w:val="none"/>
                <w:lang w:val="en-US" w:eastAsia="zh-CN"/>
                <w:highlight w:val="auto"/>
              </w:rPr>
              <w:t>注：本表反映部门本年度国有资本经营预算财政拨款支出情况。我单位本年度无相关数据，空表列示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tbl>
      <w:tblPr>
        <w:tblpPr w:leftFromText="180" w:rightFromText="180" w:vertAnchor="text" w:horzAnchor="page" w:tblpX="282" w:tblpY="39"/>
        <w:tblOverlap w:val="never"/>
        <w:tblW w:w="11596"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rPr>
          <w:trHeight w:val="550"/>
        </w:trPr>
        <w:tc>
          <w:tcPr>
            <w:tcW w:w="11596" w:type="dxa"/>
            <w:gridSpan w:val="14"/>
            <w:tcBorders>
              <w:top w:val="nil"/>
              <w:left w:val="nil"/>
              <w:bottom w:val="nil"/>
              <w:right w:val="nil"/>
            </w:tcBorders>
            <w:vAlign w:val="bottom"/>
          </w:tcPr>
          <w:p>
            <w:pPr>
              <w:keepNext w:val="0"/>
              <w:keepLines w:val="0"/>
              <w:widowControl/>
              <w:suppressLineNumbers w:val="0"/>
              <w:jc w:val="center"/>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b w:val="0"/>
                <w:bCs/>
                <w:color w:val="auto"/>
                <w:kern w:val="0"/>
                <w:sz w:val="32"/>
                <w:szCs w:val="32"/>
                <w:lang w:val="en-US" w:eastAsia="zh-CN"/>
                <w:highlight w:val="auto"/>
              </w:rPr>
              <w:t>财政拨款“三公”经费支出决算表</w:t>
            </w:r>
          </w:p>
        </w:tc>
      </w:tr>
      <w:tr>
        <w:trPr>
          <w:trHeight w:val="260"/>
        </w:trPr>
        <w:tc>
          <w:tcPr>
            <w:tcW w:w="11596" w:type="dxa"/>
            <w:gridSpan w:val="14"/>
            <w:tcBorders>
              <w:top w:val="nil"/>
              <w:left w:val="nil"/>
              <w:bottom w:val="nil"/>
              <w:right w:val="nil"/>
            </w:tcBorders>
            <w:vAlign w:val="bottom"/>
          </w:tcPr>
          <w:p>
            <w:pPr>
              <w:keepNext w:val="0"/>
              <w:keepLines w:val="0"/>
              <w:widowControl/>
              <w:suppressLineNumbers w:val="0"/>
              <w:jc w:val="right"/>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公开</w:t>
            </w:r>
            <w:r>
              <w:rPr>
                <w:rFonts w:ascii="Times New Roman" w:eastAsia="方正仿宋_GB2312" w:cs="Times New Roman" w:hAnsi="Times New Roman"/>
                <w:i w:val="0"/>
                <w:iCs w:val="0"/>
                <w:color w:val="000000"/>
                <w:kern w:val="0"/>
                <w:sz w:val="18"/>
                <w:szCs w:val="18"/>
                <w:u w:val="none"/>
                <w:lang w:val="en-US" w:eastAsia="zh-CN"/>
                <w:highlight w:val="auto"/>
              </w:rPr>
              <w:t>09</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表</w:t>
            </w:r>
          </w:p>
        </w:tc>
      </w:tr>
      <w:tr>
        <w:trPr>
          <w:trHeight w:val="260"/>
        </w:trPr>
        <w:tc>
          <w:tcPr>
            <w:tcW w:w="4492" w:type="dxa"/>
            <w:gridSpan w:val="5"/>
            <w:tcBorders>
              <w:top w:val="nil"/>
              <w:left w:val="nil"/>
              <w:bottom w:val="single" w:sz="8" w:space="0" w:color="000000"/>
              <w:right w:val="nil"/>
            </w:tcBorders>
            <w:vAlign w:val="bottom"/>
          </w:tcPr>
          <w:p>
            <w:pPr>
              <w:keepNext w:val="0"/>
              <w:keepLines w:val="0"/>
              <w:widowControl/>
              <w:suppressLineNumbers w:val="0"/>
              <w:jc w:val="left"/>
              <w:textAlignment w:val="bottom"/>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部门（单位）：中国共产党正定县委员会老干部局（本级）</w:t>
            </w:r>
          </w:p>
        </w:tc>
        <w:tc>
          <w:tcPr>
            <w:tcW w:w="2166" w:type="dxa"/>
            <w:gridSpan w:val="3"/>
            <w:tcBorders>
              <w:top w:val="nil"/>
              <w:left w:val="nil"/>
              <w:bottom w:val="single" w:sz="8" w:space="0" w:color="000000"/>
              <w:right w:val="nil"/>
            </w:tcBorders>
            <w:vAlign w:val="bottom"/>
          </w:tcPr>
          <w:p>
            <w:pPr>
              <w:keepNext w:val="0"/>
              <w:keepLines w:val="0"/>
              <w:widowControl/>
              <w:suppressLineNumbers w:val="0"/>
              <w:jc w:val="center"/>
              <w:textAlignment w:val="bottom"/>
              <w:rPr>
                <w:rFonts w:ascii="宋体" w:eastAsia="宋体" w:cs="宋体" w:hAnsi="宋体"/>
                <w:i w:val="0"/>
                <w:iCs w:val="0"/>
                <w:color w:val="000000"/>
                <w:kern w:val="0"/>
                <w:sz w:val="18"/>
                <w:szCs w:val="18"/>
                <w:u w:val="none"/>
                <w:lang w:val="en-US" w:eastAsia="zh-CN"/>
                <w:highlight w:val="auto"/>
              </w:rPr>
            </w:pPr>
            <w:r>
              <w:rPr>
                <w:rFonts w:ascii="Times New Roman" w:eastAsia="宋体" w:cs="Times New Roman" w:hAnsi="Times New Roman"/>
                <w:i w:val="0"/>
                <w:iCs w:val="0"/>
                <w:color w:val="000000"/>
                <w:kern w:val="0"/>
                <w:sz w:val="18"/>
                <w:szCs w:val="18"/>
                <w:u w:val="none"/>
                <w:lang w:val="en-US" w:eastAsia="zh-CN"/>
                <w:highlight w:val="auto"/>
              </w:rPr>
              <w:t>202</w:t>
            </w:r>
            <w:r>
              <w:rPr>
                <w:rFonts w:ascii="Times New Roman" w:eastAsia="宋体" w:cs="Times New Roman" w:hAnsi="Times New Roman" w:hint="eastAsia"/>
                <w:i w:val="0"/>
                <w:iCs w:val="0"/>
                <w:color w:val="000000"/>
                <w:kern w:val="0"/>
                <w:sz w:val="18"/>
                <w:szCs w:val="18"/>
                <w:u w:val="none"/>
                <w:lang w:val="en-US" w:eastAsia="zh-CN"/>
                <w:highlight w:val="auto"/>
              </w:rPr>
              <w:t>5</w:t>
            </w:r>
            <w:r>
              <w:rPr>
                <w:rFonts w:ascii="方正仿宋_GB2312" w:eastAsia="方正仿宋_GB2312" w:cs="方正仿宋_GB2312" w:hAnsi="方正仿宋_GB2312" w:hint="eastAsia"/>
                <w:i w:val="0"/>
                <w:iCs w:val="0"/>
                <w:color w:val="000000"/>
                <w:kern w:val="0"/>
                <w:sz w:val="18"/>
                <w:szCs w:val="18"/>
                <w:u w:val="none"/>
                <w:lang w:val="en-US" w:eastAsia="zh-CN"/>
                <w:highlight w:val="auto"/>
              </w:rPr>
              <w:t>年度</w:t>
            </w:r>
          </w:p>
        </w:tc>
        <w:tc>
          <w:tcPr>
            <w:tcW w:w="4938" w:type="dxa"/>
            <w:gridSpan w:val="6"/>
            <w:tcBorders>
              <w:top w:val="nil"/>
              <w:left w:val="nil"/>
              <w:bottom w:val="single" w:sz="8" w:space="0" w:color="000000"/>
              <w:right w:val="nil"/>
            </w:tcBorders>
            <w:vAlign w:val="bottom"/>
          </w:tcPr>
          <w:p>
            <w:pPr>
              <w:keepNext w:val="0"/>
              <w:keepLines w:val="0"/>
              <w:widowControl/>
              <w:suppressLineNumbers w:val="0"/>
              <w:jc w:val="right"/>
              <w:textAlignment w:val="bottom"/>
              <w:rPr>
                <w:rFonts w:ascii="宋体" w:eastAsia="宋体" w:cs="宋体" w:hAnsi="宋体"/>
                <w:i w:val="0"/>
                <w:iCs w:val="0"/>
                <w:color w:val="000000"/>
                <w:kern w:val="0"/>
                <w:sz w:val="18"/>
                <w:szCs w:val="18"/>
                <w:u w:val="none"/>
                <w:lang w:val="en-US" w:eastAsia="zh-CN"/>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金额单位：万元</w:t>
            </w:r>
          </w:p>
        </w:tc>
      </w:tr>
      <w:tr>
        <w:trPr>
          <w:trHeight w:val="431"/>
        </w:trPr>
        <w:tc>
          <w:tcPr>
            <w:tcW w:w="5813" w:type="dxa"/>
            <w:gridSpan w:val="7"/>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预算数</w:t>
            </w:r>
          </w:p>
        </w:tc>
        <w:tc>
          <w:tcPr>
            <w:tcW w:w="5783" w:type="dxa"/>
            <w:gridSpan w:val="7"/>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决算数</w:t>
            </w:r>
          </w:p>
        </w:tc>
      </w:tr>
      <w:tr>
        <w:trPr>
          <w:trHeight w:val="431"/>
        </w:trPr>
        <w:tc>
          <w:tcPr>
            <w:tcW w:w="9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合计</w:t>
            </w:r>
          </w:p>
        </w:tc>
        <w:tc>
          <w:tcPr>
            <w:tcW w:w="1226"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w:t>
            </w:r>
          </w:p>
        </w:tc>
        <w:tc>
          <w:tcPr>
            <w:tcW w:w="2823" w:type="dxa"/>
            <w:gridSpan w:val="4"/>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公务用车购置及运行维护费</w:t>
            </w:r>
          </w:p>
        </w:tc>
        <w:tc>
          <w:tcPr>
            <w:tcW w:w="77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c>
          <w:tcPr>
            <w:tcW w:w="850" w:type="dxa"/>
            <w:gridSpan w:val="2"/>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合计</w:t>
            </w:r>
          </w:p>
        </w:tc>
        <w:tc>
          <w:tcPr>
            <w:tcW w:w="1133"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因公出国（境）费</w:t>
            </w:r>
          </w:p>
        </w:tc>
        <w:tc>
          <w:tcPr>
            <w:tcW w:w="2613" w:type="dxa"/>
            <w:gridSpan w:val="3"/>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公务用车购置及运行维护费</w:t>
            </w:r>
          </w:p>
        </w:tc>
        <w:tc>
          <w:tcPr>
            <w:tcW w:w="1187" w:type="dxa"/>
            <w:vMerge w:val="restart"/>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公务接待费</w:t>
            </w:r>
          </w:p>
        </w:tc>
      </w:tr>
      <w:tr>
        <w:trPr>
          <w:trHeight w:val="431"/>
        </w:trPr>
        <w:tc>
          <w:tcPr>
            <w:tcW w:w="987" w:type="dxa"/>
            <w:vMerge/>
            <w:tcBorders>
              <w:top w:val="single" w:sz="8" w:space="0" w:color="000000"/>
              <w:left w:val="single" w:sz="8" w:space="0" w:color="000000"/>
              <w:bottom w:val="single" w:sz="8" w:space="0" w:color="000000"/>
              <w:right w:val="single" w:sz="8" w:space="0" w:color="000000"/>
            </w:tcBorders>
            <w:vAlign w:val="center"/>
          </w:tcPr>
          <w:p/>
        </w:tc>
        <w:tc>
          <w:tcPr>
            <w:tcW w:w="1226" w:type="dxa"/>
            <w:vMerge/>
            <w:tcBorders>
              <w:top w:val="single" w:sz="8" w:space="0" w:color="000000"/>
              <w:left w:val="single" w:sz="8" w:space="0" w:color="000000"/>
              <w:bottom w:val="single" w:sz="8" w:space="0" w:color="000000"/>
              <w:right w:val="single" w:sz="8" w:space="0" w:color="000000"/>
            </w:tcBorders>
            <w:vAlign w:val="center"/>
          </w:tcPr>
          <w:p/>
        </w:tc>
        <w:tc>
          <w:tcPr>
            <w:tcW w:w="81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小计</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公务用车购置费</w:t>
            </w: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777" w:type="dxa"/>
            <w:vMerge/>
            <w:tcBorders>
              <w:top w:val="single" w:sz="8" w:space="0" w:color="000000"/>
              <w:left w:val="single" w:sz="8" w:space="0" w:color="000000"/>
              <w:bottom w:val="single" w:sz="8" w:space="0" w:color="000000"/>
              <w:right w:val="single" w:sz="8" w:space="0" w:color="000000"/>
            </w:tcBorders>
            <w:vAlign w:val="center"/>
          </w:tcPr>
          <w:p/>
        </w:tc>
        <w:tc>
          <w:tcPr>
            <w:tcW w:w="850" w:type="dxa"/>
            <w:gridSpan w:val="2"/>
            <w:vMerge/>
            <w:tcBorders>
              <w:top w:val="single" w:sz="8" w:space="0" w:color="000000"/>
              <w:left w:val="single" w:sz="8" w:space="0" w:color="000000"/>
              <w:bottom w:val="single" w:sz="8" w:space="0" w:color="000000"/>
              <w:right w:val="single" w:sz="8" w:space="0" w:color="000000"/>
            </w:tcBorders>
            <w:vAlign w:val="center"/>
          </w:tcPr>
          <w:p/>
        </w:tc>
        <w:tc>
          <w:tcPr>
            <w:tcW w:w="1133" w:type="dxa"/>
            <w:vMerge/>
            <w:tcBorders>
              <w:top w:val="single" w:sz="8" w:space="0" w:color="000000"/>
              <w:left w:val="single" w:sz="8" w:space="0" w:color="000000"/>
              <w:bottom w:val="single" w:sz="8" w:space="0" w:color="000000"/>
              <w:right w:val="single" w:sz="8" w:space="0" w:color="000000"/>
            </w:tcBorders>
            <w:vAlign w:val="center"/>
          </w:tcPr>
          <w:p/>
        </w:tc>
        <w:tc>
          <w:tcPr>
            <w:tcW w:w="6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小计</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公务用车购置费</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方正仿宋_GB2312" w:eastAsia="方正仿宋_GB2312" w:cs="方正仿宋_GB2312" w:hAnsi="方正仿宋_GB2312"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公务用车运行维护费</w:t>
            </w:r>
          </w:p>
        </w:tc>
        <w:tc>
          <w:tcPr>
            <w:tcW w:w="1187" w:type="dxa"/>
            <w:vMerge/>
            <w:tcBorders>
              <w:top w:val="single" w:sz="8" w:space="0" w:color="000000"/>
              <w:left w:val="single" w:sz="8" w:space="0" w:color="000000"/>
              <w:bottom w:val="single" w:sz="8" w:space="0" w:color="000000"/>
              <w:right w:val="single" w:sz="8" w:space="0" w:color="000000"/>
            </w:tcBorders>
            <w:vAlign w:val="center"/>
          </w:tcPr>
          <w:p/>
        </w:tc>
      </w:tr>
      <w:tr>
        <w:trPr>
          <w:trHeight w:val="431"/>
        </w:trPr>
        <w:tc>
          <w:tcPr>
            <w:tcW w:w="9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w:t>
            </w:r>
          </w:p>
        </w:tc>
        <w:tc>
          <w:tcPr>
            <w:tcW w:w="122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2</w:t>
            </w:r>
          </w:p>
        </w:tc>
        <w:tc>
          <w:tcPr>
            <w:tcW w:w="814"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3</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4</w:t>
            </w: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5</w:t>
            </w:r>
          </w:p>
        </w:tc>
        <w:tc>
          <w:tcPr>
            <w:tcW w:w="77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6</w:t>
            </w: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7</w:t>
            </w:r>
          </w:p>
        </w:tc>
        <w:tc>
          <w:tcPr>
            <w:tcW w:w="1133"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8</w:t>
            </w:r>
          </w:p>
        </w:tc>
        <w:tc>
          <w:tcPr>
            <w:tcW w:w="640"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9</w:t>
            </w:r>
          </w:p>
        </w:tc>
        <w:tc>
          <w:tcPr>
            <w:tcW w:w="102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10</w:t>
            </w:r>
          </w:p>
        </w:tc>
        <w:tc>
          <w:tcPr>
            <w:tcW w:w="946"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11</w:t>
            </w:r>
          </w:p>
        </w:tc>
        <w:tc>
          <w:tcPr>
            <w:tcW w:w="1187" w:type="dxa"/>
            <w:tcBorders>
              <w:top w:val="single" w:sz="8" w:space="0" w:color="000000"/>
              <w:left w:val="single" w:sz="8" w:space="0" w:color="000000"/>
              <w:bottom w:val="single" w:sz="8" w:space="0" w:color="000000"/>
              <w:right w:val="single" w:sz="8" w:space="0" w:color="000000"/>
            </w:tcBorders>
            <w:vAlign w:val="center"/>
          </w:tcPr>
          <w:p>
            <w:pPr>
              <w:keepNext w:val="0"/>
              <w:keepLines w:val="0"/>
              <w:widowControl/>
              <w:suppressLineNumbers w:val="0"/>
              <w:jc w:val="center"/>
              <w:textAlignment w:val="center"/>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kern w:val="0"/>
                <w:sz w:val="18"/>
                <w:szCs w:val="18"/>
                <w:u w:val="none"/>
                <w:lang w:val="en-US" w:eastAsia="zh-CN"/>
                <w:highlight w:val="auto"/>
              </w:rPr>
              <w:t>12</w:t>
            </w:r>
          </w:p>
        </w:tc>
      </w:tr>
      <w:tr>
        <w:trPr>
          <w:trHeight w:val="431"/>
        </w:trPr>
        <w:tc>
          <w:tcPr>
            <w:tcW w:w="9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2.</w:t>
            </w:r>
            <w:r>
              <w:rPr>
                <w:rFonts w:ascii="Times New Roman" w:eastAsia="方正仿宋_GB2312" w:cs="Times New Roman" w:hAnsi="Times New Roman" w:hint="eastAsia"/>
                <w:i w:val="0"/>
                <w:iCs w:val="0"/>
                <w:color w:val="000000"/>
                <w:sz w:val="18"/>
                <w:szCs w:val="18"/>
                <w:u w:val="none"/>
                <w:lang w:val="en-US" w:eastAsia="zh-CN"/>
                <w:highlight w:val="auto"/>
              </w:rPr>
              <w:t>28</w:t>
            </w:r>
          </w:p>
        </w:tc>
        <w:tc>
          <w:tcPr>
            <w:tcW w:w="122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814"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2.</w:t>
            </w:r>
            <w:r>
              <w:rPr>
                <w:rFonts w:ascii="Times New Roman" w:eastAsia="方正仿宋_GB2312" w:cs="Times New Roman" w:hAnsi="Times New Roman" w:hint="eastAsia"/>
                <w:i w:val="0"/>
                <w:iCs w:val="0"/>
                <w:color w:val="000000"/>
                <w:sz w:val="18"/>
                <w:szCs w:val="18"/>
                <w:u w:val="none"/>
                <w:lang w:val="en-US" w:eastAsia="zh-CN"/>
                <w:highlight w:val="auto"/>
              </w:rPr>
              <w:t>28</w:t>
            </w:r>
          </w:p>
        </w:tc>
        <w:tc>
          <w:tcPr>
            <w:tcW w:w="9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1063"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lang w:val="en-US" w:eastAsia="zh-CN"/>
                <w:highlight w:val="auto"/>
              </w:rPr>
            </w:pPr>
            <w:r>
              <w:rPr>
                <w:rFonts w:ascii="Times New Roman" w:eastAsia="方正仿宋_GB2312" w:cs="Times New Roman" w:hAnsi="Times New Roman"/>
                <w:i w:val="0"/>
                <w:iCs w:val="0"/>
                <w:color w:val="000000"/>
                <w:sz w:val="18"/>
                <w:szCs w:val="18"/>
                <w:u w:val="none"/>
                <w:highlight w:val="auto"/>
              </w:rPr>
              <w:t>2.</w:t>
            </w:r>
            <w:r>
              <w:rPr>
                <w:rFonts w:ascii="Times New Roman" w:eastAsia="方正仿宋_GB2312" w:cs="Times New Roman" w:hAnsi="Times New Roman" w:hint="eastAsia"/>
                <w:i w:val="0"/>
                <w:iCs w:val="0"/>
                <w:color w:val="000000"/>
                <w:sz w:val="18"/>
                <w:szCs w:val="18"/>
                <w:u w:val="none"/>
                <w:lang w:val="en-US" w:eastAsia="zh-CN"/>
                <w:highlight w:val="auto"/>
              </w:rPr>
              <w:t>28</w:t>
            </w:r>
          </w:p>
        </w:tc>
        <w:tc>
          <w:tcPr>
            <w:tcW w:w="77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850" w:type="dxa"/>
            <w:gridSpan w:val="2"/>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2.15</w:t>
            </w:r>
          </w:p>
        </w:tc>
        <w:tc>
          <w:tcPr>
            <w:tcW w:w="1133"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640"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2.15</w:t>
            </w:r>
          </w:p>
        </w:tc>
        <w:tc>
          <w:tcPr>
            <w:tcW w:w="102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c>
          <w:tcPr>
            <w:tcW w:w="946"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r>
              <w:rPr>
                <w:rFonts w:ascii="Times New Roman" w:eastAsia="方正仿宋_GB2312" w:cs="Times New Roman" w:hAnsi="Times New Roman"/>
                <w:i w:val="0"/>
                <w:iCs w:val="0"/>
                <w:color w:val="000000"/>
                <w:sz w:val="18"/>
                <w:szCs w:val="18"/>
                <w:u w:val="none"/>
                <w:highlight w:val="auto"/>
              </w:rPr>
              <w:t>2.15</w:t>
            </w:r>
          </w:p>
        </w:tc>
        <w:tc>
          <w:tcPr>
            <w:tcW w:w="1187" w:type="dxa"/>
            <w:tcBorders>
              <w:top w:val="single" w:sz="8" w:space="0" w:color="000000"/>
              <w:left w:val="single" w:sz="8" w:space="0" w:color="000000"/>
              <w:bottom w:val="single" w:sz="8" w:space="0" w:color="000000"/>
              <w:right w:val="single" w:sz="8" w:space="0" w:color="000000"/>
            </w:tcBorders>
            <w:vAlign w:val="center"/>
          </w:tcPr>
          <w:p>
            <w:pPr>
              <w:jc w:val="right"/>
              <w:rPr>
                <w:rFonts w:ascii="Times New Roman" w:eastAsia="方正仿宋_GB2312" w:cs="Times New Roman" w:hAnsi="Times New Roman"/>
                <w:i w:val="0"/>
                <w:iCs w:val="0"/>
                <w:color w:val="000000"/>
                <w:sz w:val="18"/>
                <w:szCs w:val="18"/>
                <w:u w:val="none"/>
                <w:highlight w:val="auto"/>
              </w:rPr>
            </w:pPr>
          </w:p>
        </w:tc>
      </w:tr>
      <w:tr>
        <w:trPr>
          <w:trHeight w:val="431"/>
        </w:trPr>
        <w:tc>
          <w:tcPr>
            <w:tcW w:w="11596" w:type="dxa"/>
            <w:gridSpan w:val="14"/>
            <w:tcBorders>
              <w:top w:val="single" w:sz="8" w:space="0" w:color="000000"/>
              <w:left w:val="nil"/>
              <w:bottom w:val="nil"/>
              <w:right w:val="nil"/>
            </w:tcBorders>
            <w:vAlign w:val="center"/>
          </w:tcPr>
          <w:p>
            <w:pPr>
              <w:keepNext w:val="0"/>
              <w:keepLines w:val="0"/>
              <w:widowControl/>
              <w:suppressLineNumbers w:val="0"/>
              <w:jc w:val="left"/>
              <w:textAlignment w:val="center"/>
              <w:rPr>
                <w:rFonts w:ascii="宋体" w:eastAsia="宋体" w:cs="宋体" w:hAnsi="宋体" w:hint="eastAsia"/>
                <w:i w:val="0"/>
                <w:iCs w:val="0"/>
                <w:color w:val="000000"/>
                <w:sz w:val="18"/>
                <w:szCs w:val="18"/>
                <w:u w:val="none"/>
                <w:highlight w:val="auto"/>
              </w:rPr>
            </w:pPr>
            <w:r>
              <w:rPr>
                <w:rFonts w:ascii="方正仿宋_GB2312" w:eastAsia="方正仿宋_GB2312" w:cs="方正仿宋_GB2312" w:hAnsi="方正仿宋_GB2312" w:hint="eastAsia"/>
                <w:i w:val="0"/>
                <w:iCs w:val="0"/>
                <w:color w:val="000000"/>
                <w:kern w:val="0"/>
                <w:sz w:val="18"/>
                <w:szCs w:val="18"/>
                <w:u w:val="none"/>
                <w:lang w:val="en-US" w:eastAsia="zh-CN"/>
                <w:highlight w:val="auto"/>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pPr>
    </w:p>
    <w:p>
      <w:pPr>
        <w:rPr>
          <w:rFonts w:ascii="仿宋_GB2312" w:eastAsia="仿宋_GB2312" w:hAnsi="宋体" w:hint="eastAsia"/>
          <w:b/>
          <w:color w:val="auto"/>
          <w:kern w:val="0"/>
          <w:sz w:val="32"/>
          <w:szCs w:val="32"/>
          <w:highlight w:val="auto"/>
        </w:rPr>
      </w:pPr>
      <w:r>
        <w:rPr>
          <w:rFonts w:ascii="仿宋_GB2312" w:eastAsia="仿宋_GB2312" w:hAnsi="宋体" w:hint="eastAsia"/>
          <w:b/>
          <w:color w:val="auto"/>
          <w:kern w:val="0"/>
          <w:sz w:val="32"/>
          <w:szCs w:val="32"/>
          <w:highlight w:val="auto"/>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ascii="仿宋_GB2312" w:eastAsia="仿宋_GB2312" w:hAnsi="宋体" w:hint="eastAsia"/>
          <w:b/>
          <w:color w:val="auto"/>
          <w:kern w:val="0"/>
          <w:sz w:val="32"/>
          <w:szCs w:val="32"/>
          <w:highlight w:val="auto"/>
        </w:rPr>
        <w:sectPr>
          <w:headerReference w:type="default" r:id="rId9"/>
          <w:footerReference w:type="default" r:id="rId10"/>
          <w:pgSz w:w="11906" w:h="16838"/>
          <w:pgMar w:top="1531" w:right="1984" w:bottom="1531" w:left="2098" w:header="851" w:footer="992" w:gutter="0"/>
          <w:docGrid w:type="lines" w:linePitch="312" w:charSpace="0"/>
        </w:sect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rPr>
          <w:rFonts w:ascii="黑体" w:eastAsia="黑体" w:cs="黑体" w:hAnsi="宋体" w:hint="eastAsia"/>
          <w:i w:val="0"/>
          <w:iCs w:val="0"/>
          <w:caps w:val="0"/>
          <w:smallCaps w:val="0"/>
          <w:color w:val="000000"/>
          <w:spacing w:val="-20"/>
          <w:sz w:val="72"/>
          <w:szCs w:val="72"/>
          <w:shd w:val="clear" w:color="auto" w:fill="FFFFFF"/>
          <w:lang w:val="en-US" w:eastAsia="zh-CN"/>
          <w:highlight w:val="auto"/>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第三部分</w:t>
      </w:r>
      <w:r>
        <w:rPr>
          <w:rFonts w:ascii="Times New Roman" w:eastAsia="仿宋_GB2312" w:hAnsi="Times New Roman"/>
          <w:b w:val="0"/>
          <w:sz w:val="44"/>
          <w:szCs w:val="44"/>
        </w:rPr>
        <w:t>2025</w:t>
      </w:r>
      <w:r>
        <w:rPr>
          <w:rFonts w:ascii="Times New Roman" w:eastAsia="黑体" w:hAnsi="Times New Roman"/>
          <w:b w:val="0"/>
          <w:sz w:val="44"/>
          <w:szCs w:val="44"/>
        </w:rPr>
        <w:t>年度部门决算情况说明</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pP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both"/>
        <w:outlineLvl w:val="1"/>
        <w:rPr>
          <w:rFonts w:ascii="黑体" w:eastAsia="黑体" w:cs="Times New Roman" w:hAnsi="Calibri" w:hint="eastAsia"/>
          <w:kern w:val="2"/>
          <w:sz w:val="32"/>
          <w:szCs w:val="32"/>
          <w:lang w:val="en-US" w:eastAsia="zh-CN" w:bidi="ar-SA"/>
        </w:rPr>
        <w:sectPr>
          <w:footerReference w:type="default" r:id="rId11"/>
          <w:pgSz w:w="11906" w:h="16838"/>
          <w:pgMar w:top="2098" w:right="1417" w:bottom="1871" w:left="1417" w:header="851" w:footer="992" w:gutter="0"/>
          <w:rtlGutter/>
          <w:docGrid w:type="lines" w:linePitch="329" w:charSpace="0"/>
        </w:sectPr>
      </w:pP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一、收入支出决算总体情况说明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本单位2025年度收、支总计（含结转和结余）均为434.06万元。与2024年度决算相比，收支各增加49.19万元，增长12.8%，主要原因是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Arial" w:cs="Times New Roman" w:hAnsi="Times New Roman"/>
          <w:highlight w:val="auto"/>
        </w:rPr>
      </w:pPr>
      <w:r>
        <w:rPr>
          <w:rFonts w:ascii="Times New Roman" w:eastAsia="宋体" w:hAnsi="Times New Roman" w:hint="eastAsia"/>
        </w:rPr>
        <w:drawing>
          <wp:inline distT="0" distB="0" distL="114300" distR="114300">
            <wp:extent cx="5256530" cy="2988310"/>
            <wp:effectExtent l="0" t="0" r="0" b="0"/>
            <wp:docPr id="7" name="图表 5"/>
            <wp:cNvGraphicFramePr>
              <a:graphicFrameLocks noChangeAspect="0"/>
            </wp:cNvGraphicFramePr>
            <a:graphic>
              <a:graphicData uri="http://schemas.openxmlformats.org/drawingml/2006/chart">
                <c:chart xmlns:c="http://schemas.openxmlformats.org/drawingml/2006/chart" r:id="rId12"/>
              </a:graphicData>
            </a:graphic>
          </wp:inline>
        </w:drawing>
      </w:r>
      <w:r>
        <w:rPr>
          <w:rFonts w:ascii="Times New Roman" w:eastAsia="Arial" w:cs="Times New Roman" w:hAnsi="Times New Roman"/>
          <w:i w:val="0"/>
          <w:iCs w:val="0"/>
          <w:caps w:val="0"/>
          <w:smallCaps w:val="0"/>
          <w:color w:val="000000"/>
          <w:spacing w:val="0"/>
          <w:sz w:val="18"/>
          <w:szCs w:val="18"/>
          <w:shd w:val="clear" w:color="auto" w:fill="FFFFFF"/>
          <w:highlight w:val="auto"/>
        </w:rPr>
        <w:t> </w:t>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二、收入决算情况说明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本年收入合计434.06万元，其中：财政拨款收入434.06万元，占100.0%；上级补助收入0.00万元，占0.0%；事业收入0.00万元，占0.0%；经营收入0.00万元，占0.0%；附属单位上缴收入0.00万元，占0.0%；其他收入0.00万元，占0.0%。</w:t>
      </w:r>
    </w:p>
    <w:p>
      <w:pPr>
        <w:adjustRightInd w:val="0"/>
        <w:snapToGrid w:val="0"/>
        <w:spacing w:line="580" w:lineRule="exact"/>
        <w:jc w:val="both"/>
        <w:rPr>
          <w:rFonts w:ascii="Times New Roman" w:eastAsia="仿宋_GB2312" w:cs="Times New Roman" w:hAnsi="Times New Roman"/>
          <w:kern w:val="2"/>
          <w:sz w:val="32"/>
          <w:szCs w:val="32"/>
          <w:lang w:val="zh-CN"/>
          <w:highlight w:val="yellow"/>
        </w:rPr>
      </w:pPr>
      <w:r>
        <w:rPr>
          <w:rFonts w:ascii="Times New Roman" w:eastAsia="仿宋_GB2312" w:hAnsi="Times New Roman"/>
          <w:kern w:val="2"/>
          <w:sz w:val="32"/>
          <w:szCs w:val="32"/>
          <w:lang w:val="zh-CN"/>
          <w:highlight w:val="yellow"/>
        </w:rPr>
        <w:drawing>
          <wp:anchor distT="0" distB="0" distL="114300" distR="114300" simplePos="0" relativeHeight="30" behindDoc="0" locked="0" layoutInCell="1" hidden="0" allowOverlap="1">
            <wp:simplePos x="0" y="0"/>
            <wp:positionH relativeFrom="column">
              <wp:posOffset>-16510</wp:posOffset>
            </wp:positionH>
            <wp:positionV relativeFrom="paragraph">
              <wp:posOffset>201930</wp:posOffset>
            </wp:positionV>
            <wp:extent cx="5256530" cy="2988310"/>
            <wp:effectExtent l="0" t="0" r="0" b="0"/>
            <wp:wrapTopAndBottom/>
            <wp:docPr id="8" name="图表 9"/>
            <wp:cNvGraphicFramePr>
              <a:graphicFrameLocks noChangeAspect="0"/>
            </wp:cNvGraphicFramePr>
            <a:graphic>
              <a:graphicData uri="http://schemas.openxmlformats.org/drawingml/2006/chart">
                <c:chart xmlns:c="http://schemas.openxmlformats.org/drawingml/2006/chart" r:id="rId13"/>
              </a:graphicData>
            </a:graphic>
          </wp:anchor>
        </w:drawing>
      </w:r>
    </w:p>
    <w:p>
      <w:pPr>
        <w:widowControl/>
        <w:spacing w:before="0" w:beforeAutospacing="0" w:after="0" w:afterAutospacing="0" w:line="360" w:lineRule="auto"/>
        <w:jc w:val="left"/>
        <w:outlineLvl w:val="1"/>
        <w:rPr>
          <w:rFonts w:ascii="Times New Roman" w:eastAsia="黑体" w:hAnsi="Times New Roman"/>
          <w:sz w:val="32"/>
          <w:szCs w:val="32"/>
        </w:rPr>
      </w:pPr>
      <w:r>
        <w:rPr>
          <w:rFonts w:ascii="Times New Roman" w:eastAsia="黑体" w:hAnsi="Times New Roman"/>
          <w:b w:val="0"/>
          <w:sz w:val="32"/>
          <w:szCs w:val="32"/>
        </w:rPr>
        <w:t>三、支出决算情况说明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本单位2025年度本年支出合计434.06万元，其中：基本支出431.06万元，占99.3%；项目支出3.00万元，占0.7%；经营支出0.00万元，占0.0%；上缴上级支出0.00万元，占0.0%；对附属单位补助支出0.00万元，占0.0%。</w:t>
      </w:r>
    </w:p>
    <w:p>
      <w:pPr>
        <w:autoSpaceDE w:val="0"/>
        <w:autoSpaceDN w:val="0"/>
        <w:adjustRightInd w:val="0"/>
        <w:jc w:val="center"/>
        <w:rPr>
          <w:rFonts w:ascii="Times New Roman" w:eastAsia="仿宋_GB2312" w:cs="Times New Roman" w:hAnsi="Times New Roman"/>
          <w:color w:val="auto"/>
          <w:kern w:val="0"/>
          <w:sz w:val="32"/>
          <w:szCs w:val="32"/>
          <w:lang w:val="en-US" w:eastAsia="zh-CN" w:bidi="ar-SA"/>
          <w:highlight w:val="auto"/>
        </w:rPr>
      </w:pPr>
      <w:r>
        <w:rPr>
          <w:rFonts w:ascii="Times New Roman" w:eastAsia="仿宋_GB2312" w:cs="Times New Roman" w:hAnsi="Times New Roman"/>
          <w:sz w:val="32"/>
          <w:szCs w:val="32"/>
          <w:highlight w:val="auto"/>
        </w:rPr>
        <w:drawing>
          <wp:inline distT="0" distB="0" distL="114300" distR="114300">
            <wp:extent cx="5256530" cy="2988310"/>
            <wp:effectExtent l="0" t="0" r="0" b="0"/>
            <wp:docPr id="9" name="图表 7"/>
            <wp:cNvGraphicFramePr>
              <a:graphicFrameLocks noChangeAspect="0"/>
            </wp:cNvGraphicFramePr>
            <a:graphic>
              <a:graphicData uri="http://schemas.openxmlformats.org/drawingml/2006/chart">
                <c:chart xmlns:c="http://schemas.openxmlformats.org/drawingml/2006/chart" r:id="rId14"/>
              </a:graphicData>
            </a:graphic>
          </wp:inline>
        </w:drawing>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四、财政拨款收入支出决算总体情况说明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（一）财政拨款收支与</w:t>
      </w:r>
      <w:r>
        <w:rPr>
          <w:rFonts w:ascii="Times New Roman" w:eastAsia="仿宋_GB2312" w:hAnsi="Times New Roman"/>
          <w:b/>
          <w:sz w:val="32"/>
          <w:szCs w:val="32"/>
        </w:rPr>
        <w:t>2024</w:t>
      </w:r>
      <w:r>
        <w:rPr>
          <w:rFonts w:ascii="Times New Roman" w:eastAsia="楷体_GB2312" w:hAnsi="Times New Roman"/>
          <w:b/>
          <w:sz w:val="32"/>
          <w:szCs w:val="32"/>
        </w:rPr>
        <w:t>年度决算对比情况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本单位2025年度财政拨款收、支总计（含结转和结余）均为434.06万元。与2024年度相比，财政拨款收支各增加49.19万元，增长12.8%，主要原因是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本单位2025年度财政拨款本年收入434.06万元,比上年增加49.19万元，增长12.8%，主要原因是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；本年支出434.06万元，比上年增加49.19万元，增长12.8%，主要原因是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outlineLvl w:val="1"/>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一般公共预算财政拨款本年收入434.06万元,比上年增加49.19万元，增长12.8%，主要原因是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；本年支出434.06万元，比上年增加49.19万元，增长12.8%，主要原因是</w:t>
      </w:r>
      <w:r>
        <w:rPr>
          <w:rFonts w:ascii="Times New Roman" w:eastAsia="仿宋_GB2312" w:hAnsi="Times New Roman" w:hint="eastAsia"/>
          <w:b w:val="0"/>
          <w:sz w:val="32"/>
          <w:szCs w:val="32"/>
          <w:lang w:eastAsia="zh-CN"/>
        </w:rPr>
        <w:t>人员经费增加</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政府性基金预算财政拨款本年收入0.00万元，比上年增加0.00万元，增长0.00%，主要原因是</w:t>
      </w:r>
      <w:r>
        <w:rPr>
          <w:rFonts w:ascii="Times New Roman" w:eastAsia="仿宋_GB2312" w:cs="Times New Roman" w:hAnsi="Times New Roman" w:hint="eastAsia"/>
          <w:kern w:val="2"/>
          <w:sz w:val="32"/>
          <w:szCs w:val="32"/>
          <w:lang w:val="en-US" w:eastAsia="zh-CN"/>
        </w:rPr>
        <w:t>2024-2025年度均无政府性基金预算财政拨款收入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2024-2025年度均无政府性基金预算财政拨款支出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国有资本经营预算财政拨款本年收入0.00万元，比上年增加0.00万元，增长0.00%，主要原因是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支出</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sz w:val="32"/>
          <w:szCs w:val="32"/>
          <w:lang w:val="en-US" w:eastAsia="zh-CN"/>
          <w:highlight w:val="auto"/>
        </w:rPr>
      </w:pPr>
      <w:r>
        <w:rPr>
          <w:rFonts w:ascii="Times New Roman" w:eastAsia="仿宋_GB2312" w:hAnsi="Times New Roman"/>
          <w:sz w:val="32"/>
          <w:szCs w:val="32"/>
        </w:rPr>
        <w:drawing>
          <wp:inline distT="0" distB="0" distL="114300" distR="114300">
            <wp:extent cx="5256530" cy="3189605"/>
            <wp:effectExtent l="0" t="0" r="0" b="0"/>
            <wp:docPr id="10" name="图表 19"/>
            <wp:cNvGraphicFramePr>
              <a:graphicFrameLocks noChangeAspect="0"/>
            </wp:cNvGraphicFramePr>
            <a:graphic>
              <a:graphicData uri="http://schemas.openxmlformats.org/drawingml/2006/chart">
                <c:chart xmlns:c="http://schemas.openxmlformats.org/drawingml/2006/chart" r:id="rId15"/>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（二）财政拨款收支与年初预算数对比情况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本单位2025年度财政拨款本年收入434.06万元，完成年初预算的97.1%，比年初预算减少12.99万元，决算数小于预算数主要原因是</w:t>
      </w:r>
      <w:r>
        <w:rPr>
          <w:rFonts w:ascii="Times New Roman" w:eastAsia="仿宋_GB2312" w:hAnsi="Times New Roman" w:hint="eastAsia"/>
          <w:b w:val="0"/>
          <w:sz w:val="32"/>
          <w:szCs w:val="32"/>
          <w:lang w:eastAsia="zh-CN"/>
        </w:rPr>
        <w:t>人员经费减少</w:t>
      </w:r>
      <w:r>
        <w:rPr>
          <w:rFonts w:ascii="Times New Roman" w:eastAsia="仿宋_GB2312" w:hAnsi="Times New Roman"/>
          <w:b w:val="0"/>
          <w:sz w:val="32"/>
          <w:szCs w:val="32"/>
        </w:rPr>
        <w:t>；本年支出434.06万元，完成年初预算的97.1%，比年初预算减少12.99万元，决算数小于预算数主要原因是</w:t>
      </w:r>
      <w:r>
        <w:rPr>
          <w:rFonts w:ascii="Times New Roman" w:eastAsia="仿宋_GB2312" w:hAnsi="Times New Roman" w:hint="eastAsia"/>
          <w:b w:val="0"/>
          <w:sz w:val="32"/>
          <w:szCs w:val="32"/>
          <w:lang w:eastAsia="zh-CN"/>
        </w:rPr>
        <w:t>人员经费减少</w:t>
      </w:r>
      <w:r>
        <w:rPr>
          <w:rFonts w:ascii="Times New Roman" w:eastAsia="仿宋_GB2312" w:hAnsi="Times New Roman"/>
          <w:b w:val="0"/>
          <w:sz w:val="32"/>
          <w:szCs w:val="32"/>
        </w:rPr>
        <w:t>。具体情况如下：</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 一般公共预算财政拨款本年收入完成年初预算的97.1%，比年初预算减少12.99万元，主要原因是</w:t>
      </w:r>
      <w:r>
        <w:rPr>
          <w:rFonts w:ascii="Times New Roman" w:eastAsia="仿宋_GB2312" w:hAnsi="Times New Roman" w:hint="eastAsia"/>
          <w:b w:val="0"/>
          <w:sz w:val="32"/>
          <w:szCs w:val="32"/>
          <w:lang w:eastAsia="zh-CN"/>
        </w:rPr>
        <w:t>人员经费减少</w:t>
      </w:r>
      <w:r>
        <w:rPr>
          <w:rFonts w:ascii="Times New Roman" w:eastAsia="仿宋_GB2312" w:hAnsi="Times New Roman"/>
          <w:b w:val="0"/>
          <w:sz w:val="32"/>
          <w:szCs w:val="32"/>
        </w:rPr>
        <w:t>；支出完成年初预算的97.1%，比年初预算减少12.99万元，主要原因是</w:t>
      </w:r>
      <w:r>
        <w:rPr>
          <w:rFonts w:ascii="Times New Roman" w:eastAsia="仿宋_GB2312" w:hAnsi="Times New Roman" w:hint="eastAsia"/>
          <w:b w:val="0"/>
          <w:sz w:val="32"/>
          <w:szCs w:val="32"/>
          <w:lang w:eastAsia="zh-CN"/>
        </w:rPr>
        <w:t>人员经费减少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政府性基金预算财政拨款本年收入完成年初预算的0.0%，比年初预算增加0.00万元，主要原因是</w:t>
      </w:r>
      <w:r>
        <w:rPr>
          <w:rFonts w:ascii="Times New Roman" w:eastAsia="仿宋_GB2312" w:cs="Times New Roman" w:hAnsi="Times New Roman" w:hint="eastAsia"/>
          <w:kern w:val="2"/>
          <w:sz w:val="32"/>
          <w:szCs w:val="32"/>
          <w:lang w:val="en-US" w:eastAsia="zh-CN"/>
        </w:rPr>
        <w:t>2024-2025年度均无政府性基金预算财政拨款收入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2024-2025年度均无政府性基金预算财政拨款支出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3. 国有资本经营预算财政拨款本年收入完成年初预算的0.0%，比年初预算增加0.00万元，主要原因是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收入</w:t>
      </w:r>
      <w:r>
        <w:rPr>
          <w:rFonts w:ascii="Times New Roman" w:eastAsia="仿宋_GB2312" w:hAnsi="Times New Roman"/>
          <w:b w:val="0"/>
          <w:sz w:val="32"/>
          <w:szCs w:val="32"/>
        </w:rPr>
        <w:t>；本年支出0.00万元，比上年增加0.00万元，增长0.00%，主要原因是</w:t>
      </w:r>
      <w:r>
        <w:rPr>
          <w:rFonts w:ascii="Times New Roman" w:eastAsia="仿宋_GB2312" w:cs="Times New Roman" w:hAnsi="Times New Roman" w:hint="eastAsia"/>
          <w:kern w:val="2"/>
          <w:sz w:val="32"/>
          <w:szCs w:val="32"/>
          <w:lang w:val="en-US" w:eastAsia="zh-CN"/>
        </w:rPr>
        <w:t>2024-2025年度均无</w:t>
      </w:r>
      <w:r>
        <w:rPr>
          <w:rFonts w:ascii="Times New Roman" w:eastAsia="仿宋_GB2312" w:cs="Times New Roman" w:hAnsi="Times New Roman"/>
          <w:kern w:val="2"/>
          <w:sz w:val="32"/>
          <w:szCs w:val="32"/>
          <w:lang w:val="zh-CN"/>
        </w:rPr>
        <w:t>国有资本经营预算财政拨款</w:t>
      </w:r>
      <w:r>
        <w:rPr>
          <w:rFonts w:ascii="Times New Roman" w:eastAsia="仿宋_GB2312" w:cs="Times New Roman" w:hAnsi="Times New Roman" w:hint="eastAsia"/>
          <w:kern w:val="2"/>
          <w:sz w:val="32"/>
          <w:szCs w:val="32"/>
          <w:lang w:val="zh-CN"/>
        </w:rPr>
        <w:t>支出</w:t>
      </w:r>
      <w:r>
        <w:rPr>
          <w:rFonts w:ascii="Times New Roman" w:eastAsia="仿宋_GB2312" w:hAnsi="Times New Roman"/>
          <w:b w:val="0"/>
          <w:sz w:val="32"/>
          <w:szCs w:val="32"/>
        </w:rPr>
        <w:t>。</w:t>
      </w:r>
    </w:p>
    <w:p>
      <w:pPr>
        <w:pStyle w:val="19"/>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ind w:left="0" w:right="0"/>
        <w:jc w:val="center"/>
        <w:rPr>
          <w:rFonts w:ascii="Times New Roman" w:eastAsia="仿宋_GB2312" w:cs="Times New Roman" w:hAnsi="Times New Roman"/>
          <w:color w:val="auto"/>
          <w:kern w:val="0"/>
          <w:sz w:val="32"/>
          <w:szCs w:val="32"/>
          <w:lang w:val="en-US" w:eastAsia="zh-CN" w:bidi="ar-SA"/>
          <w:highlight w:val="auto"/>
        </w:rPr>
      </w:pPr>
      <w:r>
        <w:rPr>
          <w:rFonts w:ascii="Times New Roman" w:eastAsia="仿宋_GB2312" w:hAnsi="Times New Roman"/>
          <w:sz w:val="32"/>
          <w:szCs w:val="32"/>
          <w:highlight w:val="auto"/>
        </w:rPr>
        <w:drawing>
          <wp:inline distT="0" distB="0" distL="114300" distR="114300">
            <wp:extent cx="5256530" cy="2988310"/>
            <wp:effectExtent l="0" t="0" r="0" b="0"/>
            <wp:docPr id="11" name="图表 11"/>
            <wp:cNvGraphicFramePr>
              <a:graphicFrameLocks noChangeAspect="0"/>
            </wp:cNvGraphicFramePr>
            <a:graphic>
              <a:graphicData uri="http://schemas.openxmlformats.org/drawingml/2006/chart">
                <c:chart xmlns:c="http://schemas.openxmlformats.org/drawingml/2006/chart" r:id="rId16"/>
              </a:graphicData>
            </a:graphic>
          </wp:inline>
        </w:drawing>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（三）财政拨款支出决算结构情况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2025年度财政拨款支出434.06万元，主要用于以下方面：</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一般公共预算财政拨款支出：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一般公共服务（类）支出347.89万元，占80.1%，主要用于</w:t>
      </w:r>
      <w:r>
        <w:rPr>
          <w:rFonts w:ascii="仿宋_GB2312" w:eastAsia="仿宋_GB2312" w:cs="DengXian-Regular" w:hAnsi="Times New Roman" w:hint="eastAsia"/>
          <w:sz w:val="32"/>
          <w:szCs w:val="32"/>
        </w:rPr>
        <w:t>人员、公用及项目</w:t>
      </w:r>
      <w:r>
        <w:rPr>
          <w:rFonts w:ascii="Times New Roman" w:eastAsia="仿宋_GB2312" w:hAnsi="Times New Roman"/>
          <w:b w:val="0"/>
          <w:sz w:val="32"/>
          <w:szCs w:val="32"/>
        </w:rPr>
        <w:t>支出；社会保障和就业 （类）支出65.97万元，占15.2%，主要用于</w:t>
      </w:r>
      <w:r>
        <w:rPr>
          <w:rFonts w:ascii="仿宋_GB2312" w:eastAsia="仿宋_GB2312" w:cs="DengXian-Regular" w:hAnsi="Times New Roman" w:hint="eastAsia"/>
          <w:sz w:val="32"/>
          <w:szCs w:val="32"/>
        </w:rPr>
        <w:t>缴纳养老保险支出</w:t>
      </w:r>
      <w:r>
        <w:rPr>
          <w:rFonts w:ascii="Times New Roman" w:eastAsia="仿宋_GB2312" w:hAnsi="Times New Roman"/>
          <w:b w:val="0"/>
          <w:sz w:val="32"/>
          <w:szCs w:val="32"/>
        </w:rPr>
        <w:t>；卫生健康（类）支出7.51万元，占1.7%，主要用于</w:t>
      </w:r>
      <w:r>
        <w:rPr>
          <w:rFonts w:ascii="仿宋_GB2312" w:eastAsia="仿宋_GB2312" w:cs="DengXian-Regular" w:hAnsi="Times New Roman" w:hint="eastAsia"/>
          <w:sz w:val="32"/>
          <w:szCs w:val="32"/>
        </w:rPr>
        <w:t>缴纳医疗保险支出</w:t>
      </w:r>
      <w:r>
        <w:rPr>
          <w:rFonts w:ascii="Times New Roman" w:eastAsia="仿宋_GB2312" w:hAnsi="Times New Roman" w:hint="eastAsia"/>
          <w:b w:val="0"/>
          <w:sz w:val="32"/>
          <w:szCs w:val="32"/>
          <w:lang w:eastAsia="zh-CN"/>
        </w:rPr>
        <w:t>；</w:t>
      </w:r>
      <w:r>
        <w:rPr>
          <w:rFonts w:ascii="Times New Roman" w:eastAsia="仿宋_GB2312" w:hAnsi="Times New Roman"/>
          <w:b w:val="0"/>
          <w:sz w:val="32"/>
          <w:szCs w:val="32"/>
        </w:rPr>
        <w:t>住房保障（类）支出12.69万元，占2.9%，主要用于</w:t>
      </w:r>
      <w:r>
        <w:rPr>
          <w:rFonts w:ascii="仿宋_GB2312" w:eastAsia="仿宋_GB2312" w:cs="DengXian-Regular" w:hAnsi="Times New Roman" w:hint="eastAsia"/>
          <w:sz w:val="32"/>
          <w:szCs w:val="32"/>
        </w:rPr>
        <w:t>缴纳住房公积金支出</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（四）一般公共预算财政拨款基本支出决算情况说明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2025年度财政拨款基本支出431.06万元，其中：</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人员经费411.42万元，主要包括基本工资、津贴补贴、奖金、伙食补助费、绩效工资、机关事业基本养老保险缴费、职业年金缴费、公务员医疗补助缴费、住房公积金、医疗费、其他社会保障缴费、其他工资福利支出、 退休费、 生活补助、奖励金、其他对个人和家庭的补助支出。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公用经费19.64万元，主要包括办公费、印刷费、邮电费、取暖费、维修（护）费、租赁费、工会经费、福利费、公务用车运行维护费、其他交通费用、其他商品和服务支出、办公设备购置。</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五、财政拨款“三公” 经费支出决算情况说明</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（一）“三公”经费财政拨款支出决算总体情况说明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本单位2025年度“三公”经费财政拨款支出预算为2.</w:t>
      </w:r>
      <w:r>
        <w:rPr>
          <w:rFonts w:ascii="Times New Roman" w:eastAsia="仿宋_GB2312" w:hAnsi="Times New Roman" w:hint="eastAsia"/>
          <w:b w:val="0"/>
          <w:sz w:val="32"/>
          <w:szCs w:val="32"/>
          <w:lang w:val="en-US" w:eastAsia="zh-CN"/>
        </w:rPr>
        <w:t>28</w:t>
      </w:r>
      <w:r>
        <w:rPr>
          <w:rFonts w:ascii="Times New Roman" w:eastAsia="仿宋_GB2312" w:hAnsi="Times New Roman"/>
          <w:b w:val="0"/>
          <w:sz w:val="32"/>
          <w:szCs w:val="32"/>
        </w:rPr>
        <w:t>万元，支出决算为2.15万元，完成预算的</w:t>
      </w:r>
      <w:r>
        <w:rPr>
          <w:rFonts w:ascii="Times New Roman" w:eastAsia="仿宋_GB2312" w:hAnsi="Times New Roman" w:hint="eastAsia"/>
          <w:b w:val="0"/>
          <w:sz w:val="32"/>
          <w:szCs w:val="32"/>
          <w:lang w:val="en-US" w:eastAsia="zh-CN"/>
        </w:rPr>
        <w:t>94.29</w:t>
      </w:r>
      <w:r>
        <w:rPr>
          <w:rFonts w:ascii="Times New Roman" w:eastAsia="仿宋_GB2312" w:hAnsi="Times New Roman"/>
          <w:b w:val="0"/>
          <w:sz w:val="32"/>
          <w:szCs w:val="32"/>
        </w:rPr>
        <w:t>%，较预算</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0.13</w:t>
      </w:r>
      <w:r>
        <w:rPr>
          <w:rFonts w:ascii="Times New Roman" w:eastAsia="仿宋_GB2312" w:hAnsi="Times New Roman"/>
          <w:b w:val="0"/>
          <w:sz w:val="32"/>
          <w:szCs w:val="32"/>
        </w:rPr>
        <w:t>万元，</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5.7</w:t>
      </w:r>
      <w:r>
        <w:rPr>
          <w:rFonts w:ascii="Times New Roman" w:eastAsia="仿宋_GB2312" w:hAnsi="Times New Roman"/>
          <w:b w:val="0"/>
          <w:sz w:val="32"/>
          <w:szCs w:val="32"/>
        </w:rPr>
        <w:t>%，主要原因是认真贯彻落实中央八项规定精神和厉行节约要求，从严控制“三公”经费开支；较2024年度决算减少0.12万元，降低5.7%，主要原因是</w:t>
      </w:r>
      <w:r>
        <w:rPr>
          <w:rFonts w:ascii="Times New Roman" w:eastAsia="仿宋_GB2312" w:cs="Times New Roman" w:hAnsi="Times New Roman" w:hint="eastAsia"/>
          <w:color w:val="auto"/>
          <w:kern w:val="2"/>
          <w:sz w:val="32"/>
          <w:szCs w:val="32"/>
          <w:lang w:val="zh-CN" w:eastAsia="zh-CN" w:bidi="ar-SA"/>
        </w:rPr>
        <w:t>公务用车维修费减少</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楷体_GB2312" w:hAnsi="Times New Roman"/>
          <w:sz w:val="32"/>
          <w:szCs w:val="32"/>
        </w:rPr>
      </w:pPr>
      <w:r>
        <w:rPr>
          <w:rFonts w:ascii="Times New Roman" w:eastAsia="楷体_GB2312" w:hAnsi="Times New Roman"/>
          <w:b/>
          <w:sz w:val="32"/>
          <w:szCs w:val="32"/>
        </w:rPr>
        <w:t>（二）“三公”经费财政拨款支出决算具体情况说明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lang w:val="en-US"/>
        </w:rPr>
      </w:pPr>
      <w:r>
        <w:rPr>
          <w:rFonts w:ascii="Times New Roman" w:eastAsia="楷体_GB2312" w:hAnsi="Times New Roman"/>
          <w:b/>
          <w:sz w:val="32"/>
          <w:szCs w:val="32"/>
        </w:rPr>
        <w:t>1.因公出国（境）费支出情况。</w:t>
      </w:r>
      <w:r>
        <w:rPr>
          <w:rFonts w:ascii="Times New Roman" w:eastAsia="仿宋_GB2312" w:hAnsi="Times New Roman"/>
          <w:b w:val="0"/>
          <w:sz w:val="32"/>
          <w:szCs w:val="32"/>
        </w:rPr>
        <w:t>本单位2025年度因公出国（境）费支出预算为0.00万元,支出决算0.00万元。完成预算的0.0%。</w:t>
      </w:r>
      <w:r>
        <w:rPr>
          <w:rFonts w:ascii="Times New Roman" w:eastAsia="仿宋_GB2312" w:cs="Times New Roman" w:hAnsi="Times New Roman"/>
          <w:color w:val="auto"/>
          <w:kern w:val="2"/>
          <w:sz w:val="32"/>
          <w:szCs w:val="32"/>
          <w:lang w:val="en-US" w:eastAsia="zh-CN" w:bidi="ar-SA"/>
        </w:rPr>
        <w:t>因公出国（境）费支出较预算</w:t>
      </w:r>
      <w:r>
        <w:rPr>
          <w:rFonts w:ascii="Times New Roman" w:eastAsia="仿宋_GB2312" w:cs="Times New Roman" w:hAnsi="Times New Roman" w:hint="eastAsia"/>
          <w:color w:val="auto"/>
          <w:kern w:val="2"/>
          <w:sz w:val="32"/>
          <w:szCs w:val="32"/>
          <w:lang w:val="zh-CN" w:eastAsia="zh-CN" w:bidi="ar-SA"/>
        </w:rPr>
        <w:t>持平，</w:t>
      </w:r>
      <w:r>
        <w:rPr>
          <w:rFonts w:ascii="Times New Roman" w:eastAsia="仿宋_GB2312" w:cs="Times New Roman" w:hAnsi="Times New Roman"/>
          <w:color w:val="auto"/>
          <w:kern w:val="2"/>
          <w:sz w:val="32"/>
          <w:szCs w:val="32"/>
          <w:lang w:val="en-US" w:eastAsia="zh-CN" w:bidi="ar-SA"/>
        </w:rPr>
        <w:t>无变化，主要是当年没有因公出国的工作任务，无因公出国（境）费用预算安排；因公出国（境）费支出较上年持平，无变化，主要是</w:t>
      </w:r>
      <w:r>
        <w:rPr>
          <w:rFonts w:ascii="Times New Roman" w:eastAsia="仿宋_GB2312" w:cs="Times New Roman" w:hAnsi="Times New Roman" w:hint="eastAsia"/>
          <w:color w:val="auto"/>
          <w:kern w:val="2"/>
          <w:sz w:val="32"/>
          <w:szCs w:val="32"/>
          <w:lang w:val="en-US" w:eastAsia="zh-CN" w:bidi="ar-SA"/>
        </w:rPr>
        <w:t>当年</w:t>
      </w:r>
      <w:r>
        <w:rPr>
          <w:rFonts w:ascii="Times New Roman" w:eastAsia="仿宋_GB2312" w:cs="Times New Roman" w:hAnsi="Times New Roman"/>
          <w:color w:val="auto"/>
          <w:kern w:val="2"/>
          <w:sz w:val="32"/>
          <w:szCs w:val="32"/>
          <w:lang w:val="en-US" w:eastAsia="zh-CN" w:bidi="ar-SA"/>
        </w:rPr>
        <w:t>没有因公出国的工作任务，没有安排相关预算。因公出国（境）团组0个、共0人、参加其他单位组织的因公出国（境）团组</w:t>
      </w:r>
      <w:r>
        <w:rPr>
          <w:rFonts w:ascii="Times New Roman" w:eastAsia="仿宋_GB2312" w:cs="Times New Roman" w:hAnsi="Times New Roman" w:hint="eastAsia"/>
          <w:color w:val="auto"/>
          <w:kern w:val="2"/>
          <w:sz w:val="32"/>
          <w:szCs w:val="32"/>
          <w:lang w:val="en-US" w:eastAsia="zh-CN" w:bidi="ar-SA"/>
        </w:rPr>
        <w:t>0</w:t>
      </w:r>
      <w:r>
        <w:rPr>
          <w:rFonts w:ascii="Times New Roman" w:eastAsia="仿宋_GB2312" w:cs="Times New Roman" w:hAnsi="Times New Roman"/>
          <w:color w:val="auto"/>
          <w:kern w:val="2"/>
          <w:sz w:val="32"/>
          <w:szCs w:val="32"/>
          <w:lang w:val="en-US" w:eastAsia="zh-CN" w:bidi="ar-SA"/>
        </w:rPr>
        <w:t>个、共</w:t>
      </w:r>
      <w:r>
        <w:rPr>
          <w:rFonts w:ascii="Times New Roman" w:eastAsia="仿宋_GB2312" w:cs="Times New Roman" w:hAnsi="Times New Roman" w:hint="eastAsia"/>
          <w:color w:val="auto"/>
          <w:kern w:val="2"/>
          <w:sz w:val="32"/>
          <w:szCs w:val="32"/>
          <w:lang w:val="en-US" w:eastAsia="zh-CN" w:bidi="ar-SA"/>
        </w:rPr>
        <w:t>0</w:t>
      </w:r>
      <w:r>
        <w:rPr>
          <w:rFonts w:ascii="Times New Roman" w:eastAsia="仿宋_GB2312" w:cs="Times New Roman" w:hAnsi="Times New Roman"/>
          <w:color w:val="auto"/>
          <w:kern w:val="2"/>
          <w:sz w:val="32"/>
          <w:szCs w:val="32"/>
          <w:lang w:val="en-US" w:eastAsia="zh-CN" w:bidi="ar-SA"/>
        </w:rPr>
        <w:t>人/无本部门组织的出国（境）团组</w:t>
      </w:r>
      <w:r>
        <w:rPr>
          <w:rFonts w:ascii="Times New Roman" w:eastAsia="仿宋_GB2312" w:cs="Times New Roman" w:hAnsi="Times New Roman" w:hint="eastAsia"/>
          <w:color w:val="auto"/>
          <w:kern w:val="2"/>
          <w:sz w:val="32"/>
          <w:szCs w:val="32"/>
          <w:lang w:val="en-US" w:eastAsia="zh-CN" w:bidi="ar-SA"/>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2.公务用车购置及运行维护费支出情况。</w:t>
      </w:r>
      <w:r>
        <w:rPr>
          <w:rFonts w:ascii="Times New Roman" w:eastAsia="仿宋_GB2312" w:hAnsi="Times New Roman"/>
          <w:b w:val="0"/>
          <w:sz w:val="32"/>
          <w:szCs w:val="32"/>
        </w:rPr>
        <w:t>本单位2025年度“三公”经费财政拨款支出预算为2.</w:t>
      </w:r>
      <w:r>
        <w:rPr>
          <w:rFonts w:ascii="Times New Roman" w:eastAsia="仿宋_GB2312" w:hAnsi="Times New Roman" w:hint="eastAsia"/>
          <w:b w:val="0"/>
          <w:sz w:val="32"/>
          <w:szCs w:val="32"/>
          <w:lang w:val="en-US" w:eastAsia="zh-CN"/>
        </w:rPr>
        <w:t>28</w:t>
      </w:r>
      <w:r>
        <w:rPr>
          <w:rFonts w:ascii="Times New Roman" w:eastAsia="仿宋_GB2312" w:hAnsi="Times New Roman"/>
          <w:b w:val="0"/>
          <w:sz w:val="32"/>
          <w:szCs w:val="32"/>
        </w:rPr>
        <w:t>万元，支出决算为2.15万元，完成预算的</w:t>
      </w:r>
      <w:r>
        <w:rPr>
          <w:rFonts w:ascii="Times New Roman" w:eastAsia="仿宋_GB2312" w:hAnsi="Times New Roman" w:hint="eastAsia"/>
          <w:b w:val="0"/>
          <w:sz w:val="32"/>
          <w:szCs w:val="32"/>
          <w:lang w:val="en-US" w:eastAsia="zh-CN"/>
        </w:rPr>
        <w:t>94.29</w:t>
      </w:r>
      <w:r>
        <w:rPr>
          <w:rFonts w:ascii="Times New Roman" w:eastAsia="仿宋_GB2312" w:hAnsi="Times New Roman"/>
          <w:b w:val="0"/>
          <w:sz w:val="32"/>
          <w:szCs w:val="32"/>
        </w:rPr>
        <w:t>%，较预算</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0.13</w:t>
      </w:r>
      <w:r>
        <w:rPr>
          <w:rFonts w:ascii="Times New Roman" w:eastAsia="仿宋_GB2312" w:hAnsi="Times New Roman"/>
          <w:b w:val="0"/>
          <w:sz w:val="32"/>
          <w:szCs w:val="32"/>
        </w:rPr>
        <w:t>万元，</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5.7</w:t>
      </w:r>
      <w:r>
        <w:rPr>
          <w:rFonts w:ascii="Times New Roman" w:eastAsia="仿宋_GB2312" w:hAnsi="Times New Roman"/>
          <w:b w:val="0"/>
          <w:sz w:val="32"/>
          <w:szCs w:val="32"/>
        </w:rPr>
        <w:t>%，主要原因是认真贯彻落实中央八项规定精神和厉行节约要求，从严控制“三公”经费开支；较2024年度决算减少0.12万元，降低5.7%，主要原因是</w:t>
      </w:r>
      <w:r>
        <w:rPr>
          <w:rFonts w:ascii="Times New Roman" w:eastAsia="仿宋_GB2312" w:cs="Times New Roman" w:hAnsi="Times New Roman" w:hint="eastAsia"/>
          <w:color w:val="auto"/>
          <w:kern w:val="2"/>
          <w:sz w:val="32"/>
          <w:szCs w:val="32"/>
          <w:lang w:val="zh-CN" w:eastAsia="zh-CN" w:bidi="ar-SA"/>
        </w:rPr>
        <w:t>公务用车维修费减少</w:t>
      </w:r>
      <w:r>
        <w:rPr>
          <w:rFonts w:ascii="Times New Roman" w:eastAsia="仿宋_GB2312" w:hAnsi="Times New Roman"/>
          <w:b w:val="0"/>
          <w:sz w:val="32"/>
          <w:szCs w:val="32"/>
        </w:rPr>
        <w:t>其中：</w:t>
      </w:r>
    </w:p>
    <w:p>
      <w:pPr>
        <w:widowControl/>
        <w:spacing w:before="0" w:beforeAutospacing="0" w:after="0" w:afterAutospacing="0" w:line="360" w:lineRule="auto"/>
        <w:ind w:firstLineChars="200" w:firstLine="640"/>
        <w:jc w:val="left"/>
        <w:rPr>
          <w:rFonts w:ascii="Times New Roman" w:eastAsia="仿宋_GB2312" w:cs="Times New Roman" w:hAnsi="Times New Roman" w:hint="eastAsia"/>
          <w:color w:val="000000"/>
          <w:sz w:val="32"/>
          <w:szCs w:val="32"/>
          <w:lang w:eastAsia="zh-CN"/>
          <w:highlight w:val="auto"/>
        </w:rPr>
      </w:pPr>
      <w:r>
        <w:rPr>
          <w:rFonts w:ascii="Times New Roman" w:eastAsia="仿宋_GB2312" w:hAnsi="Times New Roman"/>
          <w:b/>
          <w:sz w:val="32"/>
          <w:szCs w:val="32"/>
        </w:rPr>
        <w:t>公务用车购置费支出0.00万元：</w:t>
      </w:r>
      <w:r>
        <w:rPr>
          <w:rFonts w:ascii="Times New Roman" w:eastAsia="仿宋_GB2312" w:hAnsi="Times New Roman"/>
          <w:b w:val="0"/>
          <w:sz w:val="32"/>
          <w:szCs w:val="32"/>
        </w:rPr>
        <w:t>本单位2025年度公务用车购置量0辆，发生“公务用车购置”经费支出0.00万元。</w:t>
      </w:r>
      <w:r>
        <w:rPr>
          <w:rFonts w:ascii="Times New Roman" w:eastAsia="仿宋_GB2312" w:hAnsi="Times New Roman" w:hint="eastAsia"/>
          <w:b w:val="0"/>
          <w:sz w:val="32"/>
          <w:szCs w:val="32"/>
          <w:lang w:eastAsia="zh-CN"/>
        </w:rPr>
        <w:t>本单位</w:t>
      </w:r>
      <w:r>
        <w:rPr>
          <w:rFonts w:ascii="Times New Roman" w:eastAsia="仿宋_GB2312" w:cs="Times New Roman" w:hAnsi="Times New Roman"/>
          <w:color w:val="000000"/>
          <w:sz w:val="32"/>
          <w:szCs w:val="32"/>
          <w:highlight w:val="auto"/>
        </w:rPr>
        <w:t>未发生</w:t>
      </w:r>
      <w:r>
        <w:rPr>
          <w:rFonts w:ascii="Times New Roman" w:eastAsia="仿宋_GB2312" w:hAnsi="Times New Roman"/>
          <w:b w:val="0"/>
          <w:sz w:val="32"/>
          <w:szCs w:val="32"/>
        </w:rPr>
        <w:t>“公务用车购置”经费支出</w:t>
      </w:r>
      <w:r>
        <w:rPr>
          <w:rFonts w:ascii="Times New Roman" w:eastAsia="仿宋_GB2312" w:cs="Times New Roman" w:hAnsi="Times New Roman"/>
          <w:color w:val="000000"/>
          <w:sz w:val="32"/>
          <w:szCs w:val="32"/>
          <w:highlight w:val="auto"/>
        </w:rPr>
        <w:t>、“与预算持平”、“与202</w:t>
      </w:r>
      <w:r>
        <w:rPr>
          <w:rFonts w:ascii="Times New Roman" w:eastAsia="仿宋_GB2312" w:cs="Times New Roman" w:hAnsi="Times New Roman" w:hint="eastAsia"/>
          <w:color w:val="000000"/>
          <w:sz w:val="32"/>
          <w:szCs w:val="32"/>
          <w:lang w:val="en-US" w:eastAsia="zh-CN"/>
          <w:highlight w:val="auto"/>
        </w:rPr>
        <w:t>4</w:t>
      </w:r>
      <w:r>
        <w:rPr>
          <w:rFonts w:ascii="Times New Roman" w:eastAsia="仿宋_GB2312" w:cs="Times New Roman" w:hAnsi="Times New Roman"/>
          <w:color w:val="000000"/>
          <w:sz w:val="32"/>
          <w:szCs w:val="32"/>
          <w:highlight w:val="auto"/>
        </w:rPr>
        <w:t>年度决算支出持平</w:t>
      </w:r>
      <w:r>
        <w:rPr>
          <w:rFonts w:ascii="Times New Roman" w:eastAsia="仿宋_GB2312" w:cs="Times New Roman" w:hAnsi="Times New Roman"/>
          <w:color w:val="000000"/>
          <w:sz w:val="32"/>
          <w:szCs w:val="32"/>
          <w:lang w:val="en-US" w:eastAsia="zh-CN"/>
          <w:highlight w:val="auto"/>
        </w:rPr>
        <w:t>”</w:t>
      </w:r>
      <w:r>
        <w:rPr>
          <w:rFonts w:ascii="Times New Roman" w:eastAsia="仿宋_GB2312" w:cs="Times New Roman" w:hAnsi="Times New Roman" w:hint="eastAsia"/>
          <w:color w:val="000000"/>
          <w:sz w:val="32"/>
          <w:szCs w:val="32"/>
          <w:lang w:eastAsia="zh-CN"/>
          <w:highlight w:val="auto"/>
        </w:rPr>
        <w:t>。</w:t>
      </w:r>
    </w:p>
    <w:p>
      <w:pPr>
        <w:widowControl/>
        <w:spacing w:before="0" w:beforeAutospacing="0" w:after="0" w:afterAutospacing="0" w:line="360" w:lineRule="auto"/>
        <w:ind w:firstLineChars="200" w:firstLine="640"/>
        <w:jc w:val="left"/>
        <w:rPr>
          <w:rFonts w:ascii="Times New Roman" w:eastAsia="仿宋_GB2312" w:cs="Times New Roman" w:hAnsi="Times New Roman" w:hint="eastAsia"/>
          <w:color w:val="auto"/>
          <w:kern w:val="2"/>
          <w:sz w:val="32"/>
          <w:szCs w:val="32"/>
          <w:lang w:val="zh-CN" w:eastAsia="zh-CN" w:bidi="ar-SA"/>
        </w:rPr>
      </w:pPr>
      <w:r>
        <w:rPr>
          <w:rFonts w:ascii="Times New Roman" w:eastAsia="仿宋_GB2312" w:hAnsi="Times New Roman"/>
          <w:b/>
          <w:sz w:val="32"/>
          <w:szCs w:val="32"/>
        </w:rPr>
        <w:t>公务用车运行维护费支出2.15万元：</w:t>
      </w:r>
      <w:r>
        <w:rPr>
          <w:rFonts w:ascii="Times New Roman" w:eastAsia="仿宋_GB2312" w:hAnsi="Times New Roman"/>
          <w:b w:val="0"/>
          <w:sz w:val="32"/>
          <w:szCs w:val="32"/>
        </w:rPr>
        <w:t>本单位2025年度“三公”经费财政拨款支出预算为2.</w:t>
      </w:r>
      <w:r>
        <w:rPr>
          <w:rFonts w:ascii="Times New Roman" w:eastAsia="仿宋_GB2312" w:hAnsi="Times New Roman" w:hint="eastAsia"/>
          <w:b w:val="0"/>
          <w:sz w:val="32"/>
          <w:szCs w:val="32"/>
          <w:lang w:val="en-US" w:eastAsia="zh-CN"/>
        </w:rPr>
        <w:t>28</w:t>
      </w:r>
      <w:r>
        <w:rPr>
          <w:rFonts w:ascii="Times New Roman" w:eastAsia="仿宋_GB2312" w:hAnsi="Times New Roman"/>
          <w:b w:val="0"/>
          <w:sz w:val="32"/>
          <w:szCs w:val="32"/>
        </w:rPr>
        <w:t>万元，支出决算为2.15万元，完成预算的</w:t>
      </w:r>
      <w:r>
        <w:rPr>
          <w:rFonts w:ascii="Times New Roman" w:eastAsia="仿宋_GB2312" w:hAnsi="Times New Roman" w:hint="eastAsia"/>
          <w:b w:val="0"/>
          <w:sz w:val="32"/>
          <w:szCs w:val="32"/>
          <w:lang w:val="en-US" w:eastAsia="zh-CN"/>
        </w:rPr>
        <w:t>94.29</w:t>
      </w:r>
      <w:r>
        <w:rPr>
          <w:rFonts w:ascii="Times New Roman" w:eastAsia="仿宋_GB2312" w:hAnsi="Times New Roman"/>
          <w:b w:val="0"/>
          <w:sz w:val="32"/>
          <w:szCs w:val="32"/>
        </w:rPr>
        <w:t>%，较预算</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0.13</w:t>
      </w:r>
      <w:r>
        <w:rPr>
          <w:rFonts w:ascii="Times New Roman" w:eastAsia="仿宋_GB2312" w:hAnsi="Times New Roman"/>
          <w:b w:val="0"/>
          <w:sz w:val="32"/>
          <w:szCs w:val="32"/>
        </w:rPr>
        <w:t>万元，</w:t>
      </w:r>
      <w:r>
        <w:rPr>
          <w:rFonts w:ascii="Times New Roman" w:eastAsia="仿宋_GB2312" w:hAnsi="Times New Roman" w:hint="eastAsia"/>
          <w:b w:val="0"/>
          <w:sz w:val="32"/>
          <w:szCs w:val="32"/>
          <w:lang w:eastAsia="zh-CN"/>
        </w:rPr>
        <w:t>减少</w:t>
      </w:r>
      <w:r>
        <w:rPr>
          <w:rFonts w:ascii="Times New Roman" w:eastAsia="仿宋_GB2312" w:hAnsi="Times New Roman" w:hint="eastAsia"/>
          <w:b w:val="0"/>
          <w:sz w:val="32"/>
          <w:szCs w:val="32"/>
          <w:lang w:val="en-US" w:eastAsia="zh-CN"/>
        </w:rPr>
        <w:t>5.7</w:t>
      </w:r>
      <w:r>
        <w:rPr>
          <w:rFonts w:ascii="Times New Roman" w:eastAsia="仿宋_GB2312" w:hAnsi="Times New Roman"/>
          <w:b w:val="0"/>
          <w:sz w:val="32"/>
          <w:szCs w:val="32"/>
        </w:rPr>
        <w:t>%，主要原因是认真贯彻落实中央八项规定精神和厉行节约要求，从严控制“三公”经费开支；较2024年度决算减少0.12万元，降低5.7%，主要原因是</w:t>
      </w:r>
      <w:r>
        <w:rPr>
          <w:rFonts w:ascii="Times New Roman" w:eastAsia="仿宋_GB2312" w:cs="Times New Roman" w:hAnsi="Times New Roman" w:hint="eastAsia"/>
          <w:color w:val="auto"/>
          <w:kern w:val="2"/>
          <w:sz w:val="32"/>
          <w:szCs w:val="32"/>
          <w:lang w:val="zh-CN" w:eastAsia="zh-CN" w:bidi="ar-SA"/>
        </w:rPr>
        <w:t>公务用车维修费减少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楷体_GB2312" w:hAnsi="Times New Roman"/>
          <w:b/>
          <w:sz w:val="32"/>
          <w:szCs w:val="32"/>
        </w:rPr>
        <w:t>3.公务接待费支出情况。</w:t>
      </w:r>
      <w:r>
        <w:rPr>
          <w:rFonts w:ascii="Times New Roman" w:eastAsia="仿宋_GB2312" w:hAnsi="Times New Roman"/>
          <w:b w:val="0"/>
          <w:sz w:val="32"/>
          <w:szCs w:val="32"/>
        </w:rPr>
        <w:t>本单位202</w:t>
      </w:r>
      <w:r>
        <w:rPr>
          <w:rFonts w:ascii="Times New Roman" w:eastAsia="仿宋_GB2312" w:hAnsi="Times New Roman" w:hint="eastAsia"/>
          <w:b w:val="0"/>
          <w:sz w:val="32"/>
          <w:szCs w:val="32"/>
          <w:lang w:val="en-US" w:eastAsia="zh-CN"/>
        </w:rPr>
        <w:t>5</w:t>
      </w:r>
      <w:r>
        <w:rPr>
          <w:rFonts w:ascii="Times New Roman" w:eastAsia="仿宋_GB2312" w:hAnsi="Times New Roman"/>
          <w:b w:val="0"/>
          <w:sz w:val="32"/>
          <w:szCs w:val="32"/>
        </w:rPr>
        <w:t>年度公务接待费支出预算为0.00万元，支出决算0.00万元，</w:t>
      </w:r>
      <w:r>
        <w:rPr>
          <w:rFonts w:ascii="Times New Roman" w:eastAsia="仿宋_GB2312" w:hAnsi="Times New Roman" w:hint="eastAsia"/>
          <w:b w:val="0"/>
          <w:sz w:val="32"/>
          <w:szCs w:val="32"/>
          <w:lang w:eastAsia="zh-CN"/>
        </w:rPr>
        <w:t>本单位</w:t>
      </w:r>
      <w:r>
        <w:rPr>
          <w:rFonts w:ascii="Times New Roman" w:eastAsia="仿宋_GB2312" w:cs="Times New Roman" w:hAnsi="Times New Roman"/>
          <w:color w:val="000000"/>
          <w:sz w:val="32"/>
          <w:szCs w:val="32"/>
          <w:highlight w:val="auto"/>
        </w:rPr>
        <w:t>未发生</w:t>
      </w:r>
      <w:r>
        <w:rPr>
          <w:rFonts w:ascii="Times New Roman" w:eastAsia="仿宋_GB2312" w:hAnsi="Times New Roman"/>
          <w:b w:val="0"/>
          <w:sz w:val="32"/>
          <w:szCs w:val="32"/>
        </w:rPr>
        <w:t>公务接待费支出</w:t>
      </w:r>
      <w:r>
        <w:rPr>
          <w:rFonts w:ascii="Times New Roman" w:eastAsia="仿宋_GB2312" w:cs="Times New Roman" w:hAnsi="Times New Roman"/>
          <w:color w:val="000000"/>
          <w:sz w:val="32"/>
          <w:szCs w:val="32"/>
          <w:highlight w:val="auto"/>
        </w:rPr>
        <w:t>、“与预算持平”、“与202</w:t>
      </w:r>
      <w:r>
        <w:rPr>
          <w:rFonts w:ascii="Times New Roman" w:eastAsia="仿宋_GB2312" w:cs="Times New Roman" w:hAnsi="Times New Roman" w:hint="eastAsia"/>
          <w:color w:val="000000"/>
          <w:sz w:val="32"/>
          <w:szCs w:val="32"/>
          <w:lang w:val="en-US" w:eastAsia="zh-CN"/>
          <w:highlight w:val="auto"/>
        </w:rPr>
        <w:t>4</w:t>
      </w:r>
      <w:r>
        <w:rPr>
          <w:rFonts w:ascii="Times New Roman" w:eastAsia="仿宋_GB2312" w:cs="Times New Roman" w:hAnsi="Times New Roman"/>
          <w:color w:val="000000"/>
          <w:sz w:val="32"/>
          <w:szCs w:val="32"/>
          <w:highlight w:val="auto"/>
        </w:rPr>
        <w:t>年度决算支出持平</w:t>
      </w:r>
      <w:r>
        <w:rPr>
          <w:rFonts w:ascii="Times New Roman" w:eastAsia="仿宋_GB2312" w:cs="Times New Roman" w:hAnsi="Times New Roman"/>
          <w:color w:val="000000"/>
          <w:sz w:val="32"/>
          <w:szCs w:val="32"/>
          <w:lang w:val="en-US" w:eastAsia="zh-CN"/>
          <w:highlight w:val="auto"/>
        </w:rPr>
        <w:t>”</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六、机关运行经费支出说明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本单位2025年度机关运行经费支出19.64万元，较2024年度减少182.44万元，降低90.3%。主要原因</w:t>
      </w:r>
      <w:r>
        <w:rPr>
          <w:rFonts w:ascii="Times New Roman" w:eastAsia="仿宋_GB2312" w:hAnsi="Times New Roman" w:hint="eastAsia"/>
          <w:b w:val="0"/>
          <w:sz w:val="32"/>
          <w:szCs w:val="32"/>
          <w:lang w:val="en-US" w:eastAsia="zh-CN"/>
        </w:rPr>
        <w:t>2025年全县老干部经费未在机关运行经费支出中</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七、政府采购支出说明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八、国有资产占用情况说明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截至2025年12月31日，本单位共有车辆2辆。其中，副部（省）级及以上领导用车0辆，主要负责人用车0辆，机要通信用车0辆，应急保障用车1辆，执法执勤用车0辆，特种专业技术用车0辆，离退休干部用车1辆，其他用车0辆，其他用车主要是。单位价值100万元（含）以上设备（不含车辆）0台（套）。</w:t>
      </w:r>
    </w:p>
    <w:p>
      <w:pPr>
        <w:widowControl/>
        <w:spacing w:before="0" w:beforeAutospacing="0" w:after="0" w:afterAutospacing="0" w:line="360" w:lineRule="auto"/>
        <w:ind w:firstLineChars="200" w:firstLine="640"/>
        <w:jc w:val="left"/>
        <w:outlineLvl w:val="1"/>
        <w:rPr>
          <w:rFonts w:ascii="Times New Roman" w:eastAsia="黑体" w:hAnsi="Times New Roman"/>
          <w:sz w:val="32"/>
          <w:szCs w:val="32"/>
        </w:rPr>
      </w:pPr>
      <w:r>
        <w:rPr>
          <w:rFonts w:ascii="Times New Roman" w:eastAsia="黑体" w:hAnsi="Times New Roman"/>
          <w:b w:val="0"/>
          <w:sz w:val="32"/>
          <w:szCs w:val="32"/>
        </w:rPr>
        <w:t>九、关于2025年度绩效评价情况的说明</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（一）绩效评价工作开展情况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根据预算绩效管理要求，本单位组织对2025年度本级预算项目支出全面开展绩效自评，共涉及资金</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万元（决算金额）。其中，一般公共预算项目</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个，涉及资金</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万元，占一般公共预算项目支出总额的</w:t>
      </w:r>
      <w:r>
        <w:rPr>
          <w:rFonts w:ascii="Times New Roman" w:eastAsia="仿宋_GB2312" w:hAnsi="Times New Roman" w:hint="eastAsia"/>
          <w:b w:val="0"/>
          <w:sz w:val="32"/>
          <w:szCs w:val="32"/>
          <w:lang w:val="en-US" w:eastAsia="zh-CN"/>
        </w:rPr>
        <w:t>100</w:t>
      </w:r>
      <w:r>
        <w:rPr>
          <w:rFonts w:ascii="Times New Roman" w:eastAsia="仿宋_GB2312" w:hAnsi="Times New Roman"/>
          <w:b w:val="0"/>
          <w:sz w:val="32"/>
          <w:szCs w:val="32"/>
        </w:rPr>
        <w:t>%；政府性基金预算项目</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个，涉及资金</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万元；国有资本经营预算项目</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个，涉及资金</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万元。</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组织对</w:t>
      </w:r>
      <w:r>
        <w:rPr>
          <w:rFonts w:ascii="Times New Roman" w:eastAsia="仿宋_GB2312" w:hAnsi="Times New Roman" w:hint="eastAsia"/>
          <w:b w:val="0"/>
          <w:sz w:val="32"/>
          <w:szCs w:val="32"/>
          <w:lang w:eastAsia="zh-CN"/>
        </w:rPr>
        <w:t>关于下达抗战时期及以前参加革命工作的离休干部一次性补贴</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个项目开展了部门重点评价，涉及一般公共预算支出</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万元，政府性基金预算支出</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万元，国有资本经营预算支出</w:t>
      </w:r>
      <w:r>
        <w:rPr>
          <w:rFonts w:ascii="Times New Roman" w:eastAsia="仿宋_GB2312" w:hAnsi="Times New Roman" w:hint="eastAsia"/>
          <w:b w:val="0"/>
          <w:sz w:val="32"/>
          <w:szCs w:val="32"/>
          <w:lang w:val="en-US" w:eastAsia="zh-CN"/>
        </w:rPr>
        <w:t>0</w:t>
      </w:r>
      <w:r>
        <w:rPr>
          <w:rFonts w:ascii="Times New Roman" w:eastAsia="仿宋_GB2312" w:hAnsi="Times New Roman"/>
          <w:b w:val="0"/>
          <w:sz w:val="32"/>
          <w:szCs w:val="32"/>
        </w:rPr>
        <w:t>万元，从评价情况来看</w:t>
      </w:r>
      <w:r>
        <w:rPr>
          <w:rFonts w:ascii="Times New Roman" w:eastAsia="仿宋_GB2312" w:hAnsi="Times New Roman" w:hint="eastAsia"/>
          <w:b w:val="0"/>
          <w:sz w:val="32"/>
          <w:szCs w:val="32"/>
          <w:lang w:eastAsia="zh-CN"/>
        </w:rPr>
        <w:t>得出总得分</w:t>
      </w:r>
      <w:r>
        <w:rPr>
          <w:rFonts w:ascii="Times New Roman" w:eastAsia="仿宋_GB2312" w:hAnsi="Times New Roman" w:hint="eastAsia"/>
          <w:b w:val="0"/>
          <w:sz w:val="32"/>
          <w:szCs w:val="32"/>
          <w:lang w:val="en-US" w:eastAsia="zh-CN"/>
        </w:rPr>
        <w:t>100分，项目综合评价等级为优秀</w:t>
      </w:r>
      <w:r>
        <w:rPr>
          <w:rFonts w:ascii="Times New Roman" w:eastAsia="仿宋_GB2312" w:hAnsi="Times New Roman"/>
          <w:b w:val="0"/>
          <w:sz w:val="32"/>
          <w:szCs w:val="32"/>
        </w:rPr>
        <w:t>。</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（二）部门决算中项目绩效自评结果</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本单位在今年部门决算公开中反映</w:t>
      </w:r>
      <w:r>
        <w:rPr>
          <w:rFonts w:ascii="Times New Roman" w:eastAsia="仿宋_GB2312" w:hAnsi="Times New Roman" w:hint="eastAsia"/>
          <w:b w:val="0"/>
          <w:sz w:val="32"/>
          <w:szCs w:val="32"/>
          <w:lang w:val="en-US" w:eastAsia="zh-CN"/>
        </w:rPr>
        <w:t>1</w:t>
      </w:r>
      <w:r>
        <w:rPr>
          <w:rFonts w:ascii="Times New Roman" w:eastAsia="仿宋_GB2312" w:hAnsi="Times New Roman"/>
          <w:b w:val="0"/>
          <w:sz w:val="32"/>
          <w:szCs w:val="32"/>
        </w:rPr>
        <w:t>个项目绩效自评结果。</w:t>
      </w:r>
    </w:p>
    <w:p>
      <w:pPr>
        <w:widowControl/>
        <w:spacing w:before="0" w:beforeAutospacing="0" w:after="0" w:afterAutospacing="0" w:line="360" w:lineRule="auto"/>
        <w:ind w:firstLineChars="200" w:firstLine="640"/>
        <w:jc w:val="left"/>
        <w:rPr>
          <w:rFonts w:ascii="Times New Roman" w:eastAsia="仿宋_GB2312" w:hAnsi="Times New Roman"/>
          <w:b w:val="0"/>
          <w:sz w:val="32"/>
          <w:szCs w:val="32"/>
        </w:rPr>
      </w:pPr>
      <w:r>
        <w:rPr>
          <w:rFonts w:ascii="Times New Roman" w:eastAsia="仿宋_GB2312" w:hAnsi="Times New Roman"/>
          <w:b w:val="0"/>
          <w:sz w:val="32"/>
          <w:szCs w:val="32"/>
        </w:rPr>
        <w:t>项目绩效自评情况：根据年初设定的绩效目标，项目绩效自评得分为</w:t>
      </w:r>
      <w:r>
        <w:rPr>
          <w:rFonts w:ascii="Times New Roman" w:eastAsia="仿宋_GB2312" w:hAnsi="Times New Roman" w:hint="eastAsia"/>
          <w:b w:val="0"/>
          <w:sz w:val="32"/>
          <w:szCs w:val="32"/>
          <w:lang w:val="en-US" w:eastAsia="zh-CN"/>
        </w:rPr>
        <w:t>100</w:t>
      </w:r>
      <w:r>
        <w:rPr>
          <w:rFonts w:ascii="Times New Roman" w:eastAsia="仿宋_GB2312" w:hAnsi="Times New Roman"/>
          <w:b w:val="0"/>
          <w:sz w:val="32"/>
          <w:szCs w:val="32"/>
        </w:rPr>
        <w:t>分（绩效自评表附后）。全年预算数为</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万元，执行数为</w:t>
      </w:r>
      <w:r>
        <w:rPr>
          <w:rFonts w:ascii="Times New Roman" w:eastAsia="仿宋_GB2312" w:hAnsi="Times New Roman" w:hint="eastAsia"/>
          <w:b w:val="0"/>
          <w:sz w:val="32"/>
          <w:szCs w:val="32"/>
          <w:lang w:val="en-US" w:eastAsia="zh-CN"/>
        </w:rPr>
        <w:t>3</w:t>
      </w:r>
      <w:r>
        <w:rPr>
          <w:rFonts w:ascii="Times New Roman" w:eastAsia="仿宋_GB2312" w:hAnsi="Times New Roman"/>
          <w:b w:val="0"/>
          <w:sz w:val="32"/>
          <w:szCs w:val="32"/>
        </w:rPr>
        <w:t>万元，完成预算的</w:t>
      </w:r>
      <w:r>
        <w:rPr>
          <w:rFonts w:ascii="Times New Roman" w:eastAsia="仿宋_GB2312" w:hAnsi="Times New Roman" w:hint="eastAsia"/>
          <w:b w:val="0"/>
          <w:sz w:val="32"/>
          <w:szCs w:val="32"/>
          <w:lang w:val="en-US" w:eastAsia="zh-CN"/>
        </w:rPr>
        <w:t>100</w:t>
      </w:r>
      <w:r>
        <w:rPr>
          <w:rFonts w:ascii="Times New Roman" w:eastAsia="仿宋_GB2312" w:hAnsi="Times New Roman"/>
          <w:b w:val="0"/>
          <w:sz w:val="32"/>
          <w:szCs w:val="32"/>
        </w:rPr>
        <w:t>%。项目绩效目标完成情况：一是</w:t>
      </w:r>
      <w:r>
        <w:rPr>
          <w:rFonts w:ascii="Times New Roman" w:eastAsia="仿宋_GB2312" w:hAnsi="Times New Roman" w:hint="eastAsia"/>
          <w:b w:val="0"/>
          <w:sz w:val="32"/>
          <w:szCs w:val="32"/>
        </w:rPr>
        <w:t>2025年8月20日前将抗战时期及以前参加革命工作的离休干部一次性补助发放到个人。</w:t>
      </w:r>
      <w:r>
        <w:rPr>
          <w:rFonts w:ascii="Times New Roman" w:eastAsia="仿宋_GB2312" w:hAnsi="Times New Roman"/>
          <w:b w:val="0"/>
          <w:sz w:val="32"/>
          <w:szCs w:val="32"/>
        </w:rPr>
        <w:t>；二是</w:t>
      </w:r>
      <w:r>
        <w:rPr>
          <w:rFonts w:ascii="Times New Roman" w:eastAsia="仿宋_GB2312" w:hAnsi="Times New Roman" w:hint="eastAsia"/>
          <w:b w:val="0"/>
          <w:sz w:val="32"/>
          <w:szCs w:val="32"/>
        </w:rPr>
        <w:t>通过发放一次性补助，充分体现党中央对老同志的关怀和照顾</w:t>
      </w:r>
      <w:r>
        <w:rPr>
          <w:rFonts w:ascii="Times New Roman" w:eastAsia="仿宋_GB2312" w:hAnsi="Times New Roman"/>
          <w:b w:val="0"/>
          <w:sz w:val="32"/>
          <w:szCs w:val="32"/>
        </w:rPr>
        <w:t>。</w:t>
      </w:r>
    </w:p>
    <w:tbl>
      <w:tblPr>
        <w:jc w:val="left"/>
        <w:tblInd w:w="93" w:type="dxa"/>
        <w:tblW w:w="8675" w:type="dxa"/>
        <w:tblBorders>
          <w:top w:val="none" w:sz="0" w:space="0" w:color="auto"/>
          <w:left w:val="none" w:sz="0" w:space="0" w:color="auto"/>
          <w:bottom w:val="none" w:sz="0" w:space="0" w:color="auto"/>
          <w:right w:val="none" w:sz="0" w:space="0" w:color="auto"/>
        </w:tblBorders>
        <w:shd w:val="clear" w:color="auto" w:fill="auto"/>
        <w:tblCellMar>
          <w:top w:w="0" w:type="dxa"/>
          <w:left w:w="108" w:type="dxa"/>
          <w:bottom w:w="0" w:type="dxa"/>
          <w:right w:w="108" w:type="dxa"/>
        </w:tblCellMar>
      </w:tblPr>
      <w:tblGrid>
        <w:gridCol w:w="1233"/>
        <w:gridCol w:w="1096"/>
        <w:gridCol w:w="1096"/>
        <w:gridCol w:w="1264"/>
        <w:gridCol w:w="1431"/>
        <w:gridCol w:w="544"/>
        <w:gridCol w:w="655"/>
        <w:gridCol w:w="1356"/>
      </w:tblGrid>
      <w:tr>
        <w:trPr>
          <w:trHeight w:val="90"/>
        </w:trPr>
        <w:tc>
          <w:tcPr>
            <w:tcW w:w="1233"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黑体" w:eastAsia="黑体" w:cs="黑体" w:hAnsi="宋体"/>
                <w:i w:val="0"/>
                <w:iCs w:val="0"/>
                <w:color w:val="000000"/>
                <w:sz w:val="28"/>
                <w:szCs w:val="28"/>
                <w:u w:val="none"/>
              </w:rPr>
            </w:pPr>
            <w:r>
              <w:rPr>
                <w:rFonts w:ascii="黑体" w:eastAsia="黑体" w:cs="黑体" w:hAnsi="宋体" w:hint="eastAsia"/>
                <w:i w:val="0"/>
                <w:iCs w:val="0"/>
                <w:color w:val="000000"/>
                <w:kern w:val="0"/>
                <w:sz w:val="28"/>
                <w:szCs w:val="28"/>
                <w:u w:val="none"/>
                <w:lang w:val="en-US" w:eastAsia="zh-CN"/>
              </w:rPr>
              <w:t>附件1</w:t>
            </w:r>
          </w:p>
        </w:tc>
        <w:tc>
          <w:tcPr>
            <w:tcW w:w="1096"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1096"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1264"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1431"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544"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655"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c>
          <w:tcPr>
            <w:tcW w:w="1356" w:type="dxa"/>
            <w:tcBorders>
              <w:top w:val="nil"/>
              <w:left w:val="nil"/>
              <w:bottom w:val="nil"/>
              <w:right w:val="nil"/>
            </w:tcBorders>
            <w:shd w:val="clear" w:color="auto" w:fill="auto"/>
            <w:noWrap/>
            <w:vAlign w:val="center"/>
          </w:tcPr>
          <w:p>
            <w:pPr>
              <w:rPr>
                <w:rFonts w:ascii="宋体" w:eastAsia="宋体" w:cs="宋体" w:hAnsi="宋体" w:hint="eastAsia"/>
                <w:i w:val="0"/>
                <w:iCs w:val="0"/>
                <w:color w:val="000000"/>
                <w:sz w:val="22"/>
                <w:szCs w:val="22"/>
                <w:u w:val="none"/>
              </w:rPr>
            </w:pPr>
          </w:p>
        </w:tc>
      </w:tr>
      <w:tr>
        <w:trPr>
          <w:trHeight w:val="90"/>
        </w:trPr>
        <w:tc>
          <w:tcPr>
            <w:tcW w:w="8675" w:type="dxa"/>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eastAsia="方正小标宋_GBK" w:cs="方正小标宋_GBK" w:hAnsi="方正小标宋_GBK"/>
                <w:i w:val="0"/>
                <w:iCs w:val="0"/>
                <w:color w:val="000000"/>
                <w:sz w:val="40"/>
                <w:szCs w:val="40"/>
                <w:u w:val="none"/>
              </w:rPr>
            </w:pPr>
            <w:r>
              <w:rPr>
                <w:rFonts w:ascii="方正小标宋_GBK" w:eastAsia="方正小标宋_GBK" w:cs="方正小标宋_GBK" w:hAnsi="方正小标宋_GBK" w:hint="eastAsia"/>
                <w:i w:val="0"/>
                <w:iCs w:val="0"/>
                <w:color w:val="000000"/>
                <w:kern w:val="0"/>
                <w:sz w:val="40"/>
                <w:szCs w:val="40"/>
                <w:u w:val="none"/>
                <w:lang w:val="en-US" w:eastAsia="zh-CN"/>
              </w:rPr>
              <w:t>县级部门预算项目绩效自评表</w:t>
            </w:r>
          </w:p>
        </w:tc>
      </w:tr>
      <w:tr>
        <w:trPr>
          <w:trHeight w:val="90"/>
        </w:trPr>
        <w:tc>
          <w:tcPr>
            <w:tcW w:w="8675"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ascii="宋体" w:eastAsia="宋体" w:cs="宋体" w:hAnsi="宋体" w:hint="eastAsia"/>
                <w:i w:val="0"/>
                <w:iCs w:val="0"/>
                <w:color w:val="000000"/>
                <w:sz w:val="20"/>
                <w:szCs w:val="20"/>
                <w:u w:val="none"/>
              </w:rPr>
            </w:pPr>
            <w:r>
              <w:rPr>
                <w:rFonts w:ascii="宋体" w:eastAsia="宋体" w:cs="宋体" w:hAnsi="宋体" w:hint="eastAsia"/>
                <w:i w:val="0"/>
                <w:iCs w:val="0"/>
                <w:color w:val="000000"/>
                <w:kern w:val="0"/>
                <w:sz w:val="20"/>
                <w:szCs w:val="20"/>
                <w:u w:val="none"/>
                <w:lang w:val="en-US" w:eastAsia="zh-CN"/>
              </w:rPr>
              <w:t>（  2025 年度）</w:t>
            </w:r>
          </w:p>
        </w:tc>
      </w:tr>
      <w:tr>
        <w:trPr>
          <w:trHeight w:val="90"/>
        </w:trPr>
        <w:tc>
          <w:tcPr>
            <w:tcW w:w="1233"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填报单位：</w:t>
            </w:r>
          </w:p>
        </w:tc>
        <w:tc>
          <w:tcPr>
            <w:tcW w:w="1096"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老干部局</w:t>
            </w:r>
          </w:p>
        </w:tc>
        <w:tc>
          <w:tcPr>
            <w:tcW w:w="1096"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1264"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1431"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544"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655" w:type="dxa"/>
            <w:tcBorders>
              <w:top w:val="nil"/>
              <w:left w:val="nil"/>
              <w:bottom w:val="nil"/>
              <w:right w:val="nil"/>
            </w:tcBorders>
            <w:shd w:val="clear" w:color="auto" w:fill="auto"/>
            <w:noWrap/>
            <w:vAlign w:val="center"/>
          </w:tcPr>
          <w:p>
            <w:pPr>
              <w:jc w:val="center"/>
              <w:rPr>
                <w:rFonts w:ascii="宋体" w:eastAsia="宋体" w:cs="宋体" w:hAnsi="宋体" w:hint="eastAsia"/>
                <w:i w:val="0"/>
                <w:iCs w:val="0"/>
                <w:color w:val="000000"/>
                <w:sz w:val="16"/>
                <w:szCs w:val="16"/>
                <w:u w:val="none"/>
              </w:rPr>
            </w:pPr>
          </w:p>
        </w:tc>
        <w:tc>
          <w:tcPr>
            <w:tcW w:w="1356"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金额单位：万元</w:t>
            </w:r>
          </w:p>
        </w:tc>
      </w:tr>
      <w:tr>
        <w:trPr>
          <w:trHeight w:val="90"/>
        </w:trPr>
        <w:tc>
          <w:tcPr>
            <w:tcW w:w="1233" w:type="dxa"/>
            <w:tcBorders>
              <w:top w:val="single" w:sz="4" w:space="0" w:color="000000"/>
              <w:left w:val="single" w:sz="4" w:space="0" w:color="000000"/>
              <w:bottom w:val="nil"/>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一、</w:t>
            </w:r>
            <w:r>
              <w:rPr>
                <w:rFonts w:ascii="Calibri" w:eastAsia="宋体" w:cs="Calibri" w:hAnsi="Calibri"/>
                <w:i w:val="0"/>
                <w:iCs w:val="0"/>
                <w:color w:val="000000"/>
                <w:kern w:val="0"/>
                <w:sz w:val="16"/>
                <w:szCs w:val="16"/>
                <w:u w:val="none"/>
                <w:lang w:val="en-US" w:eastAsia="zh-CN"/>
              </w:rPr>
              <w:t xml:space="preserve"> </w:t>
            </w:r>
            <w:r>
              <w:rPr>
                <w:rFonts w:ascii="宋体" w:eastAsia="宋体" w:cs="宋体" w:hAnsi="宋体" w:hint="eastAsia"/>
                <w:i w:val="0"/>
                <w:iCs w:val="0"/>
                <w:color w:val="000000"/>
                <w:kern w:val="0"/>
                <w:sz w:val="16"/>
                <w:szCs w:val="16"/>
                <w:u w:val="none"/>
                <w:lang w:val="en-US" w:eastAsia="zh-CN"/>
              </w:rPr>
              <w:t>基本情况</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项目名称</w:t>
            </w:r>
          </w:p>
        </w:tc>
        <w:tc>
          <w:tcPr>
            <w:tcW w:w="23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实施(主管）单位</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老干部局</w:t>
            </w:r>
          </w:p>
        </w:tc>
      </w:tr>
      <w:tr>
        <w:trPr>
          <w:trHeight w:val="9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二、预算执行情况</w:t>
            </w:r>
          </w:p>
        </w:tc>
        <w:tc>
          <w:tcPr>
            <w:tcW w:w="219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预算安排情况（调整后）</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资金到位情况</w:t>
            </w:r>
          </w:p>
        </w:tc>
        <w:tc>
          <w:tcPr>
            <w:tcW w:w="119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资金执行情况</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预算执行进度</w:t>
            </w:r>
          </w:p>
        </w:tc>
      </w:tr>
      <w:tr>
        <w:trPr>
          <w:trHeight w:val="9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预算数：</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到位数：</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执行数：</w:t>
            </w:r>
          </w:p>
        </w:tc>
        <w:tc>
          <w:tcPr>
            <w:tcW w:w="6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Calibri" w:eastAsia="宋体" w:cs="Calibri" w:hAnsi="Calibri"/>
                <w:i w:val="0"/>
                <w:iCs w:val="0"/>
                <w:color w:val="000000"/>
                <w:sz w:val="21"/>
                <w:szCs w:val="21"/>
                <w:u w:val="none"/>
              </w:rPr>
            </w:pPr>
            <w:r>
              <w:rPr>
                <w:rFonts w:ascii="Calibri" w:eastAsia="宋体" w:cs="Calibri" w:hAnsi="Calibri"/>
                <w:i w:val="0"/>
                <w:iCs w:val="0"/>
                <w:color w:val="000000"/>
                <w:kern w:val="0"/>
                <w:sz w:val="21"/>
                <w:szCs w:val="21"/>
                <w:u w:val="none"/>
                <w:lang w:val="en-US" w:eastAsia="zh-CN"/>
              </w:rPr>
              <w:t>3</w:t>
            </w:r>
          </w:p>
        </w:tc>
        <w:tc>
          <w:tcPr>
            <w:tcW w:w="13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r>
      <w:tr>
        <w:trPr>
          <w:trHeight w:val="9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其中：财政资金</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其中：财政资金</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其中：财政资金</w:t>
            </w:r>
          </w:p>
        </w:tc>
        <w:tc>
          <w:tcPr>
            <w:tcW w:w="6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3</w:t>
            </w:r>
          </w:p>
        </w:tc>
        <w:tc>
          <w:tcPr>
            <w:tcW w:w="13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90"/>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其他</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Calibri" w:eastAsia="宋体" w:cs="Calibri" w:hAnsi="Calibri"/>
                <w:i w:val="0"/>
                <w:iCs w:val="0"/>
                <w:color w:val="000000"/>
                <w:sz w:val="21"/>
                <w:szCs w:val="21"/>
                <w:u w:val="none"/>
              </w:rPr>
            </w:pPr>
          </w:p>
        </w:tc>
        <w:tc>
          <w:tcPr>
            <w:tcW w:w="126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其他</w:t>
            </w:r>
          </w:p>
        </w:tc>
        <w:tc>
          <w:tcPr>
            <w:tcW w:w="1431"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Ansi="宋体" w:hint="eastAsia"/>
                <w:i w:val="0"/>
                <w:iCs w:val="0"/>
                <w:color w:val="000000"/>
                <w:sz w:val="16"/>
                <w:szCs w:val="16"/>
                <w:u w:val="none"/>
              </w:rPr>
            </w:pP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righ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其他</w:t>
            </w:r>
          </w:p>
        </w:tc>
        <w:tc>
          <w:tcPr>
            <w:tcW w:w="655" w:type="dxa"/>
            <w:tcBorders>
              <w:top w:val="single" w:sz="4" w:space="0" w:color="000000"/>
              <w:left w:val="single" w:sz="4" w:space="0" w:color="000000"/>
              <w:bottom w:val="single" w:sz="4" w:space="0" w:color="000000"/>
              <w:right w:val="single" w:sz="4" w:space="0" w:color="000000"/>
            </w:tcBorders>
            <w:shd w:val="clear" w:color="auto" w:fill="auto"/>
            <w:vAlign w:val="center"/>
          </w:tcPr>
          <w:p>
            <w:pPr>
              <w:rPr>
                <w:rFonts w:ascii="宋体" w:eastAsia="宋体" w:cs="宋体" w:hAnsi="宋体" w:hint="eastAsia"/>
                <w:i w:val="0"/>
                <w:iCs w:val="0"/>
                <w:color w:val="000000"/>
                <w:sz w:val="16"/>
                <w:szCs w:val="16"/>
                <w:u w:val="none"/>
              </w:rPr>
            </w:pPr>
          </w:p>
        </w:tc>
        <w:tc>
          <w:tcPr>
            <w:tcW w:w="13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90"/>
        </w:trPr>
        <w:tc>
          <w:tcPr>
            <w:tcW w:w="123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三、目标完成情况</w:t>
            </w:r>
          </w:p>
        </w:tc>
        <w:tc>
          <w:tcPr>
            <w:tcW w:w="3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年度预期目标</w:t>
            </w:r>
          </w:p>
        </w:tc>
        <w:tc>
          <w:tcPr>
            <w:tcW w:w="263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具体完成情况</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总体完成率</w:t>
            </w:r>
          </w:p>
        </w:tc>
      </w:tr>
      <w:tr>
        <w:trPr>
          <w:trHeight w:val="312"/>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45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1.2025年8月20日前将抗战时期及以前参加革命工作的离休干部一次性补助发放到个人。2.通过发放一次性补助，充分体现党中央对老同志的关怀和照顾。</w:t>
            </w:r>
          </w:p>
        </w:tc>
        <w:tc>
          <w:tcPr>
            <w:tcW w:w="26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已完成</w:t>
            </w:r>
          </w:p>
        </w:tc>
        <w:tc>
          <w:tcPr>
            <w:tcW w:w="13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r>
      <w:tr>
        <w:trPr>
          <w:trHeight w:val="312"/>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45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3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312"/>
        </w:trPr>
        <w:tc>
          <w:tcPr>
            <w:tcW w:w="123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456"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30" w:type="dxa"/>
            <w:gridSpan w:val="3"/>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r>
      <w:tr>
        <w:trPr>
          <w:trHeight w:val="90"/>
        </w:trPr>
        <w:tc>
          <w:tcPr>
            <w:tcW w:w="1233" w:type="dxa"/>
            <w:vMerge w:val="restart"/>
            <w:tcBorders>
              <w:top w:val="single" w:sz="4" w:space="0" w:color="000000"/>
              <w:left w:val="single" w:sz="4" w:space="0" w:color="000000"/>
              <w:bottom w:val="single" w:sz="4" w:space="0" w:color="000000"/>
              <w:right w:val="nil"/>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四、</w:t>
            </w:r>
            <w:r>
              <w:rPr>
                <w:rFonts w:ascii="Calibri" w:eastAsia="宋体" w:cs="Calibri" w:hAnsi="Calibri"/>
                <w:i w:val="0"/>
                <w:iCs w:val="0"/>
                <w:color w:val="000000"/>
                <w:kern w:val="0"/>
                <w:sz w:val="16"/>
                <w:szCs w:val="16"/>
                <w:u w:val="none"/>
                <w:lang w:val="en-US" w:eastAsia="zh-CN"/>
              </w:rPr>
              <w:t xml:space="preserve"> </w:t>
            </w:r>
            <w:r>
              <w:rPr>
                <w:rFonts w:ascii="宋体" w:eastAsia="宋体" w:cs="宋体" w:hAnsi="宋体" w:hint="eastAsia"/>
                <w:i w:val="0"/>
                <w:iCs w:val="0"/>
                <w:color w:val="000000"/>
                <w:kern w:val="0"/>
                <w:sz w:val="16"/>
                <w:szCs w:val="16"/>
                <w:u w:val="none"/>
                <w:lang w:val="en-US" w:eastAsia="zh-CN"/>
              </w:rPr>
              <w:t>年度绩效指标完成情况</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一级指标</w:t>
            </w:r>
          </w:p>
        </w:tc>
        <w:tc>
          <w:tcPr>
            <w:tcW w:w="109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二级指标</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三级指标</w:t>
            </w:r>
          </w:p>
        </w:tc>
        <w:tc>
          <w:tcPr>
            <w:tcW w:w="544"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预期指标值</w:t>
            </w:r>
          </w:p>
        </w:tc>
        <w:tc>
          <w:tcPr>
            <w:tcW w:w="655"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实际完成值</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自评得分</w:t>
            </w: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val="restart"/>
            <w:tcBorders>
              <w:top w:val="single" w:sz="4" w:space="0" w:color="000000"/>
              <w:left w:val="single" w:sz="4" w:space="0" w:color="000000"/>
              <w:bottom w:val="nil"/>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产出指标（50）</w:t>
            </w: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数量指标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抗战时期及以前参加革命工作的离休干部一次性补助发放人数。</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宋体" w:eastAsia="宋体" w:cs="宋体" w:hAnsi="宋体" w:hint="eastAsia"/>
                <w:i w:val="0"/>
                <w:iCs w:val="0"/>
                <w:color w:val="000000"/>
                <w:sz w:val="16"/>
                <w:szCs w:val="16"/>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质量指标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抗战时期及以前参加革命工作的离休干部一次性补助发放标准。</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时效指标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抗战时期及以前参加革命工作的离休干部一次性补助发放到位时间。</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成本指标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抗战时期及以前参加革命工作的离休干部一次性补助资金规模。</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single" w:sz="4" w:space="0" w:color="000000"/>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val="restart"/>
            <w:tcBorders>
              <w:top w:val="nil"/>
              <w:left w:val="single" w:sz="4" w:space="0" w:color="000000"/>
              <w:bottom w:val="nil"/>
              <w:right w:val="single" w:sz="4" w:space="0" w:color="000000"/>
            </w:tcBorders>
            <w:shd w:val="clear" w:color="auto" w:fill="auto"/>
            <w:vAlign w:val="center"/>
          </w:tcPr>
          <w:p>
            <w:pPr>
              <w:jc w:val="center"/>
              <w:rPr>
                <w:rFonts w:ascii="宋体" w:eastAsia="宋体" w:cs="宋体" w:hAnsi="宋体" w:hint="eastAsia"/>
                <w:i w:val="0"/>
                <w:iCs w:val="0"/>
                <w:color w:val="000000"/>
                <w:sz w:val="16"/>
                <w:szCs w:val="16"/>
                <w:u w:val="none"/>
              </w:rPr>
            </w:pPr>
          </w:p>
        </w:tc>
        <w:tc>
          <w:tcPr>
            <w:tcW w:w="1096" w:type="dxa"/>
            <w:vMerge w:val="restart"/>
            <w:tcBorders>
              <w:top w:val="single" w:sz="4" w:space="0" w:color="000000"/>
              <w:left w:val="nil"/>
              <w:bottom w:val="single" w:sz="4" w:space="0" w:color="000000"/>
              <w:right w:val="nil"/>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社会效益指标</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在抗战胜利80周年，充分体现党中央对老同志的关怀和照顾。</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nil"/>
              <w:bottom w:val="single" w:sz="4" w:space="0" w:color="000000"/>
              <w:right w:val="nil"/>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nil"/>
              <w:bottom w:val="single" w:sz="4" w:space="0" w:color="000000"/>
              <w:right w:val="nil"/>
            </w:tcBorders>
            <w:shd w:val="clear" w:color="auto" w:fill="auto"/>
            <w:vAlign w:val="center"/>
          </w:tc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val="restart"/>
            <w:tcBorders>
              <w:top w:val="single" w:sz="4" w:space="0" w:color="000000"/>
              <w:left w:val="nil"/>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满意度指标</w:t>
            </w:r>
          </w:p>
        </w:tc>
        <w:tc>
          <w:tcPr>
            <w:tcW w:w="2695" w:type="dxa"/>
            <w:gridSpan w:val="2"/>
            <w:vMerge w:val="restart"/>
            <w:tcBorders>
              <w:top w:val="single" w:sz="4" w:space="0" w:color="000000"/>
              <w:left w:val="single" w:sz="4" w:space="0" w:color="000000"/>
              <w:bottom w:val="nil"/>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健在的抗日战争时期及以前参加革命工作的离休干部满意度。</w:t>
            </w:r>
          </w:p>
        </w:tc>
        <w:tc>
          <w:tcPr>
            <w:tcW w:w="544"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6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100%</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nil"/>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nil"/>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1096" w:type="dxa"/>
            <w:vMerge/>
            <w:tcBorders>
              <w:top w:val="nil"/>
              <w:left w:val="single" w:sz="4" w:space="0" w:color="000000"/>
              <w:bottom w:val="nil"/>
              <w:right w:val="single" w:sz="4" w:space="0" w:color="000000"/>
            </w:tcBorders>
            <w:shd w:val="clear" w:color="auto" w:fill="auto"/>
            <w:vAlign w:val="center"/>
          </w:tcPr>
          <w:p/>
        </w:tc>
        <w:tc>
          <w:tcPr>
            <w:tcW w:w="1096" w:type="dxa"/>
            <w:vMerge/>
            <w:tcBorders>
              <w:top w:val="single" w:sz="4" w:space="0" w:color="000000"/>
              <w:left w:val="nil"/>
              <w:bottom w:val="single" w:sz="4" w:space="0" w:color="000000"/>
              <w:right w:val="single" w:sz="4" w:space="0" w:color="000000"/>
            </w:tcBorders>
            <w:shd w:val="clear" w:color="auto" w:fill="auto"/>
            <w:vAlign w:val="center"/>
          </w:tcPr>
          <w:p/>
        </w:tc>
        <w:tc>
          <w:tcPr>
            <w:tcW w:w="2695" w:type="dxa"/>
            <w:gridSpan w:val="2"/>
            <w:vMerge/>
            <w:tcBorders>
              <w:top w:val="single" w:sz="4" w:space="0" w:color="000000"/>
              <w:left w:val="single" w:sz="4" w:space="0" w:color="000000"/>
              <w:bottom w:val="nil"/>
              <w:right w:val="single" w:sz="4" w:space="0" w:color="000000"/>
            </w:tcBorders>
            <w:shd w:val="clear" w:color="auto" w:fill="auto"/>
            <w:vAlign w:val="center"/>
          </w:tcPr>
          <w:p/>
        </w:tc>
        <w:tc>
          <w:tcPr>
            <w:tcW w:w="544"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tc>
        <w:tc>
          <w:tcPr>
            <w:tcW w:w="6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356" w:type="dxa"/>
            <w:tcBorders>
              <w:top w:val="single" w:sz="4" w:space="0" w:color="000000"/>
              <w:left w:val="single" w:sz="4" w:space="0" w:color="000000"/>
              <w:bottom w:val="nil"/>
              <w:right w:val="single" w:sz="4" w:space="0" w:color="000000"/>
            </w:tcBorders>
            <w:shd w:val="clear" w:color="auto" w:fill="auto"/>
            <w:vAlign w:val="center"/>
          </w:tcPr>
          <w:p>
            <w:pPr>
              <w:jc w:val="center"/>
              <w:rPr>
                <w:rFonts w:ascii="Calibri" w:eastAsia="宋体" w:cs="Calibri" w:hAnsi="Calibri"/>
                <w:i w:val="0"/>
                <w:iCs w:val="0"/>
                <w:color w:val="000000"/>
                <w:sz w:val="21"/>
                <w:szCs w:val="21"/>
                <w:u w:val="none"/>
              </w:rPr>
            </w:pPr>
          </w:p>
        </w:tc>
      </w:tr>
      <w:tr>
        <w:trPr>
          <w:trHeight w:val="90"/>
        </w:trPr>
        <w:tc>
          <w:tcPr>
            <w:tcW w:w="1233" w:type="dxa"/>
            <w:vMerge/>
            <w:tcBorders>
              <w:top w:val="single" w:sz="4" w:space="0" w:color="000000"/>
              <w:left w:val="single" w:sz="4" w:space="0" w:color="000000"/>
              <w:bottom w:val="single" w:sz="4" w:space="0" w:color="000000"/>
              <w:right w:val="nil"/>
            </w:tcBorders>
            <w:shd w:val="clear" w:color="auto" w:fill="auto"/>
            <w:vAlign w:val="center"/>
          </w:tcPr>
          <w:p/>
        </w:tc>
        <w:tc>
          <w:tcPr>
            <w:tcW w:w="608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总分</w:t>
            </w:r>
          </w:p>
        </w:tc>
        <w:tc>
          <w:tcPr>
            <w:tcW w:w="1356" w:type="dxa"/>
            <w:tcBorders>
              <w:top w:val="single" w:sz="4" w:space="0" w:color="000000"/>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center"/>
              <w:textAlignment w:val="center"/>
              <w:rPr>
                <w:rFonts w:ascii="Calibri" w:eastAsia="宋体" w:cs="Calibri" w:hAnsi="Calibri"/>
                <w:i w:val="0"/>
                <w:iCs w:val="0"/>
                <w:color w:val="000000"/>
                <w:sz w:val="21"/>
                <w:szCs w:val="21"/>
                <w:u w:val="none"/>
              </w:rPr>
            </w:pPr>
            <w:r>
              <w:rPr>
                <w:rFonts w:ascii="Calibri" w:eastAsia="宋体" w:cs="Calibri" w:hAnsi="Calibri"/>
                <w:i w:val="0"/>
                <w:iCs w:val="0"/>
                <w:color w:val="000000"/>
                <w:kern w:val="0"/>
                <w:sz w:val="21"/>
                <w:szCs w:val="21"/>
                <w:u w:val="none"/>
                <w:lang w:val="en-US" w:eastAsia="zh-CN"/>
              </w:rPr>
              <w:t>100</w:t>
            </w:r>
          </w:p>
        </w:tc>
      </w:tr>
      <w:tr>
        <w:trPr>
          <w:trHeight w:val="90"/>
        </w:trPr>
        <w:tc>
          <w:tcPr>
            <w:tcW w:w="1233" w:type="dxa"/>
            <w:tcBorders>
              <w:top w:val="nil"/>
              <w:left w:val="single" w:sz="4" w:space="0" w:color="000000"/>
              <w:bottom w:val="single" w:sz="4" w:space="0" w:color="000000"/>
              <w:right w:val="single" w:sz="4" w:space="0" w:color="000000"/>
            </w:tcBorders>
            <w:shd w:val="clear" w:color="auto" w:fill="auto"/>
            <w:vAlign w:val="center"/>
          </w:tcPr>
          <w:p>
            <w:pPr>
              <w:keepNext w:val="0"/>
              <w:keepLines w:val="0"/>
              <w:widowControl/>
              <w:suppressLineNumbers w:val="0"/>
              <w:jc w:val="left"/>
              <w:textAlignment w:val="center"/>
              <w:rPr>
                <w:rFonts w:ascii="宋体" w:eastAsia="宋体" w:cs="宋体" w:hAnsi="宋体" w:hint="eastAsia"/>
                <w:i w:val="0"/>
                <w:iCs w:val="0"/>
                <w:color w:val="000000"/>
                <w:sz w:val="16"/>
                <w:szCs w:val="16"/>
                <w:u w:val="none"/>
              </w:rPr>
            </w:pPr>
            <w:r>
              <w:rPr>
                <w:rFonts w:ascii="宋体" w:eastAsia="宋体" w:cs="宋体" w:hAnsi="宋体" w:hint="eastAsia"/>
                <w:i w:val="0"/>
                <w:iCs w:val="0"/>
                <w:color w:val="000000"/>
                <w:kern w:val="0"/>
                <w:sz w:val="16"/>
                <w:szCs w:val="16"/>
                <w:u w:val="none"/>
                <w:lang w:val="en-US" w:eastAsia="zh-CN"/>
              </w:rPr>
              <w:t>五、</w:t>
            </w:r>
            <w:r>
              <w:rPr>
                <w:rFonts w:ascii="Calibri" w:eastAsia="宋体" w:cs="Calibri" w:hAnsi="Calibri"/>
                <w:i w:val="0"/>
                <w:iCs w:val="0"/>
                <w:color w:val="000000"/>
                <w:kern w:val="0"/>
                <w:sz w:val="16"/>
                <w:szCs w:val="16"/>
                <w:u w:val="none"/>
                <w:lang w:val="en-US" w:eastAsia="zh-CN"/>
              </w:rPr>
              <w:t xml:space="preserve"> </w:t>
            </w:r>
            <w:r>
              <w:rPr>
                <w:rStyle w:val="29"/>
                <w:lang w:val="en-US" w:eastAsia="zh-CN"/>
              </w:rPr>
              <w:t>存在问题、原因及下一步整改措施</w:t>
            </w:r>
          </w:p>
        </w:tc>
        <w:tc>
          <w:tcPr>
            <w:tcW w:w="7442"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pPr>
              <w:jc w:val="left"/>
              <w:rPr>
                <w:rFonts w:ascii="宋体" w:eastAsia="宋体" w:cs="宋体" w:hAnsi="宋体" w:hint="eastAsia"/>
                <w:i w:val="0"/>
                <w:iCs w:val="0"/>
                <w:color w:val="000000"/>
                <w:sz w:val="16"/>
                <w:szCs w:val="16"/>
                <w:u w:val="none"/>
              </w:rPr>
            </w:pPr>
          </w:p>
        </w:tc>
      </w:tr>
    </w:tbl>
    <w:p>
      <w:pPr>
        <w:widowControl/>
        <w:spacing w:before="0" w:beforeAutospacing="0" w:after="0" w:afterAutospacing="0" w:line="360" w:lineRule="auto"/>
        <w:ind w:firstLineChars="200" w:firstLine="640"/>
        <w:jc w:val="left"/>
        <w:rPr>
          <w:rFonts w:ascii="仿宋_GB2312" w:eastAsia="仿宋_GB2312" w:cs="仿宋_GB2312" w:hAnsi="仿宋_GB2312"/>
          <w:sz w:val="32"/>
          <w:szCs w:val="32"/>
          <w:lang w:val="en-US" w:eastAsia="zh-CN"/>
        </w:rPr>
      </w:pPr>
      <w:r>
        <w:rPr>
          <w:rFonts w:ascii="Times New Roman" w:eastAsia="仿宋_GB2312" w:hAnsi="Times New Roman"/>
          <w:b/>
          <w:sz w:val="32"/>
          <w:szCs w:val="32"/>
        </w:rPr>
        <w:t>（三）部门评价项目绩效评价结果</w:t>
      </w:r>
      <w:r>
        <w:rPr>
          <w:rFonts w:ascii="Times New Roman" w:eastAsia="仿宋_GB2312" w:hAnsi="Times New Roman" w:hint="eastAsia"/>
          <w:b/>
          <w:sz w:val="32"/>
          <w:szCs w:val="32"/>
          <w:lang w:val="en-US" w:eastAsia="zh-CN"/>
        </w:rPr>
        <w:t xml:space="preserve">   </w:t>
      </w:r>
      <w:r>
        <w:rPr>
          <w:rFonts w:ascii="仿宋_GB2312" w:eastAsia="仿宋_GB2312" w:cs="仿宋_GB2312" w:hAnsi="仿宋_GB2312" w:hint="eastAsia"/>
          <w:b/>
          <w:bCs/>
          <w:sz w:val="32"/>
          <w:szCs w:val="32"/>
          <w:lang w:val="en-US" w:eastAsia="zh-CN"/>
        </w:rPr>
        <w:t>无</w:t>
      </w:r>
    </w:p>
    <w:p>
      <w:pPr>
        <w:widowControl/>
        <w:spacing w:before="0" w:beforeAutospacing="0" w:after="0" w:afterAutospacing="0" w:line="360" w:lineRule="auto"/>
        <w:ind w:firstLineChars="200" w:firstLine="640"/>
        <w:jc w:val="left"/>
        <w:rPr>
          <w:rFonts w:ascii="Times New Roman" w:eastAsia="黑体" w:hAnsi="Times New Roman"/>
          <w:sz w:val="32"/>
          <w:szCs w:val="32"/>
        </w:rPr>
      </w:pPr>
      <w:r>
        <w:rPr>
          <w:rFonts w:ascii="Times New Roman" w:eastAsia="黑体" w:hAnsi="Times New Roman"/>
          <w:b w:val="0"/>
          <w:sz w:val="32"/>
          <w:szCs w:val="32"/>
        </w:rPr>
        <w:t>十、其他需要说明的情况</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val="0"/>
          <w:sz w:val="32"/>
          <w:szCs w:val="32"/>
        </w:rPr>
        <w:t>2. 由于决算公开表格中金额数值应当保留两位小数，公开数据为四舍五入计算结果，个别数据合计项与分项之和存在小数点后差额，特此说明。</w:t>
      </w:r>
    </w:p>
    <w:p>
      <w:pPr>
        <w:rPr>
          <w:rFonts w:ascii="Times New Roman" w:eastAsia="仿宋_GB2312" w:cs="Times New Roman" w:hAnsi="Times New Roman"/>
          <w:sz w:val="32"/>
          <w:szCs w:val="32"/>
        </w:rPr>
      </w:pPr>
      <w:r>
        <w:rPr>
          <w:rFonts w:ascii="Times New Roman" w:eastAsia="仿宋_GB2312" w:cs="Times New Roman" w:hAnsi="Times New Roman"/>
          <w:sz w:val="32"/>
          <w:szCs w:val="32"/>
        </w:rPr>
        <w:br w:type="page"/>
      </w: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spacing w:before="0" w:beforeAutospacing="0" w:after="0" w:afterAutospacing="0" w:line="360" w:lineRule="auto"/>
        <w:jc w:val="center"/>
        <w:outlineLvl w:val="0"/>
        <w:rPr>
          <w:rFonts w:ascii="Times New Roman" w:eastAsia="黑体" w:hAnsi="Times New Roman"/>
          <w:sz w:val="44"/>
          <w:szCs w:val="44"/>
        </w:rPr>
      </w:pPr>
      <w:r>
        <w:rPr>
          <w:rFonts w:ascii="Times New Roman" w:eastAsia="黑体" w:hAnsi="Times New Roman"/>
          <w:b w:val="0"/>
          <w:sz w:val="44"/>
          <w:szCs w:val="44"/>
        </w:rPr>
        <w:t>第四部分 名词解释</w:t>
      </w: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hint="eastAsia"/>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jc w:val="both"/>
        <w:rPr>
          <w:rFonts w:ascii="Times New Roman" w:eastAsia="黑体" w:cs="Times New Roman" w:hAnsi="Times New Roman"/>
          <w:color w:val="000000"/>
          <w:sz w:val="44"/>
          <w:szCs w:val="44"/>
          <w14:shadow w14:sx="100000" w14:sy="100000" w14:blurRad="38100" w14:dir="5400000" w14:dist="22860" w14:algn="tl">
            <w14:srgbClr w14:val="000000">
              <w14:alpha w14:val="70000"/>
            </w14:srgbClr>
          </w14:shadow>
          <w14:textFill>
            <w14:solidFill>
              <w14:srgbClr w14:val="000000"/>
            </w14:solidFill>
          </w14:textFill>
          <w:lang w:val="en-US" w:eastAsia="zh-CN"/>
        </w:rPr>
      </w:pP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一、财政拨款收入：</w:t>
      </w:r>
      <w:r>
        <w:rPr>
          <w:rFonts w:ascii="Times New Roman" w:eastAsia="仿宋_GB2312" w:hAnsi="Times New Roman"/>
          <w:b w:val="0"/>
          <w:sz w:val="32"/>
          <w:szCs w:val="32"/>
        </w:rPr>
        <w:t>指单位从同级财政部门取得的财政预算资金。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二、事业收入：</w:t>
      </w:r>
      <w:r>
        <w:rPr>
          <w:rFonts w:ascii="Times New Roman" w:eastAsia="仿宋_GB2312" w:hAnsi="Times New Roman"/>
          <w:b w:val="0"/>
          <w:sz w:val="32"/>
          <w:szCs w:val="32"/>
        </w:rPr>
        <w:t>指事业单位开展专业业务活动及辅助活动取得的收入。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三、经营收入：</w:t>
      </w:r>
      <w:r>
        <w:rPr>
          <w:rFonts w:ascii="Times New Roman" w:eastAsia="仿宋_GB2312" w:hAnsi="Times New Roman"/>
          <w:b w:val="0"/>
          <w:sz w:val="32"/>
          <w:szCs w:val="32"/>
        </w:rPr>
        <w:t>指事业单位在专业业务活动及其辅助活动之外开展非独立核算经营活动取得的收入。</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四、其他收入：</w:t>
      </w:r>
      <w:r>
        <w:rPr>
          <w:rFonts w:ascii="Times New Roman" w:eastAsia="仿宋_GB2312" w:hAnsi="Times New Roman"/>
          <w:b w:val="0"/>
          <w:sz w:val="32"/>
          <w:szCs w:val="32"/>
        </w:rPr>
        <w:t>指单位取得的除上述收入以外的各项收入。主要是事业单位固定资产出租收入、存款利息收入等。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五、使用非财政拨款结余（含专用结余）：</w:t>
      </w:r>
      <w:r>
        <w:rPr>
          <w:rFonts w:ascii="Times New Roman" w:eastAsia="仿宋_GB2312" w:hAnsi="Times New Roman"/>
          <w:b w:val="0"/>
          <w:sz w:val="32"/>
          <w:szCs w:val="32"/>
        </w:rPr>
        <w:t>指事业单位按照预算管理要求使用非财政拨款结余弥补收支差额的金额，以及使用专用结余安排支出的金额。</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六、年初结转和结余：</w:t>
      </w:r>
      <w:r>
        <w:rPr>
          <w:rFonts w:ascii="Times New Roman" w:eastAsia="仿宋_GB2312" w:hAnsi="Times New Roman"/>
          <w:b w:val="0"/>
          <w:sz w:val="32"/>
          <w:szCs w:val="32"/>
        </w:rPr>
        <w:t>指单位以前年度尚未完成、结转到本年仍按原规定用途继续使用的资金，或项目已完成等产生的结余资金。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七、结余分配：</w:t>
      </w:r>
      <w:r>
        <w:rPr>
          <w:rFonts w:ascii="Times New Roman" w:eastAsia="仿宋_GB2312" w:hAnsi="Times New Roman"/>
          <w:b w:val="0"/>
          <w:sz w:val="32"/>
          <w:szCs w:val="32"/>
        </w:rPr>
        <w:t>指事业单位按照会计制度规定缴纳的所得税、提取的专用结余以及转入非财政拨款结余的金额等。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八、年末结转和结余：</w:t>
      </w:r>
      <w:r>
        <w:rPr>
          <w:rFonts w:ascii="Times New Roman" w:eastAsia="仿宋_GB2312" w:hAnsi="Times New Roman"/>
          <w:b w:val="0"/>
          <w:sz w:val="32"/>
          <w:szCs w:val="32"/>
        </w:rPr>
        <w:t>指单位按有关规定结转到下年或以后年度继续使用的资金，或项目已完成等产生的结余资金。</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九、基本支出：</w:t>
      </w:r>
      <w:r>
        <w:rPr>
          <w:rFonts w:ascii="Times New Roman" w:eastAsia="仿宋_GB2312" w:hAnsi="Times New Roman"/>
          <w:b w:val="0"/>
          <w:sz w:val="32"/>
          <w:szCs w:val="32"/>
        </w:rPr>
        <w:t>指为保障机构正常运转、完成日常工作任务而发生的人员支出和公用支出。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十、项目支出：</w:t>
      </w:r>
      <w:r>
        <w:rPr>
          <w:rFonts w:ascii="Times New Roman" w:eastAsia="仿宋_GB2312" w:hAnsi="Times New Roman"/>
          <w:b w:val="0"/>
          <w:sz w:val="32"/>
          <w:szCs w:val="32"/>
        </w:rPr>
        <w:t>指在基本支出之外为完成特定行政任务和事业发展目标所发生的支出。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十一、经营支出 ：</w:t>
      </w:r>
      <w:r>
        <w:rPr>
          <w:rFonts w:ascii="Times New Roman" w:eastAsia="仿宋_GB2312" w:hAnsi="Times New Roman"/>
          <w:b w:val="0"/>
          <w:sz w:val="32"/>
          <w:szCs w:val="32"/>
        </w:rPr>
        <w:t>指事业单位在专业业务活动及其辅助活动之外开展非独立核算经营活动发生的支出。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十二、基本建设支出：</w:t>
      </w:r>
      <w:r>
        <w:rPr>
          <w:rFonts w:ascii="Times New Roman" w:eastAsia="仿宋_GB2312" w:hAnsi="Times New Roman"/>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十三、其他资本性支出：</w:t>
      </w:r>
      <w:r>
        <w:rPr>
          <w:rFonts w:ascii="Times New Roman" w:eastAsia="仿宋_GB2312" w:hAnsi="Times New Roman"/>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十四、“三公”经费：</w:t>
      </w:r>
      <w:r>
        <w:rPr>
          <w:rFonts w:ascii="Times New Roman" w:eastAsia="仿宋_GB2312" w:hAnsi="Times New Roman"/>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十五、其他交通费用：</w:t>
      </w:r>
      <w:r>
        <w:rPr>
          <w:rFonts w:ascii="Times New Roman" w:eastAsia="仿宋_GB2312" w:hAnsi="Times New Roman"/>
          <w:b w:val="0"/>
          <w:sz w:val="32"/>
          <w:szCs w:val="32"/>
        </w:rPr>
        <w:t>填列单位除公务用车运行维护费以外的其他交通费用。如公务交通补贴、租车费用、出租车费用，飞机、船舶等燃料费、维修费、保险费等。</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十六、公务用车购置：</w:t>
      </w:r>
      <w:r>
        <w:rPr>
          <w:rFonts w:ascii="Times New Roman" w:eastAsia="仿宋_GB2312" w:hAnsi="Times New Roman"/>
          <w:b w:val="0"/>
          <w:sz w:val="32"/>
          <w:szCs w:val="32"/>
        </w:rPr>
        <w:t>填列单位公务用车车辆购置支出（含车辆购置税、牌照费）。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十七、其他交通工具购置：</w:t>
      </w:r>
      <w:r>
        <w:rPr>
          <w:rFonts w:ascii="Times New Roman" w:eastAsia="仿宋_GB2312" w:hAnsi="Times New Roman"/>
          <w:b w:val="0"/>
          <w:sz w:val="32"/>
          <w:szCs w:val="32"/>
        </w:rPr>
        <w:t>填列单位除公务用车外的其他各类交通工具（如船舶、飞机等）购置支出（含车辆购置税、牌照费）。</w:t>
      </w:r>
    </w:p>
    <w:p>
      <w:pPr>
        <w:widowControl/>
        <w:spacing w:before="0" w:beforeAutospacing="0" w:after="0" w:afterAutospacing="0" w:line="360" w:lineRule="auto"/>
        <w:ind w:firstLineChars="200" w:firstLine="640"/>
        <w:jc w:val="left"/>
        <w:rPr>
          <w:rFonts w:ascii="Times New Roman" w:eastAsia="仿宋_GB2312" w:hAnsi="Times New Roman"/>
          <w:sz w:val="32"/>
          <w:szCs w:val="32"/>
        </w:rPr>
      </w:pPr>
      <w:r>
        <w:rPr>
          <w:rFonts w:ascii="Times New Roman" w:eastAsia="仿宋_GB2312" w:hAnsi="Times New Roman"/>
          <w:b/>
          <w:sz w:val="32"/>
          <w:szCs w:val="32"/>
        </w:rPr>
        <w:t>十八、机关运行经费：</w:t>
      </w:r>
      <w:r>
        <w:rPr>
          <w:rFonts w:ascii="Times New Roman" w:eastAsia="仿宋_GB2312" w:hAnsi="Times New Roman"/>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rtlGutter/>
      <w:docGrid w:type="lines" w:linePitch="329" w:charSpace="0"/>
    </w:sectPr>
  </w:body>
</w:document>
</file>

<file path=word/fontTable.xml><?xml version="1.0" encoding="utf-8"?>
<w:fonts xmlns:w="http://schemas.openxmlformats.org/wordprocessingml/2006/main" xmlns:r="http://schemas.openxmlformats.org/officeDocument/2006/relationships">
  <w:font w:name="微软雅黑">
    <w:panose1 w:val="020B0503020204020204"/>
    <w:charset w:val="86"/>
    <w:family w:val="auto"/>
    <w:pitch w:val="variable"/>
    <w:sig w:usb0="80000287" w:usb1="280F3C52" w:usb2="00000016" w:usb3="00000000" w:csb0="0004001F" w:csb1="00000000"/>
  </w:font>
  <w:font w:name="楷体_GB2312">
    <w:altName w:val="楷体"/>
    <w:panose1 w:val="02010609030101010101"/>
    <w:charset w:val="86"/>
    <w:family w:val="auto"/>
    <w:pitch w:val="variable"/>
    <w:sig w:usb0="00000001" w:usb1="080E0000" w:usb2="00000000" w:usb3="00000000" w:csb0="00040000" w:csb1="00000000"/>
  </w:font>
  <w:font w:name="黑体">
    <w:altName w:val="微软雅黑"/>
    <w:panose1 w:val="02010609060101010101"/>
    <w:charset w:val="86"/>
    <w:family w:val="auto"/>
    <w:pitch w:val="variable"/>
    <w:sig w:usb0="800002BF" w:usb1="38CF7CFA" w:usb2="00000016" w:usb3="00000000" w:csb0="00040001" w:csb1="00000000"/>
  </w:font>
  <w:font w:name="Times New Roman">
    <w:panose1 w:val="02020603050405020304"/>
    <w:charset w:val="86"/>
    <w:family w:val="roman"/>
    <w:pitch w:val="variable"/>
    <w:sig w:usb0="E0002AFF" w:usb1="C0007841" w:usb2="00000009" w:usb3="00000000" w:csb0="400001FF" w:csb1="FFFF0000"/>
  </w:font>
  <w:font w:name="方正小标宋_GBK">
    <w:altName w:val="微软雅黑"/>
    <w:panose1 w:val="02000000000000000000"/>
    <w:charset w:val="86"/>
    <w:family w:val="script"/>
    <w:pitch w:val="variable"/>
    <w:sig w:usb0="A00002BF" w:usb1="38CF7CFA" w:usb2="00082016" w:usb3="00000000" w:csb0="00040001" w:csb1="00000000"/>
  </w:font>
  <w:font w:name="仿宋_GB2312">
    <w:altName w:val="仿宋"/>
    <w:panose1 w:val="02010609030101010101"/>
    <w:charset w:val="86"/>
    <w:family w:val="auto"/>
    <w:pitch w:val="variable"/>
    <w:sig w:usb0="00000001" w:usb1="080E0000" w:usb2="00000000" w:usb3="00000000" w:csb0="00040000" w:csb1="00000000"/>
  </w:font>
  <w:font w:name="宋体">
    <w:panose1 w:val="02010600030101010101"/>
    <w:charset w:val="50"/>
    <w:family w:val="auto"/>
    <w:pitch w:val="variable"/>
    <w:sig w:usb0="000000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ArialUnicodeMS">
    <w:altName w:val="hakuyoxingshu7000"/>
    <w:panose1 w:val="00000000000000000000"/>
    <w:charset w:val="81"/>
    <w:family w:val="auto"/>
    <w:pitch w:val="variable"/>
    <w:sig w:usb0="00000000" w:usb1="00000000" w:usb2="00000010" w:usb3="00000000" w:csb0="00080001" w:csb1="00000000"/>
  </w:font>
  <w:font w:name="Calibri">
    <w:panose1 w:val="020F0502020204030204"/>
    <w:charset w:val="00"/>
    <w:family w:val="swiss"/>
    <w:pitch w:val="variable"/>
    <w:sig w:usb0="E10002FF" w:usb1="4000ACFF" w:usb2="00000009" w:usb3="00000000" w:csb0="2000019F" w:csb1="00000000"/>
  </w:font>
  <w:font w:name="方正仿宋_GB2312">
    <w:altName w:val="微软雅黑"/>
    <w:panose1 w:val="02000000000000000000"/>
    <w:charset w:val="86"/>
    <w:family w:val="auto"/>
    <w:pitch w:val="variable"/>
    <w:sig w:usb0="A00002BF" w:usb1="184F6CFA" w:usb2="00000012" w:usb3="00000000" w:csb0="00040001" w:csb1="00000000"/>
  </w:font>
  <w:font w:name="Arial">
    <w:panose1 w:val="020B0604020202020204"/>
    <w:charset w:val="01"/>
    <w:family w:val="swiss"/>
    <w:pitch w:val="variable"/>
    <w:sig w:usb0="E0002AFF" w:usb1="C0007843" w:usb2="00000009" w:usb3="00000000" w:csb0="400001FF" w:csb1="FFFF0000"/>
  </w:font>
  <w:font w:name="DengXian-Regular">
    <w:altName w:val="宋体"/>
    <w:panose1 w:val="00000000000000000000"/>
    <w:charset w:val="86"/>
    <w:family w:val="auto"/>
    <w:pitch w:val="variable"/>
    <w:sig w:usb0="00000000" w:usb1="00000000" w:usb2="00000010" w:usb3="00000000" w:csb0="00040001" w:csb1="00000000"/>
  </w:font>
  <w:font w:name="Calibri Light">
    <w:altName w:val="Calibri"/>
    <w:panose1 w:val="020F0302020204030204"/>
    <w:charset w:val="00"/>
    <w:family w:val="auto"/>
    <w:pitch w:val="variable"/>
    <w:sig w:usb0="00000000" w:usb1="00000000" w:usb2="00000000" w:usb3="00000000" w:csb0="2000019F" w:csb1="00000000"/>
  </w:font>
  <w:font w:name="华文中宋">
    <w:altName w:val="宋体"/>
    <w:panose1 w:val="02010600040101010101"/>
    <w:charset w:val="86"/>
    <w:family w:val="auto"/>
    <w:pitch w:val="variable"/>
    <w:sig w:usb0="00000000" w:usb1="00000000" w:usb2="00000000" w:usb3="00000000" w:csb0="0004009F" w:csb1="DFD7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jc w:val="center"/>
    </w:pPr>
  </w:p>
  <w:p>
    <w:pPr>
      <w:pStyle w:val="17"/>
      <w:tabs>
        <w:tab w:val="center" w:pos="4153"/>
        <w:tab w:val="right" w:pos="8306"/>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4.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p>
</w:ftr>
</file>

<file path=word/footer5.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footer6.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2.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header3.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8"/>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40560CCC"/>
    <w:multiLevelType w:val="multilevel"/>
    <w:tmpl w:val="5F16A424"/>
    <w:lvl w:ilvl="0">
      <w:start w:val="1"/>
      <w:numFmt w:val="decimal"/>
      <w:lvlRestart w:val="0"/>
      <w:pStyle w:val="1"/>
      <w:lvlText w:val="%1."/>
      <w:lvlJc w:val="left"/>
      <w:pPr>
        <w:ind w:left="425" w:hanging="425"/>
      </w:pPr>
      <w:rPr>
        <w:rFonts w:hint="default"/>
      </w:rPr>
    </w:lvl>
    <w:lvl w:ilvl="1">
      <w:start w:val="1"/>
      <w:numFmt w:val="decimal"/>
      <w:pStyle w:val="2"/>
      <w:lvlText w:val="%1.%2."/>
      <w:lvlJc w:val="left"/>
      <w:pPr>
        <w:ind w:left="567" w:hanging="567"/>
      </w:pPr>
      <w:rPr>
        <w:rFonts w:hint="default"/>
      </w:rPr>
    </w:lvl>
    <w:lvl w:ilvl="2">
      <w:start w:val="1"/>
      <w:numFmt w:val="decimal"/>
      <w:pStyle w:val="3"/>
      <w:lvlText w:val="%1.%2.%3."/>
      <w:lvlJc w:val="left"/>
      <w:pPr>
        <w:ind w:left="709" w:hanging="709"/>
      </w:pPr>
      <w:rPr>
        <w:rFonts w:hint="default"/>
      </w:rPr>
    </w:lvl>
    <w:lvl w:ilvl="3">
      <w:start w:val="1"/>
      <w:numFmt w:val="decimal"/>
      <w:pStyle w:val="4"/>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val="0"/>
  <w:bordersDoNotSurroundFooter w:val="0"/>
  <w:documentProtection w:edit="readOnly" w:enforcement="0"/>
  <w:defaultTabStop w:val="420"/>
  <w:drawingGridHorizontalSpacing w:val="120"/>
  <w:drawingGridVerticalSpacing w:val="165"/>
  <w:displayHorizontalDrawingGridEvery w:val="1"/>
  <w:displayVerticalDrawingGridEvery w:val="1"/>
  <w:noPunctuationKerning/>
  <w:characterSpacingControl w:val="compressPunctuation"/>
  <w:compat>
    <w:spaceForUL/>
    <w:balanceSingleByteDoubleByteWidth/>
    <w:ulTrailSpace/>
    <w:doNotExpandShiftReturn/>
    <w:adjustLineHeightInTable/>
    <w:doNotUseIndentAsNumberingTabStop/>
    <w:useAltKinsokuLineBreakRules/>
    <w:compatSetting w:name="compatibilityMode" w:uri="http://schemas.microsoft.com/office/word" w:val="14"/>
  </w:compat>
  <w:docVars>
    <w:docVar w:name="commondata" w:val="eyJjb3VudCI6NjksImhkaWQiOiJiMzk2N2EzZjUyYWViODRjZjJhMDZjM2YyYjk4MTExMiIsInVzZXJDb3VudCI6MX0="/>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jc w:val="both"/>
    </w:pPr>
    <w:rPr>
      <w:rFonts w:ascii="Calibri" w:eastAsia="宋体" w:cs="宋体" w:hAnsi="Times New Roman"/>
      <w:color w:val="auto"/>
      <w:kern w:val="0"/>
      <w:sz w:val="24"/>
      <w:szCs w:val="24"/>
      <w:lang w:val="en-US" w:eastAsia="zh-CN" w:bidi="ar-SA"/>
    </w:rPr>
  </w:style>
  <w:style w:type="paragraph" w:styleId="1">
    <w:name w:val="heading 1"/>
    <w:basedOn w:val="0"/>
    <w:next w:val="0"/>
    <w:pPr>
      <w:keepNext/>
      <w:keepLines/>
      <w:widowControl w:val="0"/>
      <w:numPr>
        <w:ilvl w:val="0"/>
        <w:numId w:val="1"/>
      </w:numPr>
      <w:adjustRightInd w:val="0"/>
      <w:snapToGrid w:val="0"/>
      <w:spacing w:before="340" w:afterLines="50" w:after="50" w:line="578" w:lineRule="auto"/>
      <w:ind w:left="425" w:hanging="425"/>
      <w:jc w:val="left"/>
      <w:outlineLvl w:val="0"/>
    </w:pPr>
    <w:rPr>
      <w:rFonts w:ascii="Times New Roman" w:eastAsia="仿宋" w:cs="Times New Roman" w:hAnsi="Times New Roman"/>
      <w:b/>
      <w:bCs/>
      <w:kern w:val="44"/>
      <w:sz w:val="36"/>
      <w:szCs w:val="44"/>
    </w:rPr>
  </w:style>
  <w:style w:type="paragraph" w:styleId="2">
    <w:name w:val="heading 2"/>
    <w:basedOn w:val="0"/>
    <w:next w:val="0"/>
    <w:pPr>
      <w:widowControl w:val="0"/>
      <w:numPr>
        <w:ilvl w:val="1"/>
        <w:numId w:val="1"/>
      </w:numPr>
      <w:spacing w:line="415" w:lineRule="auto"/>
      <w:ind w:left="567" w:hanging="567"/>
      <w:outlineLvl w:val="1"/>
    </w:pPr>
    <w:rPr>
      <w:rFonts w:ascii="Calibri Light" w:eastAsia="宋体" w:cs="Times New Roman" w:hAnsi="Calibri Light"/>
      <w:b/>
      <w:bCs/>
      <w:sz w:val="28"/>
      <w:szCs w:val="32"/>
    </w:rPr>
  </w:style>
  <w:style w:type="paragraph" w:styleId="3">
    <w:name w:val="heading 3"/>
    <w:basedOn w:val="0"/>
    <w:next w:val="0"/>
    <w:pPr>
      <w:keepNext/>
      <w:keepLines/>
      <w:widowControl w:val="0"/>
      <w:numPr>
        <w:ilvl w:val="2"/>
        <w:numId w:val="1"/>
      </w:numPr>
      <w:spacing w:beforeLines="50" w:before="50" w:afterLines="50" w:after="50" w:line="415" w:lineRule="auto"/>
      <w:outlineLvl w:val="2"/>
    </w:pPr>
    <w:rPr>
      <w:rFonts w:ascii="宋体" w:eastAsia="宋体" w:cs="宋体" w:hAnsi="宋体"/>
      <w:b/>
      <w:bCs/>
      <w:sz w:val="32"/>
    </w:rPr>
  </w:style>
  <w:style w:type="paragraph" w:styleId="4">
    <w:name w:val="heading 4"/>
    <w:basedOn w:val="0"/>
    <w:next w:val="0"/>
    <w:pPr>
      <w:keepNext/>
      <w:keepLines/>
      <w:widowControl w:val="0"/>
      <w:numPr>
        <w:ilvl w:val="3"/>
        <w:numId w:val="1"/>
      </w:numPr>
      <w:spacing w:before="120" w:after="120"/>
      <w:outlineLvl w:val="3"/>
    </w:pPr>
    <w:rPr>
      <w:rFonts w:ascii="Calibri Light" w:eastAsia="宋体" w:cs="Times New Roman" w:hAnsi="Calibri Light"/>
      <w:b/>
      <w:bCs/>
      <w:sz w:val="28"/>
      <w:szCs w:val="28"/>
    </w:rPr>
  </w:style>
  <w:style w:type="character" w:default="1" w:styleId="10">
    <w:name w:val="Default Paragraph Font"/>
  </w:style>
  <w:style w:type="paragraph" w:styleId="15">
    <w:name w:val="annotation text"/>
    <w:basedOn w:val="0"/>
    <w:pPr>
      <w:jc w:val="left"/>
    </w:pPr>
  </w:style>
  <w:style w:type="paragraph" w:styleId="16">
    <w:name w:val="Balloon Text"/>
    <w:basedOn w:val="0"/>
    <w:rPr>
      <w:rFonts w:cs="Arial"/>
      <w:kern w:val="2"/>
      <w:sz w:val="18"/>
      <w:szCs w:val="18"/>
    </w:rPr>
  </w:style>
  <w:style w:type="paragraph" w:styleId="17">
    <w:name w:val="footer"/>
    <w:basedOn w:val="0"/>
    <w:pPr>
      <w:tabs>
        <w:tab w:val="center" w:pos="4153"/>
        <w:tab w:val="right" w:pos="8306"/>
      </w:tabs>
      <w:snapToGrid w:val="0"/>
      <w:jc w:val="left"/>
    </w:pPr>
    <w:rPr>
      <w:rFonts w:cs="Arial"/>
      <w:kern w:val="2"/>
      <w:sz w:val="18"/>
      <w:szCs w:val="18"/>
    </w:rPr>
  </w:style>
  <w:style w:type="paragraph" w:styleId="18">
    <w:name w:val="header"/>
    <w:basedOn w:val="0"/>
    <w:pPr>
      <w:pBdr>
        <w:top w:val="none" w:sz="0" w:space="0" w:color="auto"/>
        <w:left w:val="none" w:sz="0" w:space="0" w:color="auto"/>
        <w:bottom w:val="none" w:sz="0" w:space="0" w:color="auto"/>
        <w:right w:val="none" w:sz="0" w:space="0" w:color="auto"/>
      </w:pBdr>
      <w:tabs>
        <w:tab w:val="center" w:pos="4153"/>
        <w:tab w:val="right" w:pos="8306"/>
      </w:tabs>
      <w:snapToGrid w:val="0"/>
      <w:jc w:val="center"/>
    </w:pPr>
    <w:rPr>
      <w:rFonts w:cs="Arial"/>
      <w:kern w:val="2"/>
      <w:sz w:val="18"/>
      <w:szCs w:val="18"/>
    </w:rPr>
  </w:style>
  <w:style w:type="paragraph" w:styleId="19">
    <w:name w:val="Normal (Web)"/>
    <w:basedOn w:val="0"/>
    <w:pPr>
      <w:spacing w:before="0" w:beforeAutospacing="1" w:after="0" w:afterAutospacing="1"/>
      <w:ind w:left="0" w:right="0"/>
      <w:jc w:val="left"/>
    </w:pPr>
    <w:rPr>
      <w:kern w:val="0"/>
      <w:sz w:val="24"/>
      <w:lang w:val="en-US" w:eastAsia="zh-CN"/>
    </w:rPr>
  </w:style>
  <w:style w:type="character" w:styleId="20">
    <w:name w:val="Strong"/>
    <w:basedOn w:val="10"/>
    <w:rPr>
      <w:b/>
    </w:rPr>
  </w:style>
  <w:style w:type="character" w:customStyle="1" w:styleId="21">
    <w:name w:val="font11"/>
    <w:basedOn w:val="10"/>
    <w:rPr>
      <w:rFonts w:ascii="宋体" w:eastAsia="宋体" w:cs="宋体" w:hAnsi="宋体"/>
      <w:color w:val="000000"/>
      <w:sz w:val="20"/>
      <w:szCs w:val="20"/>
      <w:u w:val="none"/>
      <w:lang w:val="en-US" w:eastAsia="zh-CN" w:bidi="ar-SA"/>
    </w:rPr>
  </w:style>
  <w:style w:type="character" w:customStyle="1" w:styleId="22">
    <w:name w:val="font01"/>
    <w:basedOn w:val="10"/>
    <w:rPr>
      <w:rFonts w:ascii="宋体" w:eastAsia="宋体" w:cs="宋体" w:hAnsi="宋体"/>
      <w:color w:val="000000"/>
      <w:sz w:val="22"/>
      <w:szCs w:val="22"/>
      <w:u w:val="none"/>
      <w:lang w:val="en-US" w:eastAsia="zh-CN" w:bidi="ar-SA"/>
    </w:rPr>
  </w:style>
  <w:style w:type="character" w:customStyle="1" w:styleId="23">
    <w:name w:val="font41"/>
    <w:basedOn w:val="10"/>
    <w:rPr>
      <w:rFonts w:ascii="宋体" w:eastAsia="宋体" w:cs="宋体" w:hAnsi="宋体"/>
      <w:color w:val="000000"/>
      <w:sz w:val="24"/>
      <w:szCs w:val="24"/>
      <w:u w:val="none"/>
      <w:lang w:val="en-US" w:eastAsia="zh-CN" w:bidi="ar-SA"/>
    </w:rPr>
  </w:style>
  <w:style w:type="character" w:customStyle="1" w:styleId="24">
    <w:name w:val="font31"/>
    <w:basedOn w:val="10"/>
    <w:rPr>
      <w:rFonts w:ascii="华文中宋" w:eastAsia="华文中宋" w:cs="华文中宋" w:hAnsi="华文中宋"/>
      <w:color w:val="000000"/>
      <w:sz w:val="32"/>
      <w:szCs w:val="32"/>
      <w:u w:val="none"/>
      <w:lang w:val="en-US" w:eastAsia="zh-CN" w:bidi="ar-SA"/>
    </w:rPr>
  </w:style>
  <w:style w:type="character" w:customStyle="1" w:styleId="25">
    <w:name w:val="font91"/>
    <w:basedOn w:val="10"/>
    <w:rPr>
      <w:rFonts w:ascii="华文中宋" w:eastAsia="华文中宋" w:cs="华文中宋" w:hAnsi="华文中宋"/>
      <w:color w:val="000000"/>
      <w:sz w:val="32"/>
      <w:szCs w:val="32"/>
      <w:u w:val="none"/>
      <w:lang w:val="en-US" w:eastAsia="zh-CN" w:bidi="ar-SA"/>
    </w:rPr>
  </w:style>
  <w:style w:type="character" w:customStyle="1" w:styleId="26">
    <w:name w:val="font51"/>
    <w:basedOn w:val="10"/>
    <w:rPr>
      <w:rFonts w:ascii="宋体" w:eastAsia="宋体" w:cs="宋体" w:hAnsi="宋体"/>
      <w:color w:val="000000"/>
      <w:sz w:val="24"/>
      <w:szCs w:val="24"/>
      <w:u w:val="none"/>
      <w:lang w:val="en-US" w:eastAsia="zh-CN" w:bidi="ar-SA"/>
    </w:rPr>
  </w:style>
  <w:style w:type="character" w:customStyle="1" w:styleId="27">
    <w:name w:val="font21"/>
    <w:basedOn w:val="10"/>
    <w:rPr>
      <w:rFonts w:ascii="方正仿宋_GB2312" w:eastAsia="方正仿宋_GB2312" w:cs="方正仿宋_GB2312" w:hAnsi="方正仿宋_GB2312"/>
      <w:color w:val="000000"/>
      <w:sz w:val="18"/>
      <w:szCs w:val="18"/>
      <w:u w:val="none"/>
    </w:rPr>
  </w:style>
  <w:style w:type="character" w:customStyle="1" w:styleId="28">
    <w:name w:val="font61"/>
    <w:basedOn w:val="10"/>
    <w:rPr>
      <w:rFonts w:ascii="方正仿宋_GB2312" w:eastAsia="方正仿宋_GB2312" w:cs="方正仿宋_GB2312" w:hAnsi="方正仿宋_GB2312"/>
      <w:color w:val="000000"/>
      <w:sz w:val="20"/>
      <w:szCs w:val="20"/>
      <w:u w:val="none"/>
    </w:rPr>
  </w:style>
  <w:style w:type="character" w:customStyle="1" w:styleId="29">
    <w:name w:val="font81"/>
    <w:basedOn w:val="10"/>
    <w:rPr>
      <w:rFonts w:ascii="宋体" w:eastAsia="宋体" w:cs="宋体" w:hAnsi="宋体"/>
      <w:color w:val="000000"/>
      <w:sz w:val="16"/>
      <w:szCs w:val="16"/>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image" Target="media/2.jpeg"/><Relationship Id="rId4" Type="http://schemas.openxmlformats.org/officeDocument/2006/relationships/footer" Target="footer2.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eader" Target="header3.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 Id="rId16" Type="http://schemas.openxmlformats.org/officeDocument/2006/relationships/chart" Target="charts/chart5.xml"/><Relationship Id="rId17" Type="http://schemas.openxmlformats.org/officeDocument/2006/relationships/styles" Target="styles.xml"/><Relationship Id="rId18" Type="http://schemas.openxmlformats.org/officeDocument/2006/relationships/numbering" Target="numbering.xml"/><Relationship Id="rId19" Type="http://schemas.openxmlformats.org/officeDocument/2006/relationships/fontTable" Target="fontTable.xml"/><Relationship Id="rId20" Type="http://schemas.openxmlformats.org/officeDocument/2006/relationships/customXml" Target="../customXml/item1.xml"/></Relationships>
</file>

<file path=word/charts/_rels/chart1.xml.rels><?xml version="1.0" encoding="UTF-8" standalone="yes"?>
<Relationships xmlns="http://schemas.openxmlformats.org/package/2006/relationships"><Relationship Id="rId1" Type="http://schemas.openxmlformats.org/officeDocument/2006/relationships/package" Target="../embeddings/char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char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char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char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char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1 </a:t>
            </a:r>
            <a:r>
              <a:rPr lang="zh-CN" sz="1400" b="1" i="0" u="none" strike="noStrike" baseline="0">
                <a:solidFill>
                  <a:srgbClr val="404040"/>
                </a:solidFill>
                <a:latin typeface="Times New Roman"/>
                <a:ea typeface="宋体"/>
                <a:cs typeface="Arial"/>
              </a:rPr>
              <a:t>： </a:t>
            </a:r>
            <a:r>
              <a:rPr lang="zh-CN" sz="1400" b="1" i="0" u="none" strike="noStrike" baseline="0">
                <a:solidFill>
                  <a:srgbClr val="404040"/>
                </a:solidFill>
                <a:latin typeface="Times New Roman"/>
                <a:ea typeface="宋体"/>
                <a:cs typeface="Arial"/>
              </a:rPr>
              <a:t>2024-2025</a:t>
            </a:r>
            <a:r>
              <a:rPr lang="zh-CN" sz="1400" b="1" i="0" u="none" strike="noStrike" baseline="0">
                <a:solidFill>
                  <a:srgbClr val="404040"/>
                </a:solidFill>
                <a:latin typeface="Times New Roman"/>
                <a:ea typeface="宋体"/>
                <a:cs typeface="Arial"/>
              </a:rPr>
              <a:t>年收支总计对比图（万元）</a:t>
            </a:r>
          </a:p>
        </c:rich>
      </c:tx>
      <c:layout/>
      <c:overlay val="0"/>
      <c:spPr>
        <a:noFill/>
        <a:ln>
          <a:noFill/>
        </a:ln>
      </c:spPr>
    </c:title>
    <c:autoTitleDeleted val="1"/>
    <c:plotArea>
      <c:layout/>
      <c:barChart>
        <c:barDir val="col"/>
        <c:grouping val="clustered"/>
        <c:varyColors val="0"/>
        <c:ser>
          <c:idx val="0"/>
          <c:order val="0"/>
          <c:tx>
            <c:strRef>
              <c:f>'Sheet1'!$B$1</c:f>
              <c:strCache>
                <c:ptCount val="1"/>
                <c:pt idx="0">
                  <c:v>收支总计</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'Sheet1'!$A$2:$A$3</c:f>
              <c:strCache>
                <c:ptCount val="2"/>
                <c:pt idx="0">
                  <c:v>2025年</c:v>
                </c:pt>
                <c:pt idx="1">
                  <c:v>2024年</c:v>
                </c:pt>
              </c:strCache>
            </c:strRef>
          </c:cat>
          <c:val>
            <c:numRef>
              <c:f>'Sheet1'!$B$2:$B$3</c:f>
              <c:numCache>
                <c:formatCode>General</c:formatCode>
                <c:ptCount val="2"/>
                <c:pt idx="0">
                  <c:v>434.06</c:v>
                </c:pt>
                <c:pt idx="1">
                  <c:v>384.87</c:v>
                </c:pt>
              </c:numCache>
            </c:numRef>
          </c:val>
        </c:ser>
        <c:overlap val="-28"/>
        <c:gapWidth val="246"/>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2 </a:t>
            </a:r>
            <a:r>
              <a:rPr lang="zh-CN" sz="1400" b="1" i="0" u="none" strike="noStrike" baseline="0">
                <a:solidFill>
                  <a:srgbClr val="404040"/>
                </a:solidFill>
                <a:latin typeface="Times New Roman"/>
                <a:ea typeface="宋体"/>
                <a:cs typeface="Arial"/>
              </a:rPr>
              <a:t>：收入决算构成情况图</a:t>
            </a:r>
          </a:p>
        </c:rich>
      </c:tx>
      <c:layout/>
      <c:overlay val="0"/>
      <c:spPr>
        <a:noFill/>
        <a:ln>
          <a:noFill/>
        </a:ln>
      </c:spPr>
    </c:title>
    <c:autoTitleDeleted val="1"/>
    <c:plotArea>
      <c:layout/>
      <c:pieChart>
        <c:varyColors val="1"/>
        <c:ser>
          <c:idx val="0"/>
          <c:order val="0"/>
          <c:tx>
            <c:strRef>
              <c:f>'Sheet1 (2)'!$B$1</c:f>
              <c:strCache>
                <c:ptCount val="1"/>
                <c:pt idx="0">
                  <c:v>金额</c:v>
                </c:pt>
              </c:strCache>
            </c:strRef>
          </c:tx>
          <c:spPr>
            <a:solidFill>
              <a:srgbClr val="4F81BD"/>
            </a:solidFill>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Pt>
            <c:idx val="5"/>
            <c:bubble3D val="0"/>
            <c:spPr>
              <a:solidFill>
                <a:srgbClr val="E54C5E"/>
              </a:solidFill>
              <a:ln w="6350">
                <a:solidFill>
                  <a:srgbClr val="FFFFFF"/>
                </a:solidFill>
                <a:prstDash val="solid"/>
              </a:ln>
            </c:spPr>
          </c:dPt>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0.0%" sourceLinked="0"/>
            <c:dLbl>
              <c:idx val="0"/>
              <c:layout>
                <c:manualLayout>
                  <c:x val="0.32012555"/>
                  <c:y val="0.72690713"/>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3080455"/>
                  <c:y val="0.6391468"/>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40541184"/>
                  <c:y val="0.17185508"/>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28690514"/>
                  <c:y val="0.2702507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29898536"/>
                  <c:y val="0.44916064"/>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5"/>
              <c:layout>
                <c:manualLayout>
                  <c:x val="-0.28847557"/>
                  <c:y val="0.12416596"/>
                </c:manualLayout>
              </c:layout>
              <c:numFmt formatCode="0.0%" sourceLinked="0"/>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 (2)'!$A$2:$A$7</c:f>
              <c:strCache>
                <c:ptCount val="6"/>
                <c:pt idx="0">
                  <c:v>财政拨款收入</c:v>
                </c:pt>
                <c:pt idx="1">
                  <c:v>上级补助收入</c:v>
                </c:pt>
                <c:pt idx="2">
                  <c:v>事业收入</c:v>
                </c:pt>
                <c:pt idx="3">
                  <c:v>经营收入</c:v>
                </c:pt>
                <c:pt idx="4">
                  <c:v>附属单位上缴收入</c:v>
                </c:pt>
                <c:pt idx="5">
                  <c:v>其他收入</c:v>
                </c:pt>
              </c:strCache>
            </c:strRef>
          </c:cat>
          <c:val>
            <c:numRef>
              <c:f>'Sheet1 (2)'!$B$2:$B$7</c:f>
              <c:numCache>
                <c:formatCode>0.00_);[Red](0.00)</c:formatCode>
                <c:ptCount val="6"/>
                <c:pt idx="0">
                  <c:v>4340647.38</c:v>
                </c:pt>
                <c:pt idx="1">
                  <c:v>0.0</c:v>
                </c:pt>
                <c:pt idx="2">
                  <c:v>0.0</c:v>
                </c:pt>
                <c:pt idx="3">
                  <c:v>0.0</c:v>
                </c:pt>
                <c:pt idx="4">
                  <c:v>0.0</c:v>
                </c:pt>
                <c:pt idx="5">
                  <c:v>0.0</c:v>
                </c:pt>
              </c:numCache>
            </c:numRef>
          </c:val>
        </c:ser>
        <c:firstSliceAng val="0"/>
      </c:pieChart>
      <c:spPr>
        <a:noFill/>
        <a:ln>
          <a:noFill/>
        </a:ln>
      </c:spPr>
    </c:plotArea>
    <c:legend>
      <c:legendPos val="r"/>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50" b="1" i="0" u="none" strike="noStrike" baseline="0">
                <a:solidFill>
                  <a:srgbClr val="000000"/>
                </a:solidFill>
                <a:latin typeface="Times New Roman"/>
                <a:ea typeface="宋体"/>
                <a:cs typeface="Arial"/>
              </a:defRPr>
            </a:pPr>
            <a:r>
              <a:rPr lang="zh-CN" sz="950" b="1" i="0" u="none" strike="noStrike" baseline="0">
                <a:solidFill>
                  <a:srgbClr val="404040"/>
                </a:solidFill>
                <a:latin typeface="Times New Roman"/>
                <a:ea typeface="宋体"/>
                <a:cs typeface="Arial"/>
              </a:rPr>
              <a:t>图 </a:t>
            </a:r>
            <a:r>
              <a:rPr lang="zh-CN" sz="950" b="1" i="0" u="none" strike="noStrike" baseline="0">
                <a:solidFill>
                  <a:srgbClr val="404040"/>
                </a:solidFill>
                <a:latin typeface="Times New Roman"/>
                <a:ea typeface="宋体"/>
                <a:cs typeface="Arial"/>
              </a:rPr>
              <a:t>3 </a:t>
            </a:r>
            <a:r>
              <a:rPr lang="zh-CN" sz="950" b="1" i="0" u="none" strike="noStrike" baseline="0">
                <a:solidFill>
                  <a:srgbClr val="404040"/>
                </a:solidFill>
                <a:latin typeface="Times New Roman"/>
                <a:ea typeface="宋体"/>
                <a:cs typeface="Arial"/>
              </a:rPr>
              <a:t>：支出决算构成情况图</a:t>
            </a:r>
          </a:p>
        </c:rich>
      </c:tx>
      <c:layout/>
      <c:overlay val="0"/>
      <c:spPr>
        <a:noFill/>
        <a:ln>
          <a:noFill/>
        </a:ln>
      </c:spPr>
    </c:title>
    <c:autoTitleDeleted val="1"/>
    <c:plotArea>
      <c:layout>
        <c:manualLayout>
          <c:layoutTarget val="inner"/>
          <c:xMode val="edge"/>
          <c:yMode val="edge"/>
          <c:x val="0.29844165"/>
          <c:y val="0.22524437"/>
          <c:w val="0.41229767"/>
          <c:h val="0.72524434"/>
        </c:manualLayout>
      </c:layout>
      <c:pieChart>
        <c:varyColors val="1"/>
        <c:ser>
          <c:idx val="0"/>
          <c:order val="0"/>
          <c:tx>
            <c:strRef>
              <c:f>'Sheet1 (3)'!$B$1</c:f>
              <c:strCache>
                <c:ptCount val="1"/>
                <c:pt idx="0">
                  <c:v>金额</c:v>
                </c:pt>
              </c:strCache>
            </c:strRef>
          </c:tx>
          <c:spPr>
            <a:solidFill>
              <a:srgbClr val="4F81BD"/>
            </a:solidFill>
          </c:spPr>
          <c:dPt>
            <c:idx val="0"/>
            <c:bubble3D val="0"/>
            <c:spPr>
              <a:solidFill>
                <a:srgbClr val="4874CB"/>
              </a:solidFill>
              <a:ln w="6350">
                <a:solidFill>
                  <a:srgbClr val="FFFFFF"/>
                </a:solidFill>
                <a:prstDash val="solid"/>
              </a:ln>
            </c:spPr>
          </c:dPt>
          <c:dPt>
            <c:idx val="1"/>
            <c:bubble3D val="0"/>
            <c:spPr>
              <a:solidFill>
                <a:srgbClr val="EE822F"/>
              </a:solidFill>
              <a:ln w="6350">
                <a:solidFill>
                  <a:srgbClr val="FFFFFF"/>
                </a:solidFill>
                <a:prstDash val="solid"/>
              </a:ln>
            </c:spPr>
          </c:dPt>
          <c:dPt>
            <c:idx val="2"/>
            <c:bubble3D val="0"/>
            <c:spPr>
              <a:solidFill>
                <a:srgbClr val="F2BA02"/>
              </a:solidFill>
              <a:ln w="6350">
                <a:solidFill>
                  <a:srgbClr val="FFFFFF"/>
                </a:solidFill>
                <a:prstDash val="solid"/>
              </a:ln>
            </c:spPr>
          </c:dPt>
          <c:dPt>
            <c:idx val="3"/>
            <c:bubble3D val="0"/>
            <c:spPr>
              <a:solidFill>
                <a:srgbClr val="75BD42"/>
              </a:solidFill>
              <a:ln w="6350">
                <a:solidFill>
                  <a:srgbClr val="FFFFFF"/>
                </a:solidFill>
                <a:prstDash val="solid"/>
              </a:ln>
            </c:spPr>
          </c:dPt>
          <c:dPt>
            <c:idx val="4"/>
            <c:bubble3D val="0"/>
            <c:spPr>
              <a:solidFill>
                <a:srgbClr val="30C0B4"/>
              </a:solidFill>
              <a:ln w="6350">
                <a:solidFill>
                  <a:srgbClr val="FFFFFF"/>
                </a:solidFill>
                <a:prstDash val="solid"/>
              </a:ln>
            </c:spPr>
          </c:dPt>
          <c:dLbls>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numFmt formatCode="0.0%" sourceLinked="0"/>
            <c:dLbl>
              <c:idx val="0"/>
              <c:layout>
                <c:manualLayout>
                  <c:x val="-0.28690514"/>
                  <c:y val="0.19983532"/>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1"/>
              <c:layout>
                <c:manualLayout>
                  <c:x val="-0.29910615"/>
                  <c:y val="0.09103803"/>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2"/>
              <c:layout>
                <c:manualLayout>
                  <c:x val="0.30949497"/>
                  <c:y val="0.18921058"/>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3"/>
              <c:layout>
                <c:manualLayout>
                  <c:x val="0.33522582"/>
                  <c:y val="0.058951337"/>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
              <c:idx val="4"/>
              <c:layout>
                <c:manualLayout>
                  <c:x val="0.32302478"/>
                  <c:y val="0.28504568"/>
                </c:manualLayout>
              </c:layout>
              <c:numFmt formatCode="0.0%" sourceLinked="0"/>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dLblPos val="bestFit"/>
              <c:showLegendKey val="1"/>
              <c:showVal val="0"/>
              <c:showCatName val="1"/>
              <c:showSerName val="0"/>
              <c:showPercent val="1"/>
              <c:showBubbleSize val="0"/>
              <c:separator> </c:separator>
            </c:dLbl>
            <c:dLblPos val="ctr"/>
            <c:showLegendKey val="1"/>
            <c:showVal val="0"/>
            <c:showCatName val="1"/>
            <c:showSerName val="0"/>
            <c:showPercent val="1"/>
            <c:showBubbleSize val="0"/>
            <c:separator> </c:separator>
            <c:showLeaderLines val="1"/>
          </c:dLbls>
          <c:cat>
            <c:strRef>
              <c:f>'Sheet1 (3)'!$A$2:$A$6</c:f>
              <c:strCache>
                <c:ptCount val="5"/>
                <c:pt idx="0">
                  <c:v>基本支出</c:v>
                </c:pt>
                <c:pt idx="1">
                  <c:v>项目支出</c:v>
                </c:pt>
                <c:pt idx="2">
                  <c:v>上缴上级支出</c:v>
                </c:pt>
                <c:pt idx="3">
                  <c:v>经营支出</c:v>
                </c:pt>
                <c:pt idx="4">
                  <c:v>对附属单位补助支出</c:v>
                </c:pt>
              </c:strCache>
            </c:strRef>
          </c:cat>
          <c:val>
            <c:numRef>
              <c:f>'Sheet1 (3)'!$B$2:$B$6</c:f>
              <c:numCache>
                <c:formatCode>General</c:formatCode>
                <c:ptCount val="5"/>
                <c:pt idx="0">
                  <c:v>4310647.38</c:v>
                </c:pt>
                <c:pt idx="1">
                  <c:v>30000.0</c:v>
                </c:pt>
                <c:pt idx="2">
                  <c:v>0.0</c:v>
                </c:pt>
                <c:pt idx="3">
                  <c:v>0.0</c:v>
                </c:pt>
                <c:pt idx="4">
                  <c:v>0.0</c:v>
                </c:pt>
              </c:numCache>
            </c:numRef>
          </c:val>
        </c:ser>
        <c:firstSliceAng val="0"/>
      </c:pieChart>
      <c:spPr>
        <a:noFill/>
        <a:ln>
          <a:noFill/>
        </a:ln>
      </c:spPr>
    </c:plotArea>
    <c:legend>
      <c:legendPos val="t"/>
      <c:layout/>
      <c:overlay val="0"/>
      <c:spPr>
        <a:noFill/>
        <a:ln>
          <a:noFill/>
        </a:ln>
      </c:spPr>
      <c:txPr>
        <a:bodyPr/>
        <a:lstStyle/>
        <a:p>
          <a:pPr>
            <a:defRPr sz="800" b="0" i="0" u="none" strike="noStrike" baseline="0">
              <a:solidFill>
                <a:srgbClr val="595959"/>
              </a:solidFill>
              <a:latin typeface="Times New Roman"/>
              <a:ea typeface="宋体"/>
              <a:cs typeface="Arial"/>
            </a:defRPr>
          </a:pPr>
          <a:endParaRPr lang="zh-CN"/>
        </a:p>
      </c:txPr>
      <c:legendEntry>
        <c:idx val="0"/>
        <c:txPr>
          <a:bodyPr/>
          <a:lstStyle/>
          <a:p>
            <a:pPr>
              <a:defRPr sz="800" b="0" i="0" u="none" strike="noStrike" baseline="0">
                <a:solidFill>
                  <a:srgbClr val="595959"/>
                </a:solidFill>
                <a:latin typeface="Times New Roman"/>
                <a:ea typeface="宋体"/>
                <a:cs typeface="Arial"/>
              </a:defRPr>
            </a:pPr>
            <a:endParaRPr lang="zh-CN"/>
          </a:p>
        </c:txPr>
      </c:legendEntry>
      <c:legendEntry>
        <c:idx val="1"/>
        <c:txPr>
          <a:bodyPr/>
          <a:lstStyle/>
          <a:p>
            <a:pPr>
              <a:defRPr sz="800" b="0" i="0" u="none" strike="noStrike" baseline="0">
                <a:solidFill>
                  <a:srgbClr val="595959"/>
                </a:solidFill>
                <a:latin typeface="Times New Roman"/>
                <a:ea typeface="宋体"/>
                <a:cs typeface="Arial"/>
              </a:defRPr>
            </a:pPr>
            <a:endParaRPr lang="zh-CN"/>
          </a:p>
        </c:txPr>
      </c:legendEntry>
      <c:legendEntry>
        <c:idx val="2"/>
        <c:txPr>
          <a:bodyPr/>
          <a:lstStyle/>
          <a:p>
            <a:pPr>
              <a:defRPr sz="800" b="0" i="0" u="none" strike="noStrike" baseline="0">
                <a:solidFill>
                  <a:srgbClr val="595959"/>
                </a:solidFill>
                <a:latin typeface="Times New Roman"/>
                <a:ea typeface="宋体"/>
                <a:cs typeface="Arial"/>
              </a:defRPr>
            </a:pPr>
            <a:endParaRPr lang="zh-CN"/>
          </a:p>
        </c:txPr>
      </c:legendEntry>
      <c:legendEntry>
        <c:idx val="3"/>
        <c:txPr>
          <a:bodyPr/>
          <a:lstStyle/>
          <a:p>
            <a:pPr>
              <a:defRPr sz="800" b="0" i="0" u="none" strike="noStrike" baseline="0">
                <a:solidFill>
                  <a:srgbClr val="595959"/>
                </a:solidFill>
                <a:latin typeface="Times New Roman"/>
                <a:ea typeface="宋体"/>
                <a:cs typeface="Arial"/>
              </a:defRPr>
            </a:pPr>
            <a:endParaRPr lang="zh-CN"/>
          </a:p>
        </c:txPr>
      </c:legendEntry>
      <c:legendEntry>
        <c:idx val="4"/>
        <c:txPr>
          <a:bodyPr/>
          <a:lstStyle/>
          <a:p>
            <a:pPr>
              <a:defRPr sz="800" b="0" i="0" u="none" strike="noStrike" baseline="0">
                <a:solidFill>
                  <a:srgbClr val="595959"/>
                </a:solidFill>
                <a:latin typeface="Times New Roman"/>
                <a:ea typeface="宋体"/>
                <a:cs typeface="Arial"/>
              </a:defRPr>
            </a:pPr>
            <a:endParaRPr lang="zh-CN"/>
          </a:p>
        </c:txPr>
      </c:legendEntry>
    </c:legend>
    <c:plotVisOnly val="1"/>
    <c:dispBlanksAs val="gap"/>
    <c:showDLblsOverMax val="0"/>
  </c:chart>
  <c:spPr>
    <a:solidFill>
      <a:srgbClr val="FFFFFF"/>
    </a:solidFill>
    <a:ln w="6350">
      <a:solidFill>
        <a:srgbClr val="D9D9D9"/>
      </a:solidFill>
      <a:prstDash val="solid"/>
    </a:ln>
  </c:spPr>
  <c:txPr>
    <a:bodyPr/>
    <a:lstStyle/>
    <a:p>
      <a:pPr>
        <a:defRPr sz="8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Times New Roman"/>
                <a:ea typeface="宋体"/>
                <a:cs typeface="Arial"/>
              </a:defRPr>
            </a:pPr>
            <a:r>
              <a:rPr lang="zh-CN" sz="1400" b="1" i="0" u="none" strike="noStrike" baseline="0">
                <a:solidFill>
                  <a:srgbClr val="404040"/>
                </a:solidFill>
                <a:latin typeface="Times New Roman"/>
                <a:ea typeface="宋体"/>
                <a:cs typeface="Arial"/>
              </a:rPr>
              <a:t>图 </a:t>
            </a:r>
            <a:r>
              <a:rPr lang="zh-CN" sz="1400" b="1" i="0" u="none" strike="noStrike" baseline="0">
                <a:solidFill>
                  <a:srgbClr val="404040"/>
                </a:solidFill>
                <a:latin typeface="Times New Roman"/>
                <a:ea typeface="宋体"/>
                <a:cs typeface="Arial"/>
              </a:rPr>
              <a:t>4 </a:t>
            </a:r>
            <a:r>
              <a:rPr lang="zh-CN" sz="1400" b="1" i="0" u="none" strike="noStrike" baseline="0">
                <a:solidFill>
                  <a:srgbClr val="404040"/>
                </a:solidFill>
                <a:latin typeface="Times New Roman"/>
                <a:ea typeface="宋体"/>
                <a:cs typeface="Arial"/>
              </a:rPr>
              <a:t>：</a:t>
            </a:r>
            <a:r>
              <a:rPr lang="zh-CN" sz="1400" b="1" i="0" u="none" strike="noStrike" baseline="0">
                <a:solidFill>
                  <a:srgbClr val="404040"/>
                </a:solidFill>
                <a:latin typeface="Times New Roman"/>
                <a:ea typeface="宋体"/>
                <a:cs typeface="Arial"/>
              </a:rPr>
              <a:t>2024-2025</a:t>
            </a:r>
            <a:r>
              <a:rPr lang="zh-CN" sz="1400" b="1" i="0" u="none" strike="noStrike" baseline="0">
                <a:solidFill>
                  <a:srgbClr val="404040"/>
                </a:solidFill>
                <a:latin typeface="Times New Roman"/>
                <a:ea typeface="宋体"/>
                <a:cs typeface="Arial"/>
              </a:rPr>
              <a:t>年财政拨款收支对比图（万元）</a:t>
            </a:r>
          </a:p>
        </c:rich>
      </c:tx>
      <c:layout>
        <c:manualLayout>
          <c:xMode val="edge"/>
          <c:yMode val="edge"/>
          <c:x val="0.13324474"/>
          <c:y val="0.025499362"/>
        </c:manualLayout>
      </c:layout>
      <c:overlay val="0"/>
      <c:spPr>
        <a:noFill/>
        <a:ln>
          <a:noFill/>
        </a:ln>
      </c:spPr>
    </c:title>
    <c:autoTitleDeleted val="1"/>
    <c:plotArea>
      <c:layout/>
      <c:barChart>
        <c:barDir val="col"/>
        <c:grouping val="clustered"/>
        <c:varyColors val="0"/>
        <c:ser>
          <c:idx val="0"/>
          <c:order val="0"/>
          <c:tx>
            <c:strRef>
              <c:f>'Sheet1 (4)'!$B$1</c:f>
              <c:strCache>
                <c:ptCount val="1"/>
                <c:pt idx="0">
                  <c:v>2024年</c:v>
                </c:pt>
              </c:strCache>
            </c:strRef>
          </c:tx>
          <c:spPr>
            <a:solidFill>
              <a:srgbClr val="4874CB"/>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(4)'!$B$2:$B$9</c:f>
              <c:numCache>
                <c:formatCode>General</c:formatCode>
                <c:ptCount val="8"/>
                <c:pt idx="0">
                  <c:v>384.87</c:v>
                </c:pt>
                <c:pt idx="1">
                  <c:v>384.87</c:v>
                </c:pt>
                <c:pt idx="2">
                  <c:v>384.87</c:v>
                </c:pt>
                <c:pt idx="3">
                  <c:v>384.87</c:v>
                </c:pt>
                <c:pt idx="4">
                  <c:v>0.0</c:v>
                </c:pt>
                <c:pt idx="5">
                  <c:v>0.0</c:v>
                </c:pt>
                <c:pt idx="6">
                  <c:v>0.0</c:v>
                </c:pt>
                <c:pt idx="7">
                  <c:v>0.0</c:v>
                </c:pt>
              </c:numCache>
            </c:numRef>
          </c:val>
        </c:ser>
        <c:ser>
          <c:idx val="1"/>
          <c:order val="1"/>
          <c:tx>
            <c:strRef>
              <c:f>'Sheet1 (4)'!$C$1</c:f>
              <c:strCache>
                <c:ptCount val="1"/>
                <c:pt idx="0">
                  <c:v>2025年</c:v>
                </c:pt>
              </c:strCache>
            </c:strRef>
          </c:tx>
          <c:spPr>
            <a:solidFill>
              <a:srgbClr val="EE822F"/>
            </a:solidFill>
            <a:ln>
              <a:noFill/>
            </a:ln>
          </c:spPr>
          <c:invertIfNegative val="0"/>
          <c:dLbls>
            <c:spPr>
              <a:noFill/>
              <a:ln>
                <a:noFill/>
              </a:ln>
            </c:spPr>
            <c:txPr>
              <a:bodyPr vert="horz"/>
              <a:lstStyle/>
              <a:p>
                <a:pPr>
                  <a:defRPr sz="100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(4)'!$A$2:$A$9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(4)'!$C$2:$C$9</c:f>
              <c:numCache>
                <c:formatCode>General</c:formatCode>
                <c:ptCount val="8"/>
                <c:pt idx="0">
                  <c:v>434.06</c:v>
                </c:pt>
                <c:pt idx="1">
                  <c:v>434.06</c:v>
                </c:pt>
                <c:pt idx="2">
                  <c:v>434.06</c:v>
                </c:pt>
                <c:pt idx="3">
                  <c:v>434.06</c:v>
                </c:pt>
                <c:pt idx="4">
                  <c:v>0.0</c:v>
                </c:pt>
                <c:pt idx="5">
                  <c:v>0.0</c:v>
                </c:pt>
                <c:pt idx="6">
                  <c:v>0.0</c:v>
                </c:pt>
                <c:pt idx="7">
                  <c:v>0.0</c:v>
                </c:pt>
              </c:numCache>
            </c:numRef>
          </c:val>
        </c:ser>
        <c:overlap val="-28"/>
        <c:gapWidth val="246"/>
        <c:axId val="0"/>
        <c:axId val="1"/>
      </c:barChart>
      <c:catAx>
        <c:axId val="0"/>
        <c:scaling>
          <c:orientation val="minMax"/>
        </c:scaling>
        <c:delete val="0"/>
        <c:axPos val="b"/>
        <c:numFmt formatCode="General" sourceLinked="0"/>
        <c:majorTickMark val="out"/>
        <c:minorTickMark val="none"/>
        <c:tickLblPos val="nextTo"/>
        <c:spPr>
          <a:ln w="6350">
            <a:solidFill>
              <a:srgbClr val="D9D9D9"/>
            </a:solidFill>
            <a:prstDash val="solid"/>
          </a:ln>
        </c:spPr>
        <c:txPr>
          <a:bodyPr/>
          <a:lstStyle/>
          <a:p>
            <a:pPr>
              <a:defRPr sz="9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out"/>
        <c:minorTickMark val="none"/>
        <c:tickLblPos val="nextTo"/>
        <c:spPr>
          <a:ln>
            <a:noFill/>
          </a:ln>
        </c:spPr>
        <c:txPr>
          <a:bodyPr/>
          <a:lstStyle/>
          <a:p>
            <a:pPr>
              <a:defRPr sz="9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legend>
      <c:legendPos val="b"/>
      <c:layout/>
      <c:overlay val="0"/>
      <c:spPr>
        <a:noFill/>
        <a:ln>
          <a:noFill/>
        </a:ln>
      </c:spPr>
      <c:txPr>
        <a:bodyPr/>
        <a:lstStyle/>
        <a:p>
          <a:pPr>
            <a:defRPr sz="900" b="0" i="0" u="none" strike="noStrike" baseline="0">
              <a:solidFill>
                <a:srgbClr val="595959"/>
              </a:solidFill>
              <a:latin typeface="Times New Roman"/>
              <a:ea typeface="宋体"/>
              <a:cs typeface="Arial"/>
            </a:defRPr>
          </a:pPr>
          <a:endParaRPr lang="zh-CN"/>
        </a:p>
      </c:txPr>
    </c:legend>
    <c:plotVisOnly val="1"/>
    <c:dispBlanksAs val="gap"/>
    <c:showDLblsOverMax val="0"/>
  </c:chart>
  <c:spPr>
    <a:solidFill>
      <a:srgbClr val="FFFFFF"/>
    </a:solidFill>
    <a:ln w="6350">
      <a:solidFill>
        <a:srgbClr val="D9D9D9"/>
      </a:solidFill>
      <a:prstDash val="solid"/>
    </a:ln>
  </c:spPr>
  <c:txPr>
    <a:bodyPr/>
    <a:lstStyle/>
    <a:p>
      <a:pPr>
        <a:defRPr sz="10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50" b="1" i="0" u="none" strike="noStrike" baseline="0">
                <a:solidFill>
                  <a:srgbClr val="000000"/>
                </a:solidFill>
                <a:latin typeface="Times New Roman"/>
                <a:ea typeface="宋体"/>
                <a:cs typeface="Arial"/>
              </a:defRPr>
            </a:pPr>
            <a:r>
              <a:rPr lang="zh-CN" sz="950" b="1" i="0" u="none" strike="noStrike" baseline="0">
                <a:solidFill>
                  <a:srgbClr val="404040"/>
                </a:solidFill>
                <a:latin typeface="Times New Roman"/>
                <a:ea typeface="宋体"/>
                <a:cs typeface="Arial"/>
              </a:rPr>
              <a:t>图 </a:t>
            </a:r>
            <a:r>
              <a:rPr lang="zh-CN" sz="950" b="1" i="0" u="none" strike="noStrike" baseline="0">
                <a:solidFill>
                  <a:srgbClr val="404040"/>
                </a:solidFill>
                <a:latin typeface="Times New Roman"/>
                <a:ea typeface="宋体"/>
                <a:cs typeface="Arial"/>
              </a:rPr>
              <a:t>5 :</a:t>
            </a:r>
            <a:r>
              <a:rPr lang="zh-CN" sz="950" b="1" i="0" u="none" strike="noStrike" baseline="0">
                <a:solidFill>
                  <a:srgbClr val="404040"/>
                </a:solidFill>
                <a:latin typeface="Times New Roman"/>
                <a:ea typeface="宋体"/>
                <a:cs typeface="Arial"/>
              </a:rPr>
              <a:t>财政拨款收支预算对比图（万元）</a:t>
            </a:r>
          </a:p>
        </c:rich>
      </c:tx>
      <c:layout/>
      <c:overlay val="0"/>
      <c:spPr>
        <a:noFill/>
        <a:ln>
          <a:noFill/>
        </a:ln>
      </c:spPr>
    </c:title>
    <c:autoTitleDeleted val="1"/>
    <c:plotArea>
      <c:layout>
        <c:manualLayout>
          <c:layoutTarget val="inner"/>
          <c:xMode val="edge"/>
          <c:yMode val="edge"/>
          <c:x val="0.17641942"/>
          <c:y val="0.16043349"/>
          <c:w val="0.7957961"/>
          <c:h val="0.47433063"/>
        </c:manualLayout>
      </c:layout>
      <c:barChart>
        <c:barDir val="col"/>
        <c:grouping val="clustered"/>
        <c:varyColors val="0"/>
        <c:ser>
          <c:idx val="0"/>
          <c:order val="0"/>
          <c:tx>
            <c:strRef>
              <c:f>'Sheet1 (5)'!$B$1</c:f>
              <c:strCache>
                <c:ptCount val="1"/>
                <c:pt idx="0">
                  <c:v>年初预算数</c:v>
                </c:pt>
              </c:strCache>
            </c:strRef>
          </c:tx>
          <c:spPr>
            <a:solidFill>
              <a:srgbClr val="4874CB"/>
            </a:solidFill>
            <a:ln>
              <a:noFill/>
            </a:ln>
          </c:spPr>
          <c:invertIfNegative val="0"/>
          <c:dLbls>
            <c:spPr>
              <a:noFill/>
              <a:ln>
                <a:noFill/>
              </a:ln>
            </c:spPr>
            <c:txPr>
              <a:bodyPr vert="horz"/>
              <a:lstStyle/>
              <a:p>
                <a:pPr>
                  <a:defRPr sz="800" b="0" i="0" u="none" strike="noStrike" baseline="0">
                    <a:solidFill>
                      <a:srgbClr val="404040"/>
                    </a:solidFill>
                    <a:latin typeface="Times New Roman"/>
                    <a:ea typeface="宋体"/>
                    <a:cs typeface="Arial"/>
                  </a:defRPr>
                </a:pPr>
                <a:endParaRPr lang="zh-CN"/>
              </a:p>
            </c:txPr>
            <c:numFmt formatCode="General" sourceLinked="1"/>
            <c:dLblPos val="ctr"/>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(5)'!$B$2:$B$9</c:f>
              <c:numCache>
                <c:formatCode>General</c:formatCode>
                <c:ptCount val="8"/>
                <c:pt idx="0">
                  <c:v>447.05</c:v>
                </c:pt>
                <c:pt idx="1">
                  <c:v>447.05</c:v>
                </c:pt>
                <c:pt idx="2">
                  <c:v>447.05</c:v>
                </c:pt>
                <c:pt idx="3">
                  <c:v>447.05</c:v>
                </c:pt>
                <c:pt idx="4">
                  <c:v>0.0</c:v>
                </c:pt>
                <c:pt idx="5">
                  <c:v>0.0</c:v>
                </c:pt>
                <c:pt idx="6">
                  <c:v>0.0</c:v>
                </c:pt>
                <c:pt idx="7">
                  <c:v>0.0</c:v>
                </c:pt>
              </c:numCache>
            </c:numRef>
          </c:val>
        </c:ser>
        <c:ser>
          <c:idx val="1"/>
          <c:order val="1"/>
          <c:tx>
            <c:strRef>
              <c:f>'Sheet1 (5)'!$C$1</c:f>
              <c:strCache>
                <c:ptCount val="1"/>
                <c:pt idx="0">
                  <c:v>决算数</c:v>
                </c:pt>
              </c:strCache>
            </c:strRef>
          </c:tx>
          <c:spPr>
            <a:solidFill>
              <a:srgbClr val="EE822F"/>
            </a:solidFill>
            <a:ln>
              <a:noFill/>
            </a:ln>
          </c:spPr>
          <c:invertIfNegative val="0"/>
          <c:dLbls>
            <c:spPr>
              <a:noFill/>
              <a:ln>
                <a:noFill/>
              </a:ln>
            </c:spPr>
            <c:txPr>
              <a:bodyPr vert="horz"/>
              <a:lstStyle/>
              <a:p>
                <a:pPr>
                  <a:defRPr sz="650" b="0" i="0" u="none" strike="noStrike" baseline="0">
                    <a:solidFill>
                      <a:srgbClr val="404040"/>
                    </a:solidFill>
                    <a:latin typeface="Times New Roman"/>
                    <a:ea typeface="宋体"/>
                    <a:cs typeface="Arial"/>
                  </a:defRPr>
                </a:pPr>
                <a:endParaRPr lang="zh-CN"/>
              </a:p>
            </c:txPr>
            <c:numFmt formatCode="General" sourceLinked="1"/>
            <c:dLblPos val="outEnd"/>
            <c:showLegendKey val="0"/>
            <c:showVal val="1"/>
            <c:showCatName val="0"/>
            <c:showSerName val="0"/>
            <c:showPercent val="0"/>
            <c:showBubbleSize val="0"/>
            <c:showLeaderLines val="1"/>
            <c:extLst>
              <c:ext xmlns:c15="http://schemas.microsoft.com/office/drawing/2012/chart" uri="{CE6537A1-D6FC-4f65-9D91-7224C49458BB}">
                <c15:showLeaderLines val="1"/>
              </c:ext>
            </c:extLst>
          </c:dLbls>
          <c:cat>
            <c:strRef>
              <c:f>'Sheet1 (5)'!$A$2:$A$9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 (5)'!$C$2:$C$9</c:f>
              <c:numCache>
                <c:formatCode>General</c:formatCode>
                <c:ptCount val="8"/>
                <c:pt idx="0">
                  <c:v>434.06</c:v>
                </c:pt>
                <c:pt idx="1">
                  <c:v>434.06</c:v>
                </c:pt>
                <c:pt idx="2">
                  <c:v>434.06</c:v>
                </c:pt>
                <c:pt idx="3">
                  <c:v>434.06</c:v>
                </c:pt>
                <c:pt idx="4">
                  <c:v>0.0</c:v>
                </c:pt>
                <c:pt idx="5">
                  <c:v>0.0</c:v>
                </c:pt>
                <c:pt idx="6">
                  <c:v>0.0</c:v>
                </c:pt>
                <c:pt idx="7">
                  <c:v>0.0</c:v>
                </c:pt>
              </c:numCache>
            </c:numRef>
          </c:val>
        </c:ser>
        <c:gapWidth val="150"/>
        <c:axId val="0"/>
        <c:axId val="1"/>
      </c:barChart>
      <c:catAx>
        <c:axId val="0"/>
        <c:scaling>
          <c:orientation val="minMax"/>
        </c:scaling>
        <c:delete val="0"/>
        <c:axPos val="b"/>
        <c:numFmt formatCode="General" sourceLinked="0"/>
        <c:majorTickMark val="none"/>
        <c:minorTickMark val="none"/>
        <c:tickLblPos val="nextTo"/>
        <c:spPr>
          <a:ln w="6350">
            <a:solidFill>
              <a:srgbClr val="D9D9D9"/>
            </a:solidFill>
            <a:prstDash val="solid"/>
          </a:ln>
        </c:spPr>
        <c:txPr>
          <a:bodyPr/>
          <a:lstStyle/>
          <a:p>
            <a:pPr>
              <a:defRPr sz="800" b="0" i="0" u="none" strike="noStrike" baseline="0">
                <a:solidFill>
                  <a:srgbClr val="595959"/>
                </a:solidFill>
                <a:latin typeface="Times New Roman"/>
                <a:ea typeface="宋体"/>
                <a:cs typeface="Arial"/>
              </a:defRPr>
            </a:pPr>
            <a:endParaRPr lang="zh-CN"/>
          </a:p>
        </c:txPr>
        <c:crosses val="autoZero"/>
        <c:auto val="1"/>
        <c:lblOffset val="100"/>
        <c:lblAlgn val="ctr"/>
        <c:noMultiLvlLbl val="0"/>
        <c:crossAx val="1"/>
      </c:catAx>
      <c:valAx>
        <c:axId val="1"/>
        <c:scaling>
          <c:orientation val="minMax"/>
        </c:scaling>
        <c:delete val="0"/>
        <c:axPos val="l"/>
        <c:majorGridlines>
          <c:spPr>
            <a:ln w="6350">
              <a:solidFill>
                <a:srgbClr val="E6E6E6"/>
              </a:solidFill>
              <a:prstDash val="solid"/>
            </a:ln>
          </c:spPr>
        </c:majorGridlines>
        <c:numFmt formatCode="General" sourceLinked="1"/>
        <c:majorTickMark val="none"/>
        <c:minorTickMark val="none"/>
        <c:tickLblPos val="nextTo"/>
        <c:spPr>
          <a:ln>
            <a:noFill/>
          </a:ln>
        </c:spPr>
        <c:txPr>
          <a:bodyPr/>
          <a:lstStyle/>
          <a:p>
            <a:pPr>
              <a:defRPr sz="800" b="0" i="0" u="none" strike="noStrike" baseline="0">
                <a:solidFill>
                  <a:srgbClr val="595959"/>
                </a:solidFill>
                <a:latin typeface="Times New Roman"/>
                <a:ea typeface="宋体"/>
                <a:cs typeface="Arial"/>
              </a:defRPr>
            </a:pPr>
            <a:endParaRPr lang="zh-CN"/>
          </a:p>
        </c:txPr>
        <c:crossesAt val="1.0"/>
        <c:crossBetween val="between"/>
        <c:crossAx val="0"/>
      </c:valAx>
      <c:spPr>
        <a:noFill/>
        <a:ln>
          <a:noFill/>
        </a:ln>
      </c:spPr>
    </c:plotArea>
    <c:plotVisOnly val="1"/>
    <c:dispBlanksAs val="gap"/>
    <c:showDLblsOverMax val="0"/>
  </c:chart>
  <c:spPr>
    <a:solidFill>
      <a:srgbClr val="FFFFFF"/>
    </a:solidFill>
    <a:ln w="6350">
      <a:solidFill>
        <a:srgbClr val="D9D9D9"/>
      </a:solidFill>
      <a:prstDash val="solid"/>
    </a:ln>
  </c:spPr>
  <c:txPr>
    <a:bodyPr/>
    <a:lstStyle/>
    <a:p>
      <a:pPr>
        <a:defRPr sz="800" b="0" i="0" u="none" strike="noStrike" baseline="0">
          <a:solidFill>
            <a:srgbClr val="000000"/>
          </a:solidFill>
          <a:latin typeface="Times New Roman"/>
          <a:ea typeface="宋体"/>
          <a:cs typeface="Arial"/>
        </a:defRPr>
      </a:pPr>
      <a:endParaRPr lang="zh-CN"/>
    </a:p>
  </c:txPr>
  <c:printSettings>
    <c:headerFooter/>
    <c:pageMargins b="0.75" l="0.7" r="0.7" t="0.75" header="0.3" footer="0.3"/>
    <c:pageSetup/>
  </c:printSettings>
  <c:externalData r:id="rId1">
    <c:autoUpdate val="0"/>
  </c:externalData>
</c:chartSpac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customProps>
</customData>
</file>

<file path=customXml/itemProps1.xml><?xml version="1.0" encoding="utf-8"?>
<ds:datastoreItem xmlns:ds="http://schemas.openxmlformats.org/officeDocument/2006/customXml" ds:itemID="{292DA796-D2B2-4857-B786-F6B1815CC5E2}">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12</TotalTime>
  <Application>Yozo_Office27021597764231179</Application>
  <Pages>48</Pages>
  <Words>0</Words>
  <Characters>10683</Characters>
  <Lines>0</Lines>
  <Paragraphs>234</Paragraphs>
  <CharactersWithSpaces>14245</CharactersWithSpaces>
  <Company>神州网信技术有限公司</Company>
</Properties>
</file>

<file path=docProps/core.xml><?xml version="1.0" encoding="utf-8"?>
<cp:coreProperties xmlns:cp="http://schemas.openxmlformats.org/package/2006/metadata/core-properties" xmlns:dc="http://purl.org/dc/elements/1.1/" xmlns:dcterms="http://purl.org/dc/terms/" xmlns:xsi="http://www.w3.org/2001/XMLSchema-instance">
  <dc:creator>王明新TIAD</dc:creator>
  <cp:lastModifiedBy>Administrator</cp:lastModifiedBy>
  <cp:revision>15</cp:revision>
  <cp:lastPrinted>2023-08-04T01:00:00Z</cp:lastPrinted>
  <dcterms:created xsi:type="dcterms:W3CDTF">2023-08-04T07:55:00Z</dcterms:created>
  <dcterms:modified xsi:type="dcterms:W3CDTF">2026-10-15T06:51:56Z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2052-12.1.0.29161</vt:lpwstr>
  </property>
  <property fmtid="{D5CDD505-2E9C-101B-9397-08002B2CF9AE}" pid="3" name="ICV">
    <vt:lpwstr>D3008276DA134B0497BA557DFE038585_13</vt:lpwstr>
  </property>
  <property fmtid="{D5CDD505-2E9C-101B-9397-08002B2CF9AE}" pid="4" name="KSOTemplateUUID">
    <vt:lpwstr>v1.0_mb_S7ajbG3IpAnL1wSthNCxfw==</vt:lpwstr>
  </property>
  <property fmtid="{D5CDD505-2E9C-101B-9397-08002B2CF9AE}" pid="5" name="KSOTemplateDocerSaveRecord">
    <vt:lpwstr>eyJoZGlkIjoiZDM0ZjkxYTdmODY4MTAxMmYxMTg5NzljN2I0NTQ4N2MiLCJ1c2VySWQiOiI0MjE4NjU0NzcifQ==</vt:lpwstr>
  </property>
</Properties>
</file>