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hint="eastAsia"/>
        </w:rPr>
        <w:drawing>
          <wp:anchor distT="0" distB="0" distL="114300" distR="114300" simplePos="0" relativeHeight="2" behindDoc="1" locked="0" layoutInCell="1" hidden="0" allowOverlap="1">
            <wp:simplePos x="0" y="0"/>
            <wp:positionH relativeFrom="column">
              <wp:posOffset>-887730</wp:posOffset>
            </wp:positionH>
            <wp:positionV relativeFrom="page">
              <wp:posOffset>-201295</wp:posOffset>
            </wp:positionV>
            <wp:extent cx="7569835" cy="10692130"/>
            <wp:effectExtent l="0" t="0" r="0" b="0"/>
            <wp:wrapNone/>
            <wp:docPr id="1" name="图片 4" descr="H:\稻壳儿相关资料\封面-非模\01.jpg01"/>
            <wp:cNvGraphicFramePr>
              <a:graphicFrameLocks noChangeAspect="1"/>
            </wp:cNvGraphicFramePr>
            <a:graphic>
              <a:graphicData uri="http://schemas.openxmlformats.org/drawingml/2006/picture">
                <pic:pic>
                  <pic:nvPicPr>
                    <pic:cNvPr id="3" name="图片 4 3"/>
                    <pic:cNvPicPr/>
                  </pic:nvPicPr>
                  <pic:blipFill>
                    <a:blip r:embed="rId3"/>
                    <a:stretch>
                      <a:fillRect/>
                    </a:stretch>
                  </pic:blipFill>
                  <pic:spPr>
                    <a:xfrm rot="0">
                      <a:off x="0" y="0"/>
                      <a:ext cx="7569835" cy="10692130"/>
                    </a:xfrm>
                    <a:prstGeom prst="rect"/>
                    <a:noFill/>
                    <a:ln w="9525" cmpd="sng" cap="flat">
                      <a:noFill/>
                      <a:prstDash val="solid"/>
                      <a:miter/>
                    </a:ln>
                  </pic:spPr>
                </pic:pic>
              </a:graphicData>
            </a:graphic>
          </wp:anchor>
        </w:drawing>
      </w:r>
      <w:r>
        <mc:AlternateContent>
          <mc:Choice Requires="wps">
            <w:drawing>
              <wp:anchor distT="0" distB="0" distL="114298" distR="114298" simplePos="0" relativeHeight="28" behindDoc="0" locked="0" layoutInCell="1" hidden="0" allowOverlap="1">
                <wp:simplePos x="0" y="0"/>
                <wp:positionH relativeFrom="column">
                  <wp:posOffset>-472440</wp:posOffset>
                </wp:positionH>
                <wp:positionV relativeFrom="paragraph">
                  <wp:posOffset>-17145</wp:posOffset>
                </wp:positionV>
                <wp:extent cx="6431279" cy="2862579"/>
                <wp:effectExtent l="0" t="0" r="0" b="0"/>
                <wp:wrapNone/>
                <wp:docPr id="4" name="文本框 1" descr="7b0a2020202022776f7264617274223a20227b5c2269645c223a32353030323136362c5c227469645c223a5c225c227d220a7d0a"/>
                <wp:cNvGraphicFramePr>
                  <a:graphicFrameLocks noChangeAspect="0"/>
                </wp:cNvGraphicFramePr>
                <a:graphic>
                  <a:graphicData uri="http://schemas.microsoft.com/office/word/2010/wordprocessingShape">
                    <wps:wsp>
                      <wps:cNvSpPr/>
                      <wps:spPr>
                        <a:xfrm rot="0">
                          <a:off x="0" y="0"/>
                          <a:ext cx="6431279" cy="2862579"/>
                        </a:xfrm>
                        <a:prstGeom prst="rect"/>
                        <a:noFill/>
                        <a:ln w="9525" cmpd="sng" cap="flat">
                          <a:noFill/>
                          <a:prstDash val="solid"/>
                          <a:round/>
                        </a:ln>
                      </wps:spPr>
                      <wps:txbx id="5">
                        <w:txbxContent>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202</w:t>
                            </w:r>
                            <w:r>
                              <w:rPr>
                                <w:rFonts w:ascii="微软雅黑" w:eastAsia="微软雅黑" w:cs="微软雅黑" w:hAnsi="微软雅黑" w:hint="eastAsia"/>
                                <w:b/>
                                <w:color w:val="FFFFFF"/>
                                <w:kern w:val="2"/>
                                <w:sz w:val="96"/>
                                <w:szCs w:val="96"/>
                                <w14:textFill>
                                  <w14:solidFill>
                                    <w14:srgbClr w14:val="FFFFFF"/>
                                  </w14:solidFill>
                                </w14:textFill>
                                <w:lang w:val="en-US" w:eastAsia="zh-CN" w:bidi="ar-SA"/>
                              </w:rPr>
                              <w:t>5</w:t>
                            </w:r>
                            <w:r>
                              <w:rPr>
                                <w:rFonts w:ascii="微软雅黑" w:eastAsia="微软雅黑" w:cs="微软雅黑" w:hAnsi="微软雅黑" w:hint="eastAsia"/>
                                <w:b/>
                                <w:color w:val="FFFFFF"/>
                                <w:kern w:val="2"/>
                                <w:sz w:val="96"/>
                                <w:szCs w:val="96"/>
                                <w14:textFill>
                                  <w14:solidFill>
                                    <w14:srgbClr w14:val="FFFFFF"/>
                                  </w14:solidFill>
                                </w14:textFill>
                                <w:lang w:bidi="ar-SA"/>
                              </w:rPr>
                              <w:t>年度</w:t>
                            </w:r>
                          </w:p>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部门决算公开文本</w:t>
                            </w:r>
                          </w:p>
                        </w:txbxContent>
                      </wps:txbx>
                      <wps:bodyPr vert="horz" wrap="square" lIns="91440" tIns="45720" rIns="91440" bIns="45720" anchor="t" anchorCtr="0" upright="1">
                        <a:noAutofit/>
                      </wps:bodyPr>
                    </wps:wsp>
                  </a:graphicData>
                </a:graphic>
              </wp:anchor>
            </w:drawing>
          </mc:Choice>
          <mc:Fallback>
            <w:pict>
              <v:shape type="#_x0000_t202" id="文本框 1 6" o:spid="_x0000_s6" filled="f" stroked="f" alt="7b0a2020202022776f7264617274223a20227b5c2269645c223a32353030323136362c5c227469645c223a5c225c227d220a7d0a" style="position:absolute;margin-left:-37.2pt;margin-top:-1.35pt;width:506.4pt;height:225.4pt;z-index:28;mso-position-horizontal:absolute;mso-position-vertical:absolute;mso-wrap-distance-left:8.999863pt;mso-wrap-distance-right:8.999863pt;mso-wrap-style:square;">
                <v:stroke color="#000000"/>
                <v:textbox id="849" inset="2.54mm,1.27mm,2.54mm,1.27mm" o:insetmode="custom" style="layout-flow:horizontal;v-text-anchor:top;">
                  <w:txbxContent>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202</w:t>
                      </w:r>
                      <w:r>
                        <w:rPr>
                          <w:rFonts w:ascii="微软雅黑" w:eastAsia="微软雅黑" w:cs="微软雅黑" w:hAnsi="微软雅黑" w:hint="eastAsia"/>
                          <w:b/>
                          <w:color w:val="FFFFFF"/>
                          <w:kern w:val="2"/>
                          <w:sz w:val="96"/>
                          <w:szCs w:val="96"/>
                          <w14:textFill>
                            <w14:solidFill>
                              <w14:srgbClr w14:val="FFFFFF"/>
                            </w14:solidFill>
                          </w14:textFill>
                          <w:lang w:val="en-US" w:eastAsia="zh-CN" w:bidi="ar-SA"/>
                        </w:rPr>
                        <w:t>5</w:t>
                      </w:r>
                      <w:r>
                        <w:rPr>
                          <w:rFonts w:ascii="微软雅黑" w:eastAsia="微软雅黑" w:cs="微软雅黑" w:hAnsi="微软雅黑" w:hint="eastAsia"/>
                          <w:b/>
                          <w:color w:val="FFFFFF"/>
                          <w:kern w:val="2"/>
                          <w:sz w:val="96"/>
                          <w:szCs w:val="96"/>
                          <w14:textFill>
                            <w14:solidFill>
                              <w14:srgbClr w14:val="FFFFFF"/>
                            </w14:solidFill>
                          </w14:textFill>
                          <w:lang w:bidi="ar-SA"/>
                        </w:rPr>
                        <w:t>年度</w:t>
                      </w:r>
                    </w:p>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部门决算公开文本</w:t>
                      </w:r>
                    </w:p>
                  </w:txbxContent>
                </v:textbox>
              </v:shape>
            </w:pict>
          </mc:Fallback>
        </mc:AlternateContent>
      </w: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both"/>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bookmarkStart w:id="0" w:name="_GoBack"/>
      <w:r>
        <w:rPr>
          <w:rFonts w:ascii="楷体_GB2312" w:eastAsia="楷体_GB2312" w:cs="楷体_GB2312" w:hAnsi="楷体_GB2312" w:hint="eastAsia"/>
          <w:b/>
          <w:bCs/>
          <w:color w:val="0D0D0D"/>
          <w:kern w:val="2"/>
          <w:sz w:val="48"/>
          <w:szCs w:val="56"/>
          <w14:textFill>
            <w14:solidFill>
              <w14:srgbClr w14:val="0D0D0D"/>
            </w14:solidFill>
          </w14:textFill>
        </w:rPr>
        <w:t>中国共产党正定县委员会老干部局</w:t>
      </w:r>
      <w:bookmarkEnd w:id="0"/>
      <w:r>
        <w:rPr>
          <w:rFonts w:ascii="楷体_GB2312" w:eastAsia="楷体_GB2312" w:cs="楷体_GB2312" w:hAnsi="楷体_GB2312" w:hint="eastAsia"/>
          <w:b/>
          <w:bCs/>
          <w:color w:val="0D0D0D"/>
          <w:kern w:val="2"/>
          <w:sz w:val="48"/>
          <w:szCs w:val="56"/>
          <w14:textFill>
            <w14:solidFill>
              <w14:srgbClr w14:val="0D0D0D"/>
            </w14:solidFill>
          </w14:textFill>
        </w:rPr>
        <w:t>（汇总）</w:t>
      </w: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ascii="楷体_GB2312" w:eastAsia="楷体_GB2312" w:cs="楷体_GB2312" w:hAnsi="楷体_GB2312" w:hint="eastAsia"/>
          <w:b/>
          <w:bCs/>
          <w:color w:val="0D0D0D"/>
          <w:kern w:val="2"/>
          <w:sz w:val="48"/>
          <w:szCs w:val="56"/>
          <w14:textFill>
            <w14:solidFill>
              <w14:srgbClr w14:val="0D0D0D"/>
            </w14:solidFill>
          </w14:textFill>
        </w:rPr>
        <w:t>预算代码：</w:t>
      </w:r>
      <w:r>
        <w:rPr>
          <w:rFonts w:ascii="楷体_GB2312" w:eastAsia="楷体_GB2312" w:cs="楷体_GB2312" w:hAnsi="楷体_GB2312" w:hint="eastAsia"/>
          <w:b/>
          <w:bCs/>
          <w:color w:val="0D0D0D"/>
          <w:kern w:val="2"/>
          <w:sz w:val="48"/>
          <w:szCs w:val="56"/>
          <w14:textFill>
            <w14:solidFill>
              <w14:srgbClr w14:val="0D0D0D"/>
            </w14:solidFill>
          </w14:textFill>
          <w:lang w:val="en-US" w:eastAsia="zh-CN"/>
        </w:rPr>
        <w:t>287</w:t>
      </w:r>
    </w:p>
    <w:p>
      <w:pPr>
        <w:jc w:val="center"/>
        <w:rPr>
          <w:rFonts w:ascii="楷体_GB2312" w:eastAsia="楷体_GB2312" w:cs="楷体_GB2312" w:hAnsi="楷体_GB2312"/>
          <w:b/>
          <w:bCs/>
          <w:color w:val="0D0D0D"/>
          <w:sz w:val="48"/>
          <w:szCs w:val="56"/>
          <w14:textFill>
            <w14:solidFill>
              <w14:srgbClr w14:val="0D0D0D"/>
            </w14:solidFill>
          </w14:textFill>
        </w:rPr>
      </w:pPr>
    </w:p>
    <w:p>
      <w:pPr>
        <w:jc w:val="center"/>
        <w:rPr>
          <w:rFonts w:ascii="楷体_GB2312" w:eastAsia="楷体_GB2312" w:cs="楷体_GB2312" w:hAnsi="楷体_GB2312"/>
          <w:b/>
          <w:bCs/>
          <w:color w:val="0D0D0D"/>
          <w:sz w:val="48"/>
          <w:szCs w:val="56"/>
          <w14:textFill>
            <w14:solidFill>
              <w14:srgbClr w14:val="0D0D0D"/>
            </w14:solidFill>
          </w14:textFill>
        </w:rPr>
      </w:pPr>
      <w:r>
        <w:rPr>
          <w:rFonts w:ascii="楷体_GB2312" w:eastAsia="楷体_GB2312" w:cs="楷体_GB2312" w:hAnsi="楷体_GB2312" w:hint="eastAsia"/>
          <w:b/>
          <w:bCs/>
          <w:color w:val="0D0D0D"/>
          <w:sz w:val="48"/>
          <w:szCs w:val="56"/>
          <w14:textFill>
            <w14:solidFill>
              <w14:srgbClr w14:val="0D0D0D"/>
            </w14:solidFill>
          </w14:textFill>
        </w:rPr>
        <w:t>二〇二六年</w:t>
      </w:r>
      <w:r>
        <w:rPr>
          <w:rFonts w:ascii="楷体_GB2312" w:eastAsia="楷体_GB2312" w:cs="楷体_GB2312" w:hAnsi="楷体_GB2312" w:hint="eastAsia"/>
          <w:b/>
          <w:bCs/>
          <w:color w:val="0D0D0D"/>
          <w:sz w:val="48"/>
          <w:szCs w:val="56"/>
          <w14:textFill>
            <w14:solidFill>
              <w14:srgbClr w14:val="0D0D0D"/>
            </w14:solidFill>
          </w14:textFill>
          <w:lang w:eastAsia="zh-CN"/>
        </w:rPr>
        <w:t>十</w:t>
      </w:r>
      <w:r>
        <w:rPr>
          <w:rFonts w:ascii="楷体_GB2312" w:eastAsia="楷体_GB2312" w:cs="楷体_GB2312" w:hAnsi="楷体_GB2312" w:hint="eastAsia"/>
          <w:b/>
          <w:bCs/>
          <w:color w:val="0D0D0D"/>
          <w:sz w:val="48"/>
          <w:szCs w:val="56"/>
          <w14:textFill>
            <w14:solidFill>
              <w14:srgbClr w14:val="0D0D0D"/>
            </w14:solidFill>
          </w14:textFill>
        </w:rPr>
        <w:t>月</w:t>
      </w:r>
    </w:p>
    <w:p>
      <w:pPr>
        <w:spacing w:line="600" w:lineRule="auto"/>
        <w:jc w:val="both"/>
        <w:rPr>
          <w:rFonts w:ascii="楷体_GB2312" w:eastAsia="楷体_GB2312" w:cs="楷体_GB2312" w:hAnsi="楷体_GB2312" w:hint="eastAsia"/>
          <w:color w:val="000000"/>
          <w:sz w:val="40"/>
          <w:szCs w:val="40"/>
        </w:rPr>
        <w:sectPr>
          <w:footerReference w:type="default" r:id="rId2"/>
          <w:pgSz w:w="11906" w:h="16838"/>
          <w:pgMar w:top="2098" w:right="1417" w:bottom="1871" w:left="1417" w:header="851" w:footer="992" w:gutter="0"/>
          <w:docGrid w:type="lines" w:linePitch="312" w:charSpace="0"/>
        </w:sectPr>
      </w:pPr>
    </w:p>
    <w:p>
      <w:pPr>
        <w:spacing w:line="600" w:lineRule="auto"/>
        <w:jc w:val="center"/>
        <w:rPr>
          <w:rFonts w:ascii="楷体_GB2312" w:eastAsia="楷体_GB2312" w:cs="楷体_GB2312" w:hAnsi="楷体_GB2312" w:hint="eastAsia"/>
          <w:color w:val="000000"/>
          <w:sz w:val="40"/>
          <w:szCs w:val="40"/>
        </w:rPr>
      </w:pPr>
    </w:p>
    <w:p>
      <w:pPr>
        <w:rPr>
          <w:rFonts w:ascii="黑体" w:eastAsia="黑体" w:cs="黑体" w:hAnsi="黑体" w:hint="eastAsia"/>
          <w:b/>
          <w:bCs/>
          <w:sz w:val="32"/>
          <w:szCs w:val="36"/>
          <w:highlight w:val="yellow"/>
        </w:rPr>
      </w:pP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方正小标宋_GBK" w:hAnsi="Times New Roman"/>
          <w:b w:val="0"/>
          <w:sz w:val="72"/>
          <w:szCs w:val="72"/>
        </w:rPr>
        <w:t>中国共产党正定县委员会老干部局（汇总）</w:t>
      </w: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仿宋_GB2312" w:hAnsi="Times New Roman"/>
          <w:b w:val="0"/>
          <w:sz w:val="72"/>
          <w:szCs w:val="72"/>
        </w:rPr>
        <w:t>2025</w:t>
      </w:r>
      <w:r>
        <w:rPr>
          <w:rFonts w:ascii="Times New Roman" w:eastAsia="方正小标宋_GBK" w:hAnsi="Times New Roman"/>
          <w:b w:val="0"/>
          <w:sz w:val="72"/>
          <w:szCs w:val="72"/>
        </w:rPr>
        <w:t>年度部门决算公开文本</w:t>
      </w:r>
    </w:p>
    <w:p>
      <w:pPr>
        <w:spacing w:line="360" w:lineRule="auto"/>
        <w:jc w:val="center"/>
        <w:rPr>
          <w:rFonts w:ascii="黑体" w:eastAsia="黑体" w:cs="黑体" w:hAnsi="黑体"/>
          <w:sz w:val="56"/>
          <w:szCs w:val="72"/>
        </w:rPr>
      </w:pPr>
    </w:p>
    <w:p>
      <w:pPr>
        <w:spacing w:line="480" w:lineRule="auto"/>
        <w:jc w:val="both"/>
        <w:rPr>
          <w:rFonts w:ascii="黑体" w:eastAsia="黑体" w:cs="黑体" w:hAnsi="黑体"/>
          <w:sz w:val="56"/>
          <w:szCs w:val="72"/>
        </w:rPr>
      </w:pP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中国共产党正定县委员会老干部局（汇总）</w:t>
      </w:r>
    </w:p>
    <w:p>
      <w:pPr>
        <w:widowControl/>
        <w:spacing w:before="0" w:beforeAutospacing="0" w:after="0" w:afterAutospacing="0" w:line="240" w:lineRule="auto"/>
        <w:jc w:val="center"/>
        <w:rPr>
          <w:rFonts w:ascii="Times New Roman" w:eastAsia="楷体_GB2312" w:hAnsi="Times New Roman"/>
          <w:sz w:val="44"/>
          <w:szCs w:val="44"/>
        </w:rPr>
      </w:pP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二〇二六年</w:t>
      </w:r>
      <w:r>
        <w:rPr>
          <w:rFonts w:ascii="Times New Roman" w:eastAsia="楷体_GB2312" w:hAnsi="Times New Roman" w:hint="eastAsia"/>
          <w:b w:val="0"/>
          <w:sz w:val="44"/>
          <w:szCs w:val="44"/>
          <w:lang w:eastAsia="zh-CN"/>
        </w:rPr>
        <w:t>十</w:t>
      </w:r>
      <w:r>
        <w:rPr>
          <w:rFonts w:ascii="Times New Roman" w:eastAsia="楷体_GB2312" w:hAnsi="Times New Roman"/>
          <w:b w:val="0"/>
          <w:sz w:val="44"/>
          <w:szCs w:val="44"/>
        </w:rPr>
        <w:t>月</w:t>
      </w:r>
    </w:p>
    <w:p>
      <w:pPr>
        <w:rPr>
          <w:rFonts w:ascii="楷体_GB2312" w:eastAsia="楷体_GB2312" w:cs="楷体_GB2312" w:hAnsi="楷体_GB2312" w:hint="eastAsia"/>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pPr>
      <w:r>
        <w:rPr>
          <w:rFonts w:ascii="楷体_GB2312" w:eastAsia="楷体_GB2312" w:cs="楷体_GB2312" w:hAnsi="楷体_GB2312"/>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br w:type="page"/>
      </w:r>
    </w:p>
    <w:p>
      <w:pPr>
        <w:snapToGrid w:val="0"/>
        <w:jc w:val="left"/>
        <w:rPr>
          <w:rFonts w:ascii="楷体_GB2312" w:eastAsia="楷体_GB2312" w:cs="楷体_GB2312" w:hAnsi="楷体_GB2312"/>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sectPr>
          <w:footerReference w:type="default" r:id="rId4"/>
          <w:pgSz w:w="11906" w:h="16838"/>
          <w:pgMar w:top="1531" w:right="1984" w:bottom="1531" w:left="2098" w:header="851" w:footer="992" w:gutter="0"/>
          <w:pgNumType w:start="1"/>
          <w:docGrid w:type="lines" w:linePitch="312" w:charSpace="0"/>
        </w:sect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目  录</w:t>
      </w:r>
    </w:p>
    <w:p>
      <w:pPr>
        <w:widowControl/>
        <w:spacing w:after="160" w:line="580" w:lineRule="exact"/>
        <w:ind w:firstLineChars="200" w:firstLine="640"/>
        <w:rPr>
          <w:rFonts w:ascii="Times New Roman" w:eastAsia="黑体" w:cs="Times New Roman" w:hAnsi="Times New Roman"/>
          <w:sz w:val="32"/>
          <w:szCs w:val="32"/>
        </w:rPr>
      </w:pP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第一部分部门概况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一、部门职责</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二、机构设置</w:t>
      </w:r>
    </w:p>
    <w:p>
      <w:pPr>
        <w:widowControl/>
        <w:spacing w:before="0" w:beforeAutospacing="0" w:after="0" w:afterAutospacing="0" w:line="360" w:lineRule="auto"/>
        <w:jc w:val="left"/>
        <w:outlineLvl w:val="0"/>
        <w:rPr>
          <w:rFonts w:ascii="Times New Roman" w:eastAsia="黑体" w:hAnsi="Times New Roman"/>
          <w:sz w:val="32"/>
          <w:szCs w:val="32"/>
        </w:rPr>
      </w:pPr>
      <w:r>
        <w:rPr>
          <w:rFonts w:ascii="Times New Roman" w:eastAsia="黑体" w:hAnsi="Times New Roman"/>
          <w:b w:val="0"/>
          <w:sz w:val="32"/>
          <w:szCs w:val="32"/>
        </w:rPr>
        <w:t>第二部分 2025年度部门决算报表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五、一般公共预算财政拨款支出决算表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六、一般公共预算财政拨款基本支出决算明细表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七、政府性基金预算财政拨款收入支出决算表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八、国有资本经营预算财政拨款支出决算表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九、财政拨款“三公”经费支出决算表</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第三部分 2025年度部门决算情况说明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五、财政拨款“三公”经费支出决算情况说明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九、关于2025年度绩效评价情况的说明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十、其他需要说明的情况</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第四部分 名词解释</w:t>
      </w:r>
    </w:p>
    <w:p>
      <w:pPr>
        <w:widowControl/>
        <w:spacing w:after="160" w:line="580" w:lineRule="exact"/>
        <w:rPr>
          <w:rFonts w:ascii="Times New Roman" w:eastAsia="黑体" w:cs="Times New Roman" w:hAnsi="Times New Roman" w:hint="eastAsia"/>
          <w:sz w:val="32"/>
          <w:szCs w:val="32"/>
          <w:lang w:val="en-US" w:eastAsia="zh-CN"/>
        </w:rPr>
        <w:sectPr>
          <w:headerReference w:type="default" r:id="rId5"/>
          <w:headerReference w:type="first" r:id="rId6"/>
          <w:footerReference w:type="default" r:id="rId7"/>
          <w:footerReference w:type="first" r:id="rId8"/>
          <w:pgSz w:w="11906" w:h="16838"/>
          <w:pgMar w:top="1474" w:right="1531" w:bottom="1474" w:left="1531" w:header="851" w:footer="992" w:gutter="0"/>
          <w:titlePg/>
          <w:docGrid w:type="lines" w:linePitch="312" w:charSpace="0"/>
        </w:sect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第一部分部门概况</w:t>
      </w: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outlineLvl w:val="1"/>
        <w:rPr>
          <w:rFonts w:ascii="黑体" w:eastAsia="黑体" w:cs="黑体" w:hAnsi="宋体" w:hint="eastAsia"/>
          <w:i w:val="0"/>
          <w:iCs w:val="0"/>
          <w:caps w:val="0"/>
          <w:smallCaps w:val="0"/>
          <w:color w:val="000000"/>
          <w:spacing w:val="0"/>
          <w:sz w:val="32"/>
          <w:szCs w:val="32"/>
          <w:shd w:val="clear" w:color="auto" w:fill="FFFFFF"/>
          <w:lang w:val="en-US" w:eastAsia="zh-CN"/>
          <w:highlight w:val="auto"/>
        </w:r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一、部门职责</w:t>
      </w:r>
    </w:p>
    <w:p>
      <w:pPr>
        <w:widowControl/>
        <w:spacing w:before="0" w:beforeAutospacing="0" w:after="0" w:afterAutospacing="0" w:line="360" w:lineRule="auto"/>
        <w:ind w:firstLineChars="200" w:firstLine="620"/>
        <w:jc w:val="left"/>
        <w:rPr>
          <w:rFonts w:ascii="Times New Roman" w:eastAsia="仿宋_GB2312" w:hAnsi="Times New Roman"/>
          <w:sz w:val="32"/>
          <w:szCs w:val="32"/>
        </w:rPr>
      </w:pPr>
      <w:r>
        <w:rPr>
          <w:rFonts w:ascii="仿宋" w:eastAsia="仿宋" w:cs="仿宋" w:hAnsi="仿宋" w:hint="eastAsia"/>
          <w:b w:val="0"/>
          <w:bCs w:val="0"/>
          <w:color w:val="000000"/>
          <w:sz w:val="31"/>
          <w:szCs w:val="31"/>
          <w:lang w:eastAsia="zh-CN"/>
        </w:rPr>
        <w:t>（一）</w:t>
      </w:r>
      <w:r>
        <w:rPr>
          <w:rFonts w:ascii="仿宋" w:eastAsia="仿宋" w:cs="仿宋" w:hAnsi="仿宋"/>
          <w:b w:val="0"/>
          <w:bCs w:val="0"/>
          <w:color w:val="000000"/>
          <w:sz w:val="31"/>
          <w:szCs w:val="31"/>
        </w:rPr>
        <w:t>全面贯彻加强党对离退休干部工作集中统一领导要求， 负责宣传贯彻落实党中央、国务院和省、市、县关于离退休干部 工作的方针政策；拟订或参与拟订全县离退休干部工作有关具体 规定和办法；总结宣传全县离退休干部工作和先进典型。 （二）负责指导、督促、检查各部门各单位离退休干部工作； 组织和协调有关部门做好离退休干部工作。 （三）负责督促检查各部门各单位落实离退休干部的政治和 生活待遇，督促组织做好走访慰问工作；督促检查离休干部“两 费”（离休费、医药费）落实情况；调查研究离退休干部政治和 生活待遇中存在的问题，协调有关部门提出解决办法。 （四）加强对全县离退休干部的政治引领和教育管理。配合 相关部门加强新形势下离退休干部党组织建设工作，研究做好离 退休干部思想政治工作的制度办法和措施。 （五）指导老干部活动中心等活动阵地建设与管理。 （六）指导各部门各单位组织离退休干部利用自身优势，在 政治、经济、文化和青少年教育等各领域发挥作用，增添正能量。 （七）了解离退休干部对医疗保健方面的意见和要求。组织 指导离退休干部开展健康科学的文化健身、保健讲座、参观学习 等活动。 （八）负责易地安置离休干部服务管理工作。（九）指导逝世老干部的善后工作，协助承办县委交办的丧 葬事宜。 （十）承担县老干部工作领导小组、县关心下一代工作委员 会的日常工作。 （十一）完成县委交办的其他任务。</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二、机构设置</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从决算编报单位构成看，纳入2025年度本部门决算汇编范围的独立核算单位（以下简称“单位”）共</w:t>
      </w:r>
      <w:r>
        <w:rPr>
          <w:rFonts w:ascii="Times New Roman" w:eastAsia="仿宋_GB2312" w:hAnsi="Times New Roman" w:hint="eastAsia"/>
          <w:b w:val="0"/>
          <w:sz w:val="32"/>
          <w:szCs w:val="32"/>
          <w:lang w:val="en-US" w:eastAsia="zh-CN"/>
        </w:rPr>
        <w:t>2</w:t>
      </w:r>
      <w:r>
        <w:rPr>
          <w:rFonts w:ascii="Times New Roman" w:eastAsia="仿宋_GB2312" w:hAnsi="Times New Roman"/>
          <w:b w:val="0"/>
          <w:sz w:val="32"/>
          <w:szCs w:val="32"/>
        </w:rPr>
        <w:t>个，具体情况如下：</w:t>
      </w:r>
    </w:p>
    <w:tbl>
      <w:tblPr>
        <w:tblpPr w:leftFromText="180" w:rightFromText="180" w:vertAnchor="text" w:horzAnchor="page" w:tblpXSpec="center" w:tblpY="10"/>
        <w:tblOverlap w:val="neve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5"/>
        <w:gridCol w:w="3485"/>
        <w:gridCol w:w="2445"/>
        <w:gridCol w:w="2665"/>
      </w:tblGrid>
      <w:tr>
        <w:trPr>
          <w:trHeight w:val="811"/>
        </w:trPr>
        <w:tc>
          <w:tcPr>
            <w:tcW w:w="9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序号</w:t>
            </w:r>
          </w:p>
        </w:tc>
        <w:tc>
          <w:tcPr>
            <w:tcW w:w="34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单位名称</w:t>
            </w:r>
          </w:p>
        </w:tc>
        <w:tc>
          <w:tcPr>
            <w:tcW w:w="244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单位基本性质</w:t>
            </w:r>
          </w:p>
        </w:tc>
        <w:tc>
          <w:tcPr>
            <w:tcW w:w="266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经费形式</w:t>
            </w:r>
          </w:p>
        </w:tc>
      </w:tr>
      <w:tr>
        <w:trPr>
          <w:trHeight w:val="596"/>
        </w:trPr>
        <w:tc>
          <w:tcPr>
            <w:tcW w:w="9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1</w:t>
            </w:r>
          </w:p>
        </w:tc>
        <w:tc>
          <w:tcPr>
            <w:tcW w:w="34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中国共产党正定县委员会老干部局（本级）</w:t>
            </w:r>
          </w:p>
        </w:tc>
        <w:tc>
          <w:tcPr>
            <w:tcW w:w="244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rPr>
              <w:t>行政单位</w:t>
            </w:r>
          </w:p>
        </w:tc>
        <w:tc>
          <w:tcPr>
            <w:tcW w:w="266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财政拨款</w:t>
            </w:r>
          </w:p>
        </w:tc>
      </w:tr>
      <w:tr>
        <w:trPr>
          <w:trHeight w:val="596"/>
        </w:trPr>
        <w:tc>
          <w:tcPr>
            <w:tcW w:w="9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hint="eastAsia"/>
                <w:kern w:val="0"/>
                <w:sz w:val="28"/>
                <w:szCs w:val="28"/>
                <w:lang w:val="en-US" w:eastAsia="zh-CN"/>
              </w:rPr>
            </w:pPr>
            <w:r>
              <w:rPr>
                <w:rFonts w:ascii="仿宋_GB2312" w:eastAsia="仿宋_GB2312" w:cs="ArialUnicodeMS" w:hAnsi="Calibri" w:hint="eastAsia"/>
                <w:kern w:val="0"/>
                <w:sz w:val="28"/>
                <w:szCs w:val="28"/>
                <w:lang w:val="en-US" w:eastAsia="zh-CN"/>
              </w:rPr>
              <w:t>2</w:t>
            </w:r>
          </w:p>
        </w:tc>
        <w:tc>
          <w:tcPr>
            <w:tcW w:w="34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hint="eastAsia"/>
                <w:kern w:val="0"/>
                <w:sz w:val="28"/>
                <w:szCs w:val="28"/>
                <w:lang w:val="en-US" w:eastAsia="zh-CN"/>
              </w:rPr>
            </w:pPr>
            <w:r>
              <w:rPr>
                <w:rFonts w:ascii="仿宋_GB2312" w:eastAsia="仿宋_GB2312" w:cs="ArialUnicodeMS" w:hAnsi="Calibri" w:hint="eastAsia"/>
                <w:kern w:val="0"/>
                <w:sz w:val="28"/>
                <w:szCs w:val="28"/>
                <w:lang w:val="en-US" w:eastAsia="zh-CN"/>
              </w:rPr>
              <w:t>正定县老干部活动中心</w:t>
            </w:r>
          </w:p>
        </w:tc>
        <w:tc>
          <w:tcPr>
            <w:tcW w:w="244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4"/>
                <w:szCs w:val="24"/>
              </w:rPr>
              <w:t>财政补助事业单位</w:t>
            </w:r>
          </w:p>
        </w:tc>
        <w:tc>
          <w:tcPr>
            <w:tcW w:w="266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全额事业</w:t>
            </w:r>
          </w:p>
        </w:tc>
      </w:tr>
    </w:tbl>
    <w:p>
      <w:pPr>
        <w:rPr>
          <w:rFonts w:ascii="Times New Roman" w:eastAsia="黑体" w:cs="Times New Roman" w:hAnsi="Times New Roman" w:hint="eastAsia"/>
          <w:sz w:val="32"/>
          <w:szCs w:val="32"/>
          <w:highlight w:val="yellow"/>
        </w:rPr>
      </w:pPr>
      <w:r>
        <w:rPr>
          <w:rFonts w:ascii="Times New Roman" w:eastAsia="黑体" w:cs="Times New Roman" w:hAnsi="Times New Roman" w:hint="eastAsia"/>
          <w:sz w:val="32"/>
          <w:szCs w:val="32"/>
          <w:highlight w:val="yellow"/>
        </w:rPr>
        <w:br w:type="page"/>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第二部分</w:t>
      </w:r>
      <w:r>
        <w:rPr>
          <w:rFonts w:ascii="Times New Roman" w:eastAsia="仿宋_GB2312" w:hAnsi="Times New Roman"/>
          <w:b w:val="0"/>
          <w:sz w:val="44"/>
          <w:szCs w:val="44"/>
        </w:rPr>
        <w:t>2025</w:t>
      </w:r>
      <w:r>
        <w:rPr>
          <w:rFonts w:ascii="Times New Roman" w:eastAsia="黑体" w:hAnsi="Times New Roman"/>
          <w:b w:val="0"/>
          <w:sz w:val="44"/>
          <w:szCs w:val="44"/>
        </w:rPr>
        <w:t>年度部门决算表</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bidi w:val="0"/>
        <w:rPr>
          <w:lang w:val="en-US" w:eastAsia="zh-CN"/>
        </w:rPr>
      </w:pPr>
    </w:p>
    <w:p>
      <w:pPr>
        <w:bidi w:val="0"/>
        <w:rPr>
          <w:lang w:val="en-US" w:eastAsia="zh-CN"/>
        </w:rPr>
      </w:pPr>
    </w:p>
    <w:tbl>
      <w:tblPr>
        <w:jc w:val="left"/>
        <w:tblInd w:w="-1817" w:type="dxa"/>
        <w:tblW w:w="1165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rPr>
          <w:trHeight w:val="361"/>
          <w:gridAfter w:val="1"/>
          <w:wAfter w:w="34" w:type="dxa"/>
        </w:trPr>
        <w:tc>
          <w:tcPr>
            <w:tcW w:w="11625" w:type="dxa"/>
            <w:gridSpan w:val="8"/>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收入支出决算总表</w:t>
            </w:r>
          </w:p>
        </w:tc>
      </w:tr>
      <w:tr>
        <w:trPr>
          <w:trHeight w:val="357"/>
          <w:gridAfter w:val="1"/>
          <w:wAfter w:w="34" w:type="dxa"/>
        </w:trPr>
        <w:tc>
          <w:tcPr>
            <w:tcW w:w="11625" w:type="dxa"/>
            <w:gridSpan w:val="8"/>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公开</w:t>
            </w:r>
            <w:r>
              <w:rPr>
                <w:rFonts w:ascii="Times New Roman" w:eastAsia="宋体" w:cs="Times New Roman" w:hAnsi="Times New Roman" w:hint="eastAsia"/>
                <w:i w:val="0"/>
                <w:iCs w:val="0"/>
                <w:color w:val="000000"/>
                <w:sz w:val="20"/>
                <w:szCs w:val="20"/>
                <w:u w:val="none"/>
                <w:lang w:val="en-US" w:eastAsia="zh-CN"/>
                <w:highlight w:val="auto"/>
              </w:rPr>
              <w:t>01</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51"/>
          <w:gridAfter w:val="1"/>
          <w:wAfter w:w="34" w:type="dxa"/>
        </w:trPr>
        <w:tc>
          <w:tcPr>
            <w:tcW w:w="4581" w:type="dxa"/>
            <w:gridSpan w:val="3"/>
            <w:tcBorders>
              <w:top w:val="nil"/>
              <w:left w:val="nil"/>
              <w:bottom w:val="single" w:sz="8" w:space="0" w:color="000000"/>
              <w:right w:val="nil"/>
            </w:tcBorders>
            <w:vAlign w:val="bottom"/>
          </w:tcPr>
          <w:p>
            <w:pPr>
              <w:jc w:val="both"/>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部门（单位）：中国共产党正定县委员会老干部局（汇总）</w:t>
            </w:r>
          </w:p>
        </w:tc>
        <w:tc>
          <w:tcPr>
            <w:tcW w:w="2945" w:type="dxa"/>
            <w:gridSpan w:val="2"/>
            <w:tcBorders>
              <w:top w:val="nil"/>
              <w:left w:val="nil"/>
              <w:bottom w:val="single" w:sz="8" w:space="0" w:color="000000"/>
              <w:right w:val="nil"/>
            </w:tcBorders>
            <w:vAlign w:val="bottom"/>
          </w:tcPr>
          <w:p>
            <w:pPr>
              <w:jc w:val="center"/>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hint="eastAsia"/>
                <w:i w:val="0"/>
                <w:iCs w:val="0"/>
                <w:color w:val="000000"/>
                <w:sz w:val="20"/>
                <w:szCs w:val="20"/>
                <w:u w:val="none"/>
                <w:lang w:val="en-US" w:eastAsia="zh-CN"/>
                <w:highlight w:val="auto"/>
              </w:rPr>
              <w:t>2025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4099" w:type="dxa"/>
            <w:gridSpan w:val="3"/>
            <w:tcBorders>
              <w:top w:val="nil"/>
              <w:left w:val="nil"/>
              <w:bottom w:val="single" w:sz="8" w:space="0" w:color="000000"/>
              <w:right w:val="nil"/>
            </w:tcBorders>
            <w:vAlign w:val="bottom"/>
          </w:tcPr>
          <w:p>
            <w:pPr>
              <w:jc w:val="right"/>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44"/>
          <w:gridAfter w:val="1"/>
          <w:wAfter w:w="34" w:type="dxa"/>
        </w:trPr>
        <w:tc>
          <w:tcPr>
            <w:tcW w:w="5735"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收入</w:t>
            </w:r>
          </w:p>
        </w:tc>
        <w:tc>
          <w:tcPr>
            <w:tcW w:w="5890"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支出</w:t>
            </w:r>
          </w:p>
        </w:tc>
      </w:tr>
      <w:tr>
        <w:trPr>
          <w:trHeight w:val="308"/>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决算数</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21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决算数</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Times New Roman" w:eastAsia="宋体" w:cs="Times New Roman" w:hAnsi="Times New Roman" w:hint="eastAsia"/>
                <w:i w:val="0"/>
                <w:iCs w:val="0"/>
                <w:color w:val="000000"/>
                <w:sz w:val="20"/>
                <w:szCs w:val="20"/>
                <w:u w:val="none"/>
                <w:lang w:val="en-US" w:eastAsia="zh-CN"/>
                <w:highlight w:val="auto"/>
              </w:rPr>
              <w:t>1</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675"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21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Times New Roman" w:eastAsia="宋体" w:cs="Times New Roman" w:hAnsi="Times New Roman" w:hint="eastAsia"/>
                <w:i w:val="0"/>
                <w:iCs w:val="0"/>
                <w:color w:val="000000"/>
                <w:sz w:val="20"/>
                <w:szCs w:val="20"/>
                <w:u w:val="none"/>
                <w:lang w:val="en-US" w:eastAsia="zh-CN"/>
                <w:highlight w:val="auto"/>
              </w:rPr>
              <w:t>2</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宋体" w:eastAsia="宋体" w:cs="宋体" w:hAnsi="宋体"/>
                <w:i w:val="0"/>
                <w:iCs w:val="0"/>
                <w:color w:val="000000"/>
                <w:sz w:val="20"/>
                <w:szCs w:val="20"/>
                <w:u w:val="none"/>
                <w:lang w:val="en-US" w:eastAsia="zh-CN"/>
                <w:highlight w:val="auto"/>
              </w:rPr>
              <w:t>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一、一般公共服务支出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444.11</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二、外交支出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三、国防支出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四、上级补助收入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四、公共安全支出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五、事业收入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五、教育支出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六、经营收入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六、科学技术支出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七、附属单位上缴收入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七、文化旅游体育与传媒支出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八、其他收入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八、社会保障和就业支出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142.15</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九、卫生健康支出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40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12.02</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十、节能环保支出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十一、城乡社区支出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十二、农林水支出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539"/>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十三、交通运输支出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81"/>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十四、资源勘探工业信息等支出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780"/>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十五、商业服务业等支出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90"/>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十六、金融支出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十七、援助其他地区支出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539"/>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十八、自然资源海洋气象等支出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十九、住房保障支出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50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20.24</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二十、粮油物资储备支出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二十一、国有资本经营预算支出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二十二、灾害防治及应急管理支出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二十三、其他支出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二十四、债务还本支出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二十五、债务付息支出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二十六、抗疫特别国债安排的支出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本年收入合计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本年支出合计</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使用非财政拨款结余（含专用结余）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结余分配</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年末结转和结余</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60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30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pP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61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62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r>
      <w:tr>
        <w:trPr>
          <w:trHeight w:val="308"/>
        </w:trPr>
        <w:tc>
          <w:tcPr>
            <w:tcW w:w="11659" w:type="dxa"/>
            <w:gridSpan w:val="9"/>
            <w:tcBorders>
              <w:top w:val="nil"/>
              <w:left w:val="nil"/>
              <w:bottom w:val="nil"/>
              <w:right w:val="nil"/>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注：1.本表反映部门本年度的总收支和年末结转结余情况。</w:t>
            </w:r>
          </w:p>
          <w:p>
            <w:pPr>
              <w:keepNext w:val="0"/>
              <w:keepLines w:val="0"/>
              <w:widowControl/>
              <w:suppressLineNumbers w:val="0"/>
              <w:ind w:firstLineChars="200" w:firstLine="40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923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rPr>
          <w:trHeight w:val="550"/>
        </w:trPr>
        <w:tc>
          <w:tcPr>
            <w:tcW w:w="9230" w:type="dxa"/>
            <w:gridSpan w:val="10"/>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收入决算表</w:t>
            </w:r>
          </w:p>
        </w:tc>
      </w:tr>
      <w:tr>
        <w:trPr>
          <w:trHeight w:val="300"/>
        </w:trPr>
        <w:tc>
          <w:tcPr>
            <w:tcW w:w="9230" w:type="dxa"/>
            <w:gridSpan w:val="10"/>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hint="eastAsia"/>
                <w:i w:val="0"/>
                <w:iCs w:val="0"/>
                <w:color w:val="000000"/>
                <w:sz w:val="20"/>
                <w:szCs w:val="20"/>
                <w:u w:val="none"/>
                <w:lang w:val="en-US" w:eastAsia="zh-CN"/>
                <w:highlight w:val="auto"/>
              </w:rPr>
              <w:t>02</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237" w:type="dxa"/>
            <w:gridSpan w:val="3"/>
            <w:tcBorders>
              <w:top w:val="nil"/>
              <w:left w:val="nil"/>
              <w:bottom w:val="single" w:sz="8" w:space="0" w:color="000000"/>
              <w:right w:val="nil"/>
            </w:tcBorders>
            <w:vAlign w:val="bottom"/>
          </w:tcPr>
          <w:p>
            <w:pP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部门（单位）：中国共产党正定县委员会老干部局（汇总）                                                                                                         </w:t>
            </w:r>
          </w:p>
        </w:tc>
        <w:tc>
          <w:tcPr>
            <w:tcW w:w="3405" w:type="dxa"/>
            <w:gridSpan w:val="4"/>
            <w:tcBorders>
              <w:top w:val="nil"/>
              <w:left w:val="nil"/>
              <w:bottom w:val="single" w:sz="8" w:space="0" w:color="000000"/>
              <w:right w:val="nil"/>
            </w:tcBorders>
            <w:vAlign w:val="bottom"/>
          </w:tcPr>
          <w:p>
            <w:pPr>
              <w:jc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Times New Roman" w:eastAsia="方正仿宋_GB2312" w:cs="Times New Roman" w:hAnsi="Times New Roman"/>
                <w:i w:val="0"/>
                <w:iCs w:val="0"/>
                <w:color w:val="000000"/>
                <w:sz w:val="20"/>
                <w:szCs w:val="20"/>
                <w:u w:val="none"/>
                <w:lang w:val="en-US" w:eastAsia="zh-CN"/>
                <w:highlight w:val="auto"/>
              </w:rPr>
              <w:t>202</w:t>
            </w:r>
            <w:r>
              <w:rPr>
                <w:rFonts w:ascii="Times New Roman" w:eastAsia="方正仿宋_GB2312" w:cs="Times New Roman" w:hAnsi="Times New Roman" w:hint="eastAsia"/>
                <w:i w:val="0"/>
                <w:iCs w:val="0"/>
                <w:color w:val="00000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2588" w:type="dxa"/>
            <w:gridSpan w:val="3"/>
            <w:tcBorders>
              <w:top w:val="nil"/>
              <w:left w:val="nil"/>
              <w:bottom w:val="single" w:sz="8" w:space="0" w:color="000000"/>
              <w:right w:val="nil"/>
            </w:tcBorders>
            <w:vAlign w:val="bottom"/>
          </w:tcPr>
          <w:p>
            <w:pPr>
              <w:jc w:val="right"/>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10"/>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本年收入合计</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财政拨款收入</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上级补助收入</w:t>
            </w:r>
          </w:p>
        </w:tc>
        <w:tc>
          <w:tcPr>
            <w:tcW w:w="96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事业收入</w:t>
            </w:r>
          </w:p>
        </w:tc>
        <w:tc>
          <w:tcPr>
            <w:tcW w:w="964"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经营收入</w:t>
            </w:r>
          </w:p>
        </w:tc>
        <w:tc>
          <w:tcPr>
            <w:tcW w:w="10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附属单位上缴收入</w:t>
            </w:r>
          </w:p>
        </w:tc>
        <w:tc>
          <w:tcPr>
            <w:tcW w:w="96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其他收入</w:t>
            </w:r>
          </w:p>
        </w:tc>
      </w:tr>
      <w:tr>
        <w:trPr>
          <w:trHeight w:val="312"/>
        </w:trPr>
        <w:tc>
          <w:tcPr>
            <w:tcW w:w="1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16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60"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60"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454"/>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1</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2</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3</w:t>
            </w:r>
          </w:p>
        </w:tc>
        <w:tc>
          <w:tcPr>
            <w:tcW w:w="96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i w:val="0"/>
                <w:iCs w:val="0"/>
                <w:color w:val="000000"/>
                <w:sz w:val="20"/>
                <w:szCs w:val="20"/>
                <w:u w:val="none"/>
                <w:lang w:val="en-US" w:eastAsia="zh-CN"/>
                <w:highlight w:val="auto"/>
              </w:rPr>
            </w:pPr>
            <w:r>
              <w:rPr>
                <w:rFonts w:ascii="宋体" w:eastAsia="宋体" w:cs="宋体" w:hAnsi="宋体" w:hint="eastAsia"/>
                <w:i w:val="0"/>
                <w:iCs w:val="0"/>
                <w:color w:val="000000"/>
                <w:sz w:val="20"/>
                <w:szCs w:val="20"/>
                <w:u w:val="none"/>
                <w:lang w:val="en-US" w:eastAsia="zh-CN"/>
                <w:highlight w:val="auto"/>
              </w:rPr>
              <w:t>4</w:t>
            </w: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5</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6</w:t>
            </w:r>
          </w:p>
        </w:tc>
        <w:tc>
          <w:tcPr>
            <w:tcW w:w="96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7</w:t>
            </w:r>
          </w:p>
        </w:tc>
      </w:tr>
      <w:tr>
        <w:trPr>
          <w:trHeight w:val="567"/>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highlight w:val="auto"/>
              </w:rPr>
              <w:t>618.53</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highlight w:val="auto"/>
              </w:rPr>
              <w:t>618.53</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一般公共服务支出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444.11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444.11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其他共产党事务支出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444.11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444.11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行政运行</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344.53</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344.53</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2013650</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事业运行</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95.72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95.72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2013699</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其他共产党事务支出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3.86</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3.86</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社会保障和就业支出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142.15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142.15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行政事业单位养老支出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142.15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142.15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行政单位离退休</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50.08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50.08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2080502</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事业单位离退休</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63.10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63.10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2080503</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离退休人员管理机构</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5.17</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5.17</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2080505</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机关事业单位基本养老保险缴费支出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23.81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23.81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卫生健康支出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12.02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12.02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行政事业单位医疗</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12.02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12.02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行政单位医疗</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4.98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4.98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2101102</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事业单位医疗</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2.99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2.99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2101103</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公务员医疗补助</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4.05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4.05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住房保障支出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20.24</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20.24</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22102</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住房改革支出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20.24</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20.24</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2210201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住房公积金</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20.24</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20.24</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9230" w:type="dxa"/>
            <w:gridSpan w:val="10"/>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黑体" w:eastAsia="黑体" w:cs="宋体" w:hAnsi="黑体" w:hint="eastAsia"/>
          <w:bCs/>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934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rPr>
          <w:trHeight w:val="550"/>
        </w:trPr>
        <w:tc>
          <w:tcPr>
            <w:tcW w:w="9346" w:type="dxa"/>
            <w:gridSpan w:val="10"/>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br w:type="page"/>
              <w:t>支出决算表</w:t>
            </w:r>
          </w:p>
        </w:tc>
      </w:tr>
      <w:tr>
        <w:trPr>
          <w:trHeight w:val="300"/>
        </w:trPr>
        <w:tc>
          <w:tcPr>
            <w:tcW w:w="9346" w:type="dxa"/>
            <w:gridSpan w:val="10"/>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i w:val="0"/>
                <w:iCs w:val="0"/>
                <w:color w:val="000000"/>
                <w:kern w:val="0"/>
                <w:sz w:val="20"/>
                <w:szCs w:val="20"/>
                <w:u w:val="none"/>
                <w:lang w:val="en-US" w:eastAsia="zh-CN"/>
                <w:highlight w:val="auto"/>
              </w:rPr>
              <w:t>03</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481" w:type="dxa"/>
            <w:gridSpan w:val="4"/>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部门（单位）：中国共产党正定县委员会老干部局（汇总） </w:t>
            </w:r>
            <w:r>
              <w:rPr>
                <w:rFonts w:ascii="宋体" w:eastAsia="宋体" w:cs="宋体" w:hint="eastAsia"/>
                <w:i w:val="0"/>
                <w:iCs w:val="0"/>
                <w:color w:val="000000"/>
                <w:kern w:val="0"/>
                <w:sz w:val="20"/>
                <w:szCs w:val="20"/>
                <w:u w:val="none"/>
                <w:lang w:val="en-US" w:eastAsia="zh-CN"/>
                <w:highlight w:val="auto"/>
              </w:rPr>
              <w:t xml:space="preserve">                                                                                                         </w:t>
            </w:r>
          </w:p>
        </w:tc>
        <w:tc>
          <w:tcPr>
            <w:tcW w:w="2623"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int="eastAsia"/>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242"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金额单位：万元</w:t>
            </w:r>
          </w:p>
        </w:tc>
      </w:tr>
      <w:tr>
        <w:trPr>
          <w:trHeight w:val="510"/>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128"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本年支出合计</w:t>
            </w:r>
          </w:p>
        </w:tc>
        <w:tc>
          <w:tcPr>
            <w:tcW w:w="1126"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11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c>
          <w:tcPr>
            <w:tcW w:w="1126"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上缴上级支出</w:t>
            </w:r>
          </w:p>
        </w:tc>
        <w:tc>
          <w:tcPr>
            <w:tcW w:w="11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经营支出</w:t>
            </w:r>
          </w:p>
        </w:tc>
        <w:tc>
          <w:tcPr>
            <w:tcW w:w="14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对附属单位补助支出</w:t>
            </w:r>
          </w:p>
        </w:tc>
      </w:tr>
      <w:tr>
        <w:trPr>
          <w:trHeight w:val="308"/>
        </w:trPr>
        <w:tc>
          <w:tcPr>
            <w:tcW w:w="1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1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87" w:type="dxa"/>
            <w:vMerge/>
            <w:tcBorders>
              <w:top w:val="single" w:sz="8" w:space="0" w:color="000000"/>
              <w:left w:val="single" w:sz="8" w:space="0" w:color="000000"/>
              <w:bottom w:val="single" w:sz="8" w:space="0" w:color="000000"/>
              <w:right w:val="single" w:sz="8" w:space="0" w:color="000000"/>
            </w:tcBorders>
            <w:vAlign w:val="center"/>
          </w:tcP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87" w:type="dxa"/>
            <w:vMerge/>
            <w:tcBorders>
              <w:top w:val="single" w:sz="8" w:space="0" w:color="000000"/>
              <w:left w:val="single" w:sz="8" w:space="0" w:color="000000"/>
              <w:bottom w:val="single" w:sz="8" w:space="0" w:color="000000"/>
              <w:right w:val="single" w:sz="8" w:space="0" w:color="000000"/>
            </w:tcBorders>
            <w:vAlign w:val="center"/>
          </w:tcP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454"/>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128"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1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1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4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r>
      <w:tr>
        <w:trPr>
          <w:trHeight w:val="308"/>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615.53</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3.00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一般公共服务支出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444.11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441.11</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444.11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441.11</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行政运行</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344.53</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344.53</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2013650</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事业运行</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95.72</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95.72</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2013699</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3.86</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0.86</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社会保障和就业支出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142.15</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142.15</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行政事业单位养老支出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142.15</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142.15</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行政单位离退休</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50.08</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50.08</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2080502</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事业单位离退休</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63.10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63.10</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2080503</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离退休人员管理机构</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5.17</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5.17</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2080505</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机关事业单位基本养老保险缴费支出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23.81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23.81</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卫生健康支出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12.02</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12.02</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行政事业单位医疗</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12.02</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12.02</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行政单位医疗</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4.98</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4.98</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2101102</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事业单位医疗</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2.99</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2.99</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2101103</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公务员医疗补助</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4.05</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4.05</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住房保障支出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住房改革支出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住房公积金</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9346" w:type="dxa"/>
            <w:gridSpan w:val="10"/>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857" w:type="dxa"/>
        <w:tblW w:w="1170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rPr>
          <w:trHeight w:val="550"/>
        </w:trPr>
        <w:tc>
          <w:tcPr>
            <w:tcW w:w="11709" w:type="dxa"/>
            <w:gridSpan w:val="11"/>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财政拨款收入支出决算总表</w:t>
            </w:r>
          </w:p>
        </w:tc>
      </w:tr>
      <w:tr>
        <w:trPr>
          <w:trHeight w:val="300"/>
        </w:trPr>
        <w:tc>
          <w:tcPr>
            <w:tcW w:w="11709" w:type="dxa"/>
            <w:gridSpan w:val="11"/>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5694" w:type="dxa"/>
            <w:gridSpan w:val="4"/>
            <w:tcBorders>
              <w:top w:val="nil"/>
              <w:left w:val="nil"/>
              <w:bottom w:val="single" w:sz="8" w:space="0" w:color="000000"/>
              <w:right w:val="nil"/>
            </w:tcBorders>
            <w:vAlign w:val="bottom"/>
          </w:tcPr>
          <w:p>
            <w:pPr>
              <w:rPr>
                <w:rFonts w:ascii="仿宋" w:eastAsia="仿宋" w:cs="仿宋" w:hAnsi="仿宋"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部门（单位）：中国共产党正定县委员会老干部局（汇总） </w:t>
            </w:r>
            <w:r>
              <w:rPr>
                <w:rFonts w:ascii="宋体" w:eastAsia="宋体" w:cs="宋体" w:hint="eastAsia"/>
                <w:i w:val="0"/>
                <w:iCs w:val="0"/>
                <w:color w:val="000000"/>
                <w:kern w:val="0"/>
                <w:sz w:val="20"/>
                <w:szCs w:val="20"/>
                <w:u w:val="none"/>
                <w:lang w:val="en-US" w:eastAsia="zh-CN"/>
                <w:highlight w:val="auto"/>
              </w:rPr>
              <w:t xml:space="preserve">                                                                                                   </w:t>
            </w:r>
          </w:p>
        </w:tc>
        <w:tc>
          <w:tcPr>
            <w:tcW w:w="1521" w:type="dxa"/>
            <w:gridSpan w:val="3"/>
            <w:tcBorders>
              <w:top w:val="nil"/>
              <w:left w:val="nil"/>
              <w:bottom w:val="single" w:sz="8" w:space="0" w:color="000000"/>
              <w:right w:val="nil"/>
            </w:tcBorders>
            <w:vAlign w:val="bottom"/>
          </w:tcPr>
          <w:p>
            <w:pPr>
              <w:jc w:val="center"/>
              <w:rPr>
                <w:rFonts w:ascii="宋体" w:eastAsia="宋体" w:cs="宋体"/>
                <w:i w:val="0"/>
                <w:iCs w:val="0"/>
                <w:color w:val="000000"/>
                <w:kern w:val="0"/>
                <w:sz w:val="20"/>
                <w:szCs w:val="20"/>
                <w:u w:val="none"/>
                <w:lang w:val="en-US" w:eastAsia="zh-CN"/>
                <w:highlight w:val="auto"/>
              </w:rPr>
            </w:pPr>
            <w:r>
              <w:rPr>
                <w:rFonts w:ascii="Times New Roman"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4494" w:type="dxa"/>
            <w:gridSpan w:val="4"/>
            <w:tcBorders>
              <w:top w:val="nil"/>
              <w:left w:val="nil"/>
              <w:bottom w:val="single" w:sz="8" w:space="0" w:color="000000"/>
              <w:right w:val="nil"/>
            </w:tcBorders>
            <w:vAlign w:val="bottom"/>
          </w:tcPr>
          <w:p>
            <w:pPr>
              <w:jc w:val="right"/>
              <w:rPr>
                <w:rFonts w:ascii="宋体" w:eastAsia="宋体" w:cs="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08"/>
        </w:trPr>
        <w:tc>
          <w:tcPr>
            <w:tcW w:w="4035"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收入</w:t>
            </w:r>
          </w:p>
        </w:tc>
        <w:tc>
          <w:tcPr>
            <w:tcW w:w="7674" w:type="dxa"/>
            <w:gridSpan w:val="8"/>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支出</w:t>
            </w:r>
          </w:p>
        </w:tc>
      </w:tr>
      <w:tr>
        <w:trPr>
          <w:trHeight w:val="312"/>
        </w:trPr>
        <w:tc>
          <w:tcPr>
            <w:tcW w:w="198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    目</w:t>
            </w:r>
          </w:p>
        </w:tc>
        <w:tc>
          <w:tcPr>
            <w:tcW w:w="62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4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金额</w:t>
            </w:r>
          </w:p>
        </w:tc>
        <w:tc>
          <w:tcPr>
            <w:tcW w:w="2098"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295"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合计</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一般公共预算财政拨款</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政府性基金预算财政拨款</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国有资本经营预算财政拨款</w:t>
            </w:r>
          </w:p>
        </w:tc>
      </w:tr>
      <w:tr>
        <w:trPr>
          <w:trHeight w:val="312"/>
        </w:trPr>
        <w:tc>
          <w:tcPr>
            <w:tcW w:w="1984" w:type="dxa"/>
            <w:vMerge/>
            <w:tcBorders>
              <w:top w:val="single" w:sz="8" w:space="0" w:color="000000"/>
              <w:left w:val="single" w:sz="8" w:space="0" w:color="000000"/>
              <w:bottom w:val="single" w:sz="8" w:space="0" w:color="000000"/>
              <w:right w:val="single" w:sz="8" w:space="0" w:color="000000"/>
            </w:tcBorders>
            <w:vAlign w:val="center"/>
          </w:tcPr>
          <w:p/>
        </w:tc>
        <w:tc>
          <w:tcPr>
            <w:tcW w:w="624" w:type="dxa"/>
            <w:vMerge/>
            <w:tcBorders>
              <w:top w:val="single" w:sz="8" w:space="0" w:color="000000"/>
              <w:left w:val="single" w:sz="8" w:space="0" w:color="000000"/>
              <w:bottom w:val="single" w:sz="8" w:space="0" w:color="000000"/>
              <w:right w:val="single" w:sz="8" w:space="0" w:color="000000"/>
            </w:tcBorders>
            <w:vAlign w:val="center"/>
          </w:tcPr>
          <w:p/>
        </w:tc>
        <w:tc>
          <w:tcPr>
            <w:tcW w:w="1427" w:type="dxa"/>
            <w:vMerge/>
            <w:tcBorders>
              <w:top w:val="single" w:sz="8" w:space="0" w:color="000000"/>
              <w:left w:val="single" w:sz="8" w:space="0" w:color="000000"/>
              <w:bottom w:val="single" w:sz="8" w:space="0" w:color="000000"/>
              <w:right w:val="single" w:sz="8" w:space="0" w:color="000000"/>
            </w:tcBorders>
            <w:vAlign w:val="center"/>
          </w:tcPr>
          <w:p/>
        </w:tc>
        <w:tc>
          <w:tcPr>
            <w:tcW w:w="209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624" w:type="dxa"/>
            <w:vMerge/>
            <w:tcBorders>
              <w:top w:val="single" w:sz="8" w:space="0" w:color="000000"/>
              <w:left w:val="single" w:sz="8" w:space="0" w:color="000000"/>
              <w:bottom w:val="single" w:sz="8" w:space="0" w:color="000000"/>
              <w:right w:val="single" w:sz="8" w:space="0" w:color="000000"/>
            </w:tcBorders>
            <w:vAlign w:val="center"/>
          </w:tcPr>
          <w:p/>
        </w:tc>
        <w:tc>
          <w:tcPr>
            <w:tcW w:w="1295"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    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4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1</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    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2</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3</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4</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5</w:t>
            </w: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一、一般公共服务支出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444.11</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444.11</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二、外交支出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三、国防支出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四、公共安全支出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五、教育支出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六、科学技术支出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七、文化旅游体育与传媒支出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八、社会保障和就业支出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142.15</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142.15</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九、卫生健康支出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12.02</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12.02</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十、节能环保支出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十一、城乡社区支出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十二、农林水支出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十三、交通运输支出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十四、资源勘探工业信息等支出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十五、商业服务业等支出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6"/>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十六、金融支出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41"/>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十七、援助其他地区支出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十八、自然资源海洋气象等支出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十九、住房保障支出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20.24</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20.24</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二十、粮油物资储备支出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二十一、国有资本经营预算支出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二十二、灾害防治及应急管理支出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二十三、其他支出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二十四、债务还本支出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b/>
                <w:bCs/>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二十五、债务付息支出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二十六、抗疫特别国债安排的支出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本年收入合计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本年支出合计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年初财政拨款结转和结余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年末财政拨款结转和结余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both"/>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both"/>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cs="Times New Roman" w:hAnsi="Times New Roman"/>
                <w:sz w:val="20"/>
                <w:szCs w:val="20"/>
                <w:highlight w:val="auto"/>
              </w:rPr>
            </w:pPr>
          </w:p>
          <w:p>
            <w:pPr>
              <w:jc w:val="right"/>
              <w:rPr>
                <w:rFonts w:ascii="Times New Roman" w:cs="Times New Roman" w:hAnsi="Times New Roman"/>
                <w:sz w:val="20"/>
                <w:szCs w:val="20"/>
                <w:highlight w:val="auto"/>
              </w:rPr>
            </w:pPr>
            <w:r>
              <w:rPr>
                <w:rFonts w:ascii="Times New Roman" w:cs="Times New Roman" w:hAnsi="Times New Roman"/>
                <w:sz w:val="20"/>
                <w:szCs w:val="20"/>
                <w:highlight w:val="auto"/>
              </w:rPr>
              <w:t>618.53</w:t>
            </w:r>
          </w:p>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1709" w:type="dxa"/>
            <w:gridSpan w:val="11"/>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657" w:type="dxa"/>
        <w:tblW w:w="8697"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rPr>
          <w:trHeight w:val="657"/>
        </w:trPr>
        <w:tc>
          <w:tcPr>
            <w:tcW w:w="8697" w:type="dxa"/>
            <w:gridSpan w:val="7"/>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一般公共预算财政拨款支出决算表</w:t>
            </w:r>
          </w:p>
        </w:tc>
      </w:tr>
      <w:tr>
        <w:trPr>
          <w:trHeight w:val="329"/>
        </w:trPr>
        <w:tc>
          <w:tcPr>
            <w:tcW w:w="8697" w:type="dxa"/>
            <w:gridSpan w:val="7"/>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29"/>
        </w:trPr>
        <w:tc>
          <w:tcPr>
            <w:tcW w:w="3088" w:type="dxa"/>
            <w:gridSpan w:val="3"/>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部门（单位）：中国共产党正定县委员会老干部局（汇总）</w:t>
            </w:r>
          </w:p>
        </w:tc>
        <w:tc>
          <w:tcPr>
            <w:tcW w:w="2813" w:type="dxa"/>
            <w:gridSpan w:val="2"/>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i w:val="0"/>
                <w:iCs w:val="0"/>
                <w:color w:val="000000"/>
                <w:kern w:val="0"/>
                <w:sz w:val="20"/>
                <w:szCs w:val="20"/>
                <w:u w:val="none"/>
                <w:lang w:val="en-US" w:eastAsia="zh-CN"/>
                <w:highlight w:val="auto"/>
              </w:rPr>
            </w:pPr>
            <w:r>
              <w:rPr>
                <w:rFonts w:ascii="Times New Roman"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2796" w:type="dxa"/>
            <w:gridSpan w:val="2"/>
            <w:tcBorders>
              <w:top w:val="nil"/>
              <w:left w:val="nil"/>
              <w:bottom w:val="single" w:sz="8" w:space="0" w:color="000000"/>
              <w:right w:val="nil"/>
            </w:tcBorders>
            <w:vAlign w:val="bottom"/>
          </w:tcPr>
          <w:p>
            <w:pPr>
              <w:keepNext w:val="0"/>
              <w:keepLines w:val="0"/>
              <w:widowControl/>
              <w:suppressLineNumbers w:val="0"/>
              <w:jc w:val="right"/>
              <w:textAlignment w:val="bottom"/>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10"/>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352" w:type="dxa"/>
            <w:gridSpan w:val="5"/>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w:t>
            </w:r>
          </w:p>
        </w:tc>
      </w:tr>
      <w:tr>
        <w:trPr>
          <w:trHeight w:val="369"/>
        </w:trPr>
        <w:tc>
          <w:tcPr>
            <w:tcW w:w="993" w:type="dxa"/>
            <w:vMerge w:val="restart"/>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科目代码</w:t>
            </w:r>
          </w:p>
        </w:tc>
        <w:tc>
          <w:tcPr>
            <w:tcW w:w="1352"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2117"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小计</w:t>
            </w:r>
          </w:p>
        </w:tc>
        <w:tc>
          <w:tcPr>
            <w:tcW w:w="2118"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2117" w:type="dxa"/>
            <w:vMerge w:val="restart"/>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r>
      <w:tr>
        <w:trPr>
          <w:trHeight w:val="346"/>
        </w:trPr>
        <w:tc>
          <w:tcPr>
            <w:tcW w:w="993" w:type="dxa"/>
            <w:vMerge/>
            <w:tcBorders>
              <w:top w:val="single" w:sz="8" w:space="0" w:color="000000"/>
              <w:left w:val="single" w:sz="8" w:space="0" w:color="auto"/>
              <w:bottom w:val="single" w:sz="8" w:space="0" w:color="000000"/>
              <w:right w:val="single" w:sz="8" w:space="0" w:color="000000"/>
            </w:tcBorders>
            <w:vAlign w:val="center"/>
          </w:tcPr>
          <w:p/>
        </w:tc>
        <w:tc>
          <w:tcPr>
            <w:tcW w:w="1352" w:type="dxa"/>
            <w:vMerge/>
            <w:tcBorders>
              <w:top w:val="single" w:sz="8" w:space="0" w:color="000000"/>
              <w:left w:val="single" w:sz="8" w:space="0" w:color="000000"/>
              <w:bottom w:val="single" w:sz="8" w:space="0" w:color="000000"/>
              <w:right w:val="single" w:sz="8" w:space="0" w:color="000000"/>
            </w:tcBorders>
            <w:vAlign w:val="center"/>
          </w:tcPr>
          <w:p/>
        </w:tc>
        <w:tc>
          <w:tcPr>
            <w:tcW w:w="211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7" w:type="dxa"/>
            <w:vMerge/>
            <w:tcBorders>
              <w:top w:val="single" w:sz="8" w:space="0" w:color="000000"/>
              <w:left w:val="single" w:sz="8" w:space="0" w:color="000000"/>
              <w:bottom w:val="single" w:sz="8" w:space="0" w:color="000000"/>
              <w:right w:val="single" w:sz="8" w:space="0" w:color="auto"/>
            </w:tcBorders>
            <w:vAlign w:val="center"/>
          </w:tcPr>
          <w:p/>
        </w:tc>
      </w:tr>
      <w:tr>
        <w:trPr>
          <w:trHeight w:val="369"/>
        </w:trPr>
        <w:tc>
          <w:tcPr>
            <w:tcW w:w="993" w:type="dxa"/>
            <w:vMerge/>
            <w:tcBorders>
              <w:top w:val="single" w:sz="8" w:space="0" w:color="000000"/>
              <w:left w:val="single" w:sz="8" w:space="0" w:color="auto"/>
              <w:bottom w:val="single" w:sz="8" w:space="0" w:color="000000"/>
              <w:right w:val="single" w:sz="8" w:space="0" w:color="000000"/>
            </w:tcBorders>
            <w:vAlign w:val="center"/>
          </w:tcPr>
          <w:p/>
        </w:tc>
        <w:tc>
          <w:tcPr>
            <w:tcW w:w="1352" w:type="dxa"/>
            <w:vMerge/>
            <w:tcBorders>
              <w:top w:val="single" w:sz="8" w:space="0" w:color="000000"/>
              <w:left w:val="single" w:sz="8" w:space="0" w:color="000000"/>
              <w:bottom w:val="single" w:sz="8" w:space="0" w:color="000000"/>
              <w:right w:val="single" w:sz="8" w:space="0" w:color="000000"/>
            </w:tcBorders>
            <w:vAlign w:val="center"/>
          </w:tcPr>
          <w:p/>
        </w:tc>
        <w:tc>
          <w:tcPr>
            <w:tcW w:w="211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7" w:type="dxa"/>
            <w:vMerge/>
            <w:tcBorders>
              <w:top w:val="single" w:sz="8" w:space="0" w:color="000000"/>
              <w:left w:val="single" w:sz="8" w:space="0" w:color="000000"/>
              <w:bottom w:val="single" w:sz="8" w:space="0" w:color="000000"/>
              <w:right w:val="single" w:sz="8" w:space="0" w:color="auto"/>
            </w:tcBorders>
            <w:vAlign w:val="center"/>
          </w:tcPr>
          <w:p/>
        </w:tc>
      </w:tr>
      <w:tr>
        <w:trPr>
          <w:trHeight w:val="369"/>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2</w:t>
            </w:r>
          </w:p>
        </w:tc>
        <w:tc>
          <w:tcPr>
            <w:tcW w:w="2117" w:type="dxa"/>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3</w:t>
            </w:r>
          </w:p>
        </w:tc>
      </w:tr>
      <w:tr>
        <w:trPr>
          <w:trHeight w:val="369"/>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618.53</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615.53</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3.00</w:t>
            </w: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一般公共服务支出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444.11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441.11</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444.11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441.11</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行政运行</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344.53</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344.53</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2013650</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事业运行</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95.72</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95.72</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2013699</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3.86</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0.86</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社会保障和就业支出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142.15</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142.15</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行政事业单位养老支出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142.15</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142.15</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行政单位离退休</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50.08</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50.08</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2080502</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事业单位离退休</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63.10</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63.10</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2080503</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离退休人员管理机构</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5.17</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5.17</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2080505</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机关事业单位基本养老保险缴费支出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23.81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23.81</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卫生健康支出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12.02</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12.02</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行政事业单位医疗</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12.02</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12.02</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行政单位医疗</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4.98</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4.98</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2101102</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事业单位医疗</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2.99</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2.99</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2101103</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公务员医疗补助</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4.05</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4.05</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住房保障支出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住房改革支出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住房公积金</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20.24</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8697" w:type="dxa"/>
            <w:gridSpan w:val="7"/>
            <w:tcBorders>
              <w:top w:val="single" w:sz="8" w:space="0" w:color="000000"/>
              <w:left w:val="nil"/>
              <w:bottom w:val="nil"/>
              <w:right w:val="nil"/>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11601"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center"/>
              <w:textAlignment w:val="bottom"/>
              <w:rPr>
                <w:rFonts w:ascii="方正仿宋_GB2312" w:eastAsia="方正仿宋_GB2312" w:cs="方正仿宋_GB2312" w:hAnsi="方正仿宋_GB2312"/>
                <w:i w:val="0"/>
                <w:iCs w:val="0"/>
                <w:color w:val="000000"/>
                <w:sz w:val="32"/>
                <w:szCs w:val="32"/>
                <w:u w:val="none"/>
              </w:rPr>
            </w:pPr>
            <w:r>
              <w:rPr>
                <w:rFonts w:ascii="方正仿宋_GB2312" w:eastAsia="方正仿宋_GB2312" w:cs="方正仿宋_GB2312" w:hAnsi="方正仿宋_GB2312" w:hint="eastAsia"/>
                <w:i w:val="0"/>
                <w:iCs w:val="0"/>
                <w:color w:val="000000"/>
                <w:kern w:val="0"/>
                <w:sz w:val="32"/>
                <w:szCs w:val="32"/>
                <w:u w:val="none"/>
                <w:lang w:val="en-US" w:eastAsia="zh-CN"/>
              </w:rPr>
              <w:t>一般公共预算财政拨款基本支出决算明细表</w:t>
            </w:r>
          </w:p>
        </w:tc>
      </w:tr>
      <w:t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right"/>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公开</w:t>
            </w:r>
            <w:r>
              <w:rPr>
                <w:rFonts w:ascii="Times New Roman" w:eastAsia="方正仿宋_GB2312" w:cs="Times New Roman" w:hAnsi="Times New Roman"/>
                <w:i w:val="0"/>
                <w:iCs w:val="0"/>
                <w:color w:val="000000"/>
                <w:kern w:val="0"/>
                <w:sz w:val="18"/>
                <w:szCs w:val="18"/>
                <w:u w:val="none"/>
                <w:lang w:val="en-US" w:eastAsia="zh-CN"/>
              </w:rPr>
              <w:t>06</w:t>
            </w:r>
            <w:r>
              <w:rPr>
                <w:rStyle w:val="27"/>
                <w:lang w:val="en-US" w:eastAsia="zh-CN"/>
              </w:rPr>
              <w:t>表</w:t>
            </w:r>
          </w:p>
        </w:tc>
      </w:tr>
      <w:tr>
        <w:tc>
          <w:tcPr>
            <w:tcW w:w="5615" w:type="dxa"/>
            <w:gridSpan w:val="6"/>
            <w:tcBorders>
              <w:top w:val="nil"/>
              <w:left w:val="nil"/>
              <w:bottom w:val="single" w:sz="8" w:space="0" w:color="000000"/>
              <w:right w:val="nil"/>
            </w:tcBorders>
            <w:shd w:val="clear" w:color="auto" w:fill="auto"/>
            <w:vAlign w:val="bottom"/>
          </w:tcPr>
          <w:p>
            <w:pPr>
              <w:keepNext w:val="0"/>
              <w:keepLines w:val="0"/>
              <w:widowControl/>
              <w:suppressLineNumbers w:val="0"/>
              <w:snapToGrid w:val="0"/>
              <w:jc w:val="both"/>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部门（单位）：中国共产党正定县委员会老干部局（汇总） </w:t>
            </w:r>
            <w:r>
              <w:rPr>
                <w:rFonts w:ascii="宋体" w:eastAsia="宋体" w:cs="宋体" w:hAnsi="宋体" w:hint="eastAsia"/>
                <w:i w:val="0"/>
                <w:iCs w:val="0"/>
                <w:color w:val="000000"/>
                <w:kern w:val="0"/>
                <w:sz w:val="18"/>
                <w:szCs w:val="18"/>
                <w:u w:val="none"/>
                <w:lang w:val="en-US" w:eastAsia="zh-CN"/>
              </w:rPr>
              <w:t xml:space="preserve">                                                                   </w:t>
            </w:r>
          </w:p>
        </w:tc>
        <w:tc>
          <w:tcPr>
            <w:tcW w:w="1774" w:type="dxa"/>
            <w:tcBorders>
              <w:top w:val="nil"/>
              <w:left w:val="nil"/>
              <w:bottom w:val="single" w:sz="8" w:space="0" w:color="000000"/>
              <w:right w:val="nil"/>
            </w:tcBorders>
            <w:shd w:val="clear" w:color="auto" w:fill="auto"/>
            <w:vAlign w:val="bottom"/>
          </w:tcPr>
          <w:p>
            <w:pPr>
              <w:keepNext w:val="0"/>
              <w:keepLines w:val="0"/>
              <w:widowControl/>
              <w:suppressLineNumbers w:val="0"/>
              <w:snapToGrid w:val="0"/>
              <w:jc w:val="center"/>
              <w:textAlignment w:val="bottom"/>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2025</w:t>
            </w:r>
            <w:r>
              <w:rPr>
                <w:rStyle w:val="27"/>
                <w:lang w:val="en-US" w:eastAsia="zh-CN"/>
              </w:rPr>
              <w:t>年度</w:t>
            </w:r>
          </w:p>
        </w:tc>
        <w:tc>
          <w:tcPr>
            <w:tcW w:w="4212" w:type="dxa"/>
            <w:gridSpan w:val="3"/>
            <w:tcBorders>
              <w:top w:val="nil"/>
              <w:left w:val="nil"/>
              <w:bottom w:val="single" w:sz="8" w:space="0" w:color="000000"/>
              <w:right w:val="nil"/>
            </w:tcBorders>
            <w:shd w:val="clear" w:color="auto" w:fill="auto"/>
            <w:vAlign w:val="bottom"/>
          </w:tcPr>
          <w:p>
            <w:pPr>
              <w:keepNext w:val="0"/>
              <w:keepLines w:val="0"/>
              <w:widowControl/>
              <w:suppressLineNumbers w:val="0"/>
              <w:snapToGrid w:val="0"/>
              <w:jc w:val="right"/>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金额单位：万元</w:t>
            </w:r>
          </w:p>
        </w:tc>
      </w:tr>
      <w:tr>
        <w:tc>
          <w:tcPr>
            <w:tcW w:w="3894" w:type="dxa"/>
            <w:gridSpan w:val="3"/>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人员经费</w:t>
            </w:r>
          </w:p>
        </w:tc>
        <w:tc>
          <w:tcPr>
            <w:tcW w:w="7707" w:type="dxa"/>
            <w:gridSpan w:val="7"/>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公用经费</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89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055" w:type="dxa"/>
            <w:gridSpan w:val="2"/>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774"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650"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89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工资福利支出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264.45</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商品和服务支出</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33.51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债务利息及费用支出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基本工资</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79.07</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30201</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办公费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4.05</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30701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国内债务付息</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津贴补贴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38.46</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印刷费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30702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国外债务付息</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奖金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38.11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手续费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资本性支出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1.59</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30106</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伙食补助费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水费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0.74</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房屋建筑物购建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30107</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绩效工资</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41.53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电费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1.60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办公设备购置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1.59</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30108</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机关事业单位基本养老保险缴费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24.41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邮电费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5.69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31003</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专用设备购置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职业年金缴费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取暖费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7.28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31005</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基础设施建设</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30110</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职工基本医疗保险缴费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7.98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30209</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物业管理费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31006</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大型修缮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公务员医疗补助缴费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4.05</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30211</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差旅费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信息网络及软件购置更新</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其他社会保障缴费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0.87</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因公出国（境）费用</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31008</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物资储备</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住房公积金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20.24</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30213</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维修（护）费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0.19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土地补偿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297"/>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30114</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医疗费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租赁费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安置补助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05"/>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30199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其他工资福利支出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9.73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会议费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地上附着物和青苗补偿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对个人和家庭的补助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315.98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培训费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拆迁补偿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离休费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31.90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公务接待费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31013</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公务用车购置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退休费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278.36</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专用材料费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其他交通工具购置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退职（役）费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被装购置费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31021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文物和陈列品购置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30304</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抚恤金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专用燃料费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31022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无形资产购置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530"/>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30305</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生活补助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5.70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劳务费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其他资本性支出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05"/>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30306</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救济费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委托业务费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36"/>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30307</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医疗费补助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工会经费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1.35</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国家赔偿费用支出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90"/>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30308</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助学金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30229</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福利费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3.29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39908</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对民间非营利组织和群众性自治组织补贴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奖励金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0.01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30231</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公务用车运行维护费</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3.25</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经常性赠与</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30310</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个人农业生产补贴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30239</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其他交通费用</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6.08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资本性赠与</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30311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代缴社会保险费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30240</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税金及附加费用</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30399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其他对个人和家庭的补助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30299</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其他商品和服务支出</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snapToGrid w:val="0"/>
              <w:jc w:val="center"/>
              <w:rPr>
                <w:rFonts w:ascii="Times New Roman" w:eastAsia="宋体" w:cs="Times New Roman" w:hAnsi="Times New Roman"/>
                <w:i w:val="0"/>
                <w:iCs w:val="0"/>
                <w:color w:val="000000"/>
                <w:sz w:val="18"/>
                <w:szCs w:val="18"/>
                <w:u w:val="none"/>
              </w:rPr>
            </w:pPr>
          </w:p>
        </w:tc>
        <w:tc>
          <w:tcPr>
            <w:tcW w:w="1650" w:type="dxa"/>
            <w:tcBorders>
              <w:top w:val="nil"/>
              <w:left w:val="nil"/>
              <w:bottom w:val="single" w:sz="8" w:space="0" w:color="000000"/>
              <w:right w:val="single" w:sz="8" w:space="0" w:color="000000"/>
            </w:tcBorders>
            <w:shd w:val="clear" w:color="auto" w:fill="auto"/>
            <w:vAlign w:val="center"/>
          </w:tcPr>
          <w:p>
            <w:pPr>
              <w:snapToGrid w:val="0"/>
              <w:jc w:val="left"/>
              <w:rPr>
                <w:rFonts w:ascii="方正仿宋_GB2312" w:eastAsia="方正仿宋_GB2312" w:cs="方正仿宋_GB2312" w:hAnsi="方正仿宋_GB2312" w:hint="eastAsia"/>
                <w:i w:val="0"/>
                <w:iCs w:val="0"/>
                <w:color w:val="000000"/>
                <w:sz w:val="18"/>
                <w:szCs w:val="18"/>
                <w:u w:val="none"/>
              </w:rPr>
            </w:pPr>
          </w:p>
        </w:tc>
        <w:tc>
          <w:tcPr>
            <w:tcW w:w="1896" w:type="dxa"/>
            <w:tcBorders>
              <w:top w:val="nil"/>
              <w:left w:val="nil"/>
              <w:bottom w:val="single" w:sz="8" w:space="0" w:color="000000"/>
              <w:right w:val="single" w:sz="8" w:space="0" w:color="000000"/>
            </w:tcBorders>
            <w:shd w:val="clear" w:color="auto" w:fill="auto"/>
            <w:vAlign w:val="center"/>
          </w:tcPr>
          <w:p>
            <w:pPr>
              <w:snapToGrid w:val="0"/>
              <w:jc w:val="right"/>
              <w:rPr>
                <w:rFonts w:ascii="Times New Roman" w:eastAsia="宋体" w:cs="Times New Roman" w:hAnsi="Times New Roman"/>
                <w:i w:val="0"/>
                <w:iCs w:val="0"/>
                <w:color w:val="000000"/>
                <w:sz w:val="18"/>
                <w:szCs w:val="18"/>
                <w:u w:val="none"/>
              </w:rPr>
            </w:pPr>
          </w:p>
        </w:tc>
      </w:tr>
      <w:tr>
        <w:tc>
          <w:tcPr>
            <w:tcW w:w="1998" w:type="dxa"/>
            <w:gridSpan w:val="2"/>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人员经费合计</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580.43</w:t>
            </w:r>
          </w:p>
        </w:tc>
        <w:tc>
          <w:tcPr>
            <w:tcW w:w="5811" w:type="dxa"/>
            <w:gridSpan w:val="6"/>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公用经费合计</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35.10</w:t>
            </w:r>
          </w:p>
        </w:tc>
      </w:tr>
      <w:tr>
        <w:tc>
          <w:tcPr>
            <w:tcW w:w="11601" w:type="dxa"/>
            <w:gridSpan w:val="10"/>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404" w:type="dxa"/>
        <w:tblW w:w="1048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rPr>
          <w:trHeight w:val="550"/>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政府性基金预算财政拨款收入支出决算表</w:t>
            </w:r>
          </w:p>
        </w:tc>
      </w:tr>
      <w:tr>
        <w:trPr>
          <w:trHeight w:val="90"/>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i w:val="0"/>
                <w:iCs w:val="0"/>
                <w:color w:val="000000"/>
                <w:kern w:val="0"/>
                <w:sz w:val="20"/>
                <w:szCs w:val="20"/>
                <w:u w:val="none"/>
                <w:lang w:val="en-US" w:eastAsia="zh-CN"/>
                <w:highlight w:val="auto"/>
              </w:rPr>
              <w:t>07</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4040" w:type="dxa"/>
            <w:gridSpan w:val="3"/>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部门（单位）：中国共产党正定县委员会老干部局（汇总） </w:t>
            </w:r>
            <w:r>
              <w:rPr>
                <w:rFonts w:ascii="宋体" w:eastAsia="宋体" w:cs="宋体" w:hAnsi="宋体" w:hint="eastAsia"/>
                <w:i w:val="0"/>
                <w:iCs w:val="0"/>
                <w:color w:val="000000"/>
                <w:kern w:val="0"/>
                <w:sz w:val="20"/>
                <w:szCs w:val="20"/>
                <w:u w:val="none"/>
                <w:lang w:val="en-US" w:eastAsia="zh-CN"/>
                <w:highlight w:val="auto"/>
              </w:rPr>
              <w:t xml:space="preserve">                                                                                     </w:t>
            </w:r>
          </w:p>
        </w:tc>
        <w:tc>
          <w:tcPr>
            <w:tcW w:w="2552"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eastAsia="宋体"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888"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08"/>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30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年初结转和结余</w:t>
            </w:r>
          </w:p>
        </w:tc>
        <w:tc>
          <w:tcPr>
            <w:tcW w:w="10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本年收入</w:t>
            </w:r>
          </w:p>
        </w:tc>
        <w:tc>
          <w:tcPr>
            <w:tcW w:w="3373"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w:t>
            </w:r>
          </w:p>
        </w:tc>
        <w:tc>
          <w:tcPr>
            <w:tcW w:w="2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年末结转和结余</w:t>
            </w:r>
          </w:p>
        </w:tc>
      </w:tr>
      <w:tr>
        <w:trPr>
          <w:trHeight w:val="312"/>
        </w:trPr>
        <w:tc>
          <w:tcPr>
            <w:tcW w:w="126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47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小计</w:t>
            </w:r>
          </w:p>
        </w:tc>
        <w:tc>
          <w:tcPr>
            <w:tcW w:w="1120"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114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260" w:type="dxa"/>
            <w:vMerge/>
            <w:tcBorders>
              <w:top w:val="single" w:sz="8" w:space="0" w:color="000000"/>
              <w:left w:val="single" w:sz="8" w:space="0" w:color="000000"/>
              <w:bottom w:val="single" w:sz="8" w:space="0" w:color="000000"/>
              <w:right w:val="single" w:sz="8" w:space="0" w:color="000000"/>
            </w:tcBorders>
            <w:vAlign w:val="center"/>
          </w:tcPr>
          <w:p/>
        </w:tc>
        <w:tc>
          <w:tcPr>
            <w:tcW w:w="1474" w:type="dxa"/>
            <w:vMerge/>
            <w:tcBorders>
              <w:top w:val="single" w:sz="8" w:space="0" w:color="000000"/>
              <w:left w:val="single" w:sz="8" w:space="0" w:color="000000"/>
              <w:bottom w:val="single" w:sz="8" w:space="0" w:color="000000"/>
              <w:right w:val="single" w:sz="8" w:space="0" w:color="000000"/>
            </w:tcBorders>
            <w:vAlign w:val="center"/>
          </w:tcP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tcBorders>
              <w:top w:val="single" w:sz="8" w:space="0" w:color="000000"/>
              <w:left w:val="single" w:sz="8" w:space="0" w:color="000000"/>
              <w:bottom w:val="single" w:sz="8" w:space="0" w:color="000000"/>
              <w:right w:val="single" w:sz="8" w:space="0" w:color="000000"/>
            </w:tcBorders>
            <w:vAlign w:val="center"/>
          </w:tcPr>
          <w:p/>
        </w:tc>
        <w:tc>
          <w:tcPr>
            <w:tcW w:w="112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46" w:type="dxa"/>
            <w:vMerge/>
            <w:tcBorders>
              <w:top w:val="single" w:sz="8" w:space="0" w:color="000000"/>
              <w:left w:val="single" w:sz="8" w:space="0" w:color="000000"/>
              <w:bottom w:val="single" w:sz="8" w:space="0" w:color="000000"/>
              <w:right w:val="single" w:sz="8" w:space="0" w:color="000000"/>
            </w:tcBorders>
            <w:vAlign w:val="center"/>
          </w:tcP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260" w:type="dxa"/>
            <w:vMerge/>
            <w:tcBorders>
              <w:top w:val="single" w:sz="8" w:space="0" w:color="000000"/>
              <w:left w:val="single" w:sz="8" w:space="0" w:color="000000"/>
              <w:bottom w:val="single" w:sz="8" w:space="0" w:color="000000"/>
              <w:right w:val="single" w:sz="8" w:space="0" w:color="000000"/>
            </w:tcBorders>
            <w:vAlign w:val="center"/>
          </w:tcPr>
          <w:p/>
        </w:tc>
        <w:tc>
          <w:tcPr>
            <w:tcW w:w="1474" w:type="dxa"/>
            <w:vMerge/>
            <w:tcBorders>
              <w:top w:val="single" w:sz="8" w:space="0" w:color="000000"/>
              <w:left w:val="single" w:sz="8" w:space="0" w:color="000000"/>
              <w:bottom w:val="single" w:sz="8" w:space="0" w:color="000000"/>
              <w:right w:val="single" w:sz="8" w:space="0" w:color="000000"/>
            </w:tcBorders>
            <w:vAlign w:val="center"/>
          </w:tcP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tcBorders>
              <w:top w:val="single" w:sz="8" w:space="0" w:color="000000"/>
              <w:left w:val="single" w:sz="8" w:space="0" w:color="000000"/>
              <w:bottom w:val="single" w:sz="8" w:space="0" w:color="000000"/>
              <w:right w:val="single" w:sz="8" w:space="0" w:color="000000"/>
            </w:tcBorders>
            <w:vAlign w:val="center"/>
          </w:tcPr>
          <w:p/>
        </w:tc>
        <w:tc>
          <w:tcPr>
            <w:tcW w:w="112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46" w:type="dxa"/>
            <w:vMerge/>
            <w:tcBorders>
              <w:top w:val="single" w:sz="8" w:space="0" w:color="000000"/>
              <w:left w:val="single" w:sz="8" w:space="0" w:color="000000"/>
              <w:bottom w:val="single" w:sz="8" w:space="0" w:color="000000"/>
              <w:right w:val="single" w:sz="8" w:space="0" w:color="000000"/>
            </w:tcBorders>
            <w:vAlign w:val="center"/>
          </w:tcP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30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1</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2</w:t>
            </w:r>
          </w:p>
        </w:tc>
        <w:tc>
          <w:tcPr>
            <w:tcW w:w="110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3</w:t>
            </w:r>
          </w:p>
        </w:tc>
        <w:tc>
          <w:tcPr>
            <w:tcW w:w="112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4</w:t>
            </w:r>
          </w:p>
        </w:tc>
        <w:tc>
          <w:tcPr>
            <w:tcW w:w="11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5</w:t>
            </w:r>
          </w:p>
        </w:tc>
        <w:tc>
          <w:tcPr>
            <w:tcW w:w="20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lang w:val="en-US" w:eastAsia="zh-CN"/>
                <w:highlight w:val="auto"/>
              </w:rPr>
            </w:pPr>
            <w:r>
              <w:rPr>
                <w:rFonts w:ascii="Times New Roman" w:eastAsia="方正仿宋_GB2312" w:cs="Times New Roman" w:hAnsi="Times New Roman"/>
                <w:i w:val="0"/>
                <w:iCs w:val="0"/>
                <w:color w:val="000000"/>
                <w:sz w:val="20"/>
                <w:szCs w:val="20"/>
                <w:u w:val="none"/>
                <w:lang w:val="en-US" w:eastAsia="zh-CN"/>
                <w:highlight w:val="auto"/>
              </w:rPr>
              <w:t>6</w:t>
            </w:r>
          </w:p>
        </w:tc>
      </w:tr>
      <w:tr>
        <w:trPr>
          <w:trHeight w:val="869"/>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30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0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0"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40"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80" w:type="dxa"/>
            <w:gridSpan w:val="9"/>
            <w:tcBorders>
              <w:top w:val="single" w:sz="8" w:space="0" w:color="000000"/>
              <w:left w:val="nil"/>
              <w:bottom w:val="nil"/>
              <w:right w:val="nil"/>
            </w:tcBorders>
            <w:vAlign w:val="center"/>
          </w:tcPr>
          <w:p>
            <w:pP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注：本表反映部门本年度政府性基金预算财政拨款收入、支出及结转和结余情况。我部门本年度无相关数据，空表列示</w:t>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976" w:type="dxa"/>
        <w:tblW w:w="942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rPr>
          <w:trHeight w:val="550"/>
        </w:trPr>
        <w:tc>
          <w:tcPr>
            <w:tcW w:w="9428" w:type="dxa"/>
            <w:gridSpan w:val="9"/>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国有资本经营预算财政拨款支出决算表</w:t>
            </w:r>
          </w:p>
        </w:tc>
      </w:tr>
      <w:tr>
        <w:trPr>
          <w:trHeight w:val="300"/>
        </w:trPr>
        <w:tc>
          <w:tcPr>
            <w:tcW w:w="9428" w:type="dxa"/>
            <w:gridSpan w:val="9"/>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08</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724" w:type="dxa"/>
            <w:gridSpan w:val="2"/>
            <w:tcBorders>
              <w:top w:val="nil"/>
              <w:left w:val="nil"/>
              <w:bottom w:val="single" w:sz="8" w:space="0" w:color="000000"/>
              <w:right w:val="nil"/>
            </w:tcBorders>
            <w:vAlign w:val="bottom"/>
          </w:tcPr>
          <w:p>
            <w:pPr>
              <w:keepNext w:val="0"/>
              <w:keepLines w:val="0"/>
              <w:widowControl/>
              <w:suppressLineNumbers w:val="0"/>
              <w:jc w:val="both"/>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部门（单位）：中国共产党正定县委员会老干部局（汇总）</w:t>
            </w:r>
          </w:p>
        </w:tc>
        <w:tc>
          <w:tcPr>
            <w:tcW w:w="2680" w:type="dxa"/>
            <w:gridSpan w:val="4"/>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eastAsia="宋体"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024"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12"/>
        </w:trPr>
        <w:tc>
          <w:tcPr>
            <w:tcW w:w="5020" w:type="dxa"/>
            <w:gridSpan w:val="3"/>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项目</w:t>
            </w:r>
          </w:p>
        </w:tc>
        <w:tc>
          <w:tcPr>
            <w:tcW w:w="4408" w:type="dxa"/>
            <w:gridSpan w:val="6"/>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本年支出</w:t>
            </w:r>
          </w:p>
        </w:tc>
      </w:tr>
      <w:tr>
        <w:trPr>
          <w:trHeight w:val="312"/>
        </w:trPr>
        <w:tc>
          <w:tcPr>
            <w:tcW w:w="5020" w:type="dxa"/>
            <w:gridSpan w:val="3"/>
            <w:vMerge/>
            <w:tcBorders>
              <w:top w:val="single" w:sz="8" w:space="0" w:color="000000"/>
              <w:left w:val="single" w:sz="8" w:space="0" w:color="000000"/>
              <w:bottom w:val="single" w:sz="8" w:space="0" w:color="000000"/>
              <w:right w:val="single" w:sz="8" w:space="0" w:color="000000"/>
            </w:tcBorders>
            <w:vAlign w:val="center"/>
          </w:tcPr>
          <w:p/>
        </w:tc>
        <w:tc>
          <w:tcPr>
            <w:tcW w:w="4408" w:type="dxa"/>
            <w:gridSpan w:val="6"/>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2993" w:type="dxa"/>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2027" w:type="dxa"/>
            <w:gridSpan w:val="2"/>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科目名称</w:t>
            </w:r>
          </w:p>
        </w:tc>
        <w:tc>
          <w:tcPr>
            <w:tcW w:w="1337" w:type="dxa"/>
            <w:gridSpan w:val="2"/>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合计</w:t>
            </w:r>
          </w:p>
        </w:tc>
        <w:tc>
          <w:tcPr>
            <w:tcW w:w="1338" w:type="dxa"/>
            <w:gridSpan w:val="3"/>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基本支出</w:t>
            </w:r>
          </w:p>
        </w:tc>
        <w:tc>
          <w:tcPr>
            <w:tcW w:w="1733" w:type="dxa"/>
            <w:vMerge w:val="restart"/>
            <w:tcBorders>
              <w:top w:val="single" w:sz="8" w:space="0" w:color="000000"/>
              <w:left w:val="single" w:sz="8" w:space="0" w:color="000000"/>
              <w:bottom w:val="single" w:sz="8" w:space="0" w:color="000000"/>
              <w:right w:val="single" w:sz="4"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项目支出</w:t>
            </w:r>
          </w:p>
        </w:tc>
      </w:tr>
      <w:tr>
        <w:trPr>
          <w:trHeight w:val="312"/>
        </w:trPr>
        <w:tc>
          <w:tcPr>
            <w:tcW w:w="2993" w:type="dxa"/>
            <w:vMerge/>
            <w:tcBorders>
              <w:top w:val="single" w:sz="8" w:space="0" w:color="000000"/>
              <w:left w:val="single" w:sz="8" w:space="0" w:color="000000"/>
              <w:bottom w:val="single" w:sz="8" w:space="0" w:color="000000"/>
              <w:right w:val="single" w:sz="8" w:space="0" w:color="000000"/>
            </w:tcBorders>
            <w:vAlign w:val="center"/>
          </w:tcPr>
          <w:p/>
        </w:tc>
        <w:tc>
          <w:tcPr>
            <w:tcW w:w="202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33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338" w:type="dxa"/>
            <w:gridSpan w:val="3"/>
            <w:vMerge/>
            <w:tcBorders>
              <w:top w:val="single" w:sz="8" w:space="0" w:color="000000"/>
              <w:left w:val="single" w:sz="8" w:space="0" w:color="000000"/>
              <w:bottom w:val="single" w:sz="8" w:space="0" w:color="000000"/>
              <w:right w:val="single" w:sz="8" w:space="0" w:color="000000"/>
            </w:tcBorders>
            <w:vAlign w:val="center"/>
          </w:tcPr>
          <w:p/>
        </w:tc>
        <w:tc>
          <w:tcPr>
            <w:tcW w:w="1733" w:type="dxa"/>
            <w:vMerge/>
            <w:tcBorders>
              <w:top w:val="single" w:sz="8" w:space="0" w:color="000000"/>
              <w:left w:val="single" w:sz="8" w:space="0" w:color="000000"/>
              <w:bottom w:val="single" w:sz="8" w:space="0" w:color="000000"/>
              <w:right w:val="single" w:sz="4" w:space="0" w:color="000000"/>
            </w:tcBorders>
            <w:vAlign w:val="center"/>
          </w:tcPr>
          <w:p/>
        </w:tc>
      </w:tr>
      <w:tr>
        <w:trPr>
          <w:trHeight w:val="308"/>
        </w:trPr>
        <w:tc>
          <w:tcPr>
            <w:tcW w:w="5020"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栏次</w:t>
            </w:r>
          </w:p>
        </w:tc>
        <w:tc>
          <w:tcPr>
            <w:tcW w:w="1332"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1</w:t>
            </w:r>
          </w:p>
        </w:tc>
        <w:tc>
          <w:tcPr>
            <w:tcW w:w="1333"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2</w:t>
            </w:r>
          </w:p>
        </w:tc>
        <w:tc>
          <w:tcPr>
            <w:tcW w:w="1743" w:type="dxa"/>
            <w:gridSpan w:val="2"/>
            <w:tcBorders>
              <w:top w:val="single" w:sz="8" w:space="0" w:color="000000"/>
              <w:left w:val="single" w:sz="8" w:space="0" w:color="000000"/>
              <w:bottom w:val="single" w:sz="8" w:space="0" w:color="000000"/>
              <w:right w:val="single" w:sz="4"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3</w:t>
            </w:r>
          </w:p>
        </w:tc>
      </w:tr>
      <w:tr>
        <w:trPr>
          <w:trHeight w:val="308"/>
        </w:trPr>
        <w:tc>
          <w:tcPr>
            <w:tcW w:w="5020" w:type="dxa"/>
            <w:gridSpan w:val="3"/>
            <w:tcBorders>
              <w:top w:val="single" w:sz="8" w:space="0" w:color="000000"/>
              <w:left w:val="single" w:sz="8" w:space="0" w:color="000000"/>
              <w:bottom w:val="single" w:sz="8" w:space="0" w:color="000000"/>
              <w:right w:val="single" w:sz="8" w:space="0" w:color="000000"/>
            </w:tcBorders>
            <w:vAlign w:val="center"/>
          </w:tcPr>
          <w:p>
            <w:pPr>
              <w:jc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合计</w:t>
            </w:r>
          </w:p>
        </w:tc>
        <w:tc>
          <w:tcPr>
            <w:tcW w:w="1332"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333" w:type="dxa"/>
            <w:gridSpan w:val="3"/>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743" w:type="dxa"/>
            <w:gridSpan w:val="2"/>
            <w:tcBorders>
              <w:top w:val="single" w:sz="8" w:space="0" w:color="000000"/>
              <w:left w:val="single" w:sz="8" w:space="0" w:color="000000"/>
              <w:bottom w:val="single" w:sz="8" w:space="0" w:color="000000"/>
              <w:right w:val="single" w:sz="4"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9428" w:type="dxa"/>
            <w:gridSpan w:val="9"/>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注：本表反映部门本年度国有资本经营预算财政拨款支出情况。我部门本年度无相关数据，空表列示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tblpPr w:leftFromText="180" w:rightFromText="180" w:vertAnchor="text" w:horzAnchor="page" w:tblpX="282" w:tblpY="39"/>
        <w:tblOverlap w:val="never"/>
        <w:tblW w:w="1159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rPr>
          <w:trHeight w:val="550"/>
        </w:trPr>
        <w:tc>
          <w:tcPr>
            <w:tcW w:w="11596" w:type="dxa"/>
            <w:gridSpan w:val="14"/>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财政拨款“三公”经费支出决算表</w:t>
            </w:r>
          </w:p>
        </w:tc>
      </w:tr>
      <w:tr>
        <w:trPr>
          <w:trHeight w:val="260"/>
        </w:trPr>
        <w:tc>
          <w:tcPr>
            <w:tcW w:w="11596" w:type="dxa"/>
            <w:gridSpan w:val="14"/>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公开</w:t>
            </w:r>
            <w:r>
              <w:rPr>
                <w:rFonts w:ascii="Times New Roman" w:eastAsia="方正仿宋_GB2312" w:cs="Times New Roman" w:hAnsi="Times New Roman"/>
                <w:i w:val="0"/>
                <w:iCs w:val="0"/>
                <w:color w:val="000000"/>
                <w:kern w:val="0"/>
                <w:sz w:val="18"/>
                <w:szCs w:val="18"/>
                <w:u w:val="none"/>
                <w:lang w:val="en-US" w:eastAsia="zh-CN"/>
                <w:highlight w:val="auto"/>
              </w:rPr>
              <w:t>09</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表</w:t>
            </w:r>
          </w:p>
        </w:tc>
      </w:tr>
      <w:tr>
        <w:trPr>
          <w:trHeight w:val="260"/>
        </w:trPr>
        <w:tc>
          <w:tcPr>
            <w:tcW w:w="4492" w:type="dxa"/>
            <w:gridSpan w:val="5"/>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部门（单位）：中国共产党正定县委员会老干部局（汇总）</w:t>
            </w:r>
          </w:p>
        </w:tc>
        <w:tc>
          <w:tcPr>
            <w:tcW w:w="2166"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18"/>
                <w:szCs w:val="18"/>
                <w:u w:val="none"/>
                <w:lang w:val="en-US" w:eastAsia="zh-CN"/>
                <w:highlight w:val="auto"/>
              </w:rPr>
            </w:pPr>
            <w:r>
              <w:rPr>
                <w:rFonts w:ascii="Times New Roman" w:eastAsia="宋体" w:cs="Times New Roman" w:hAnsi="Times New Roman"/>
                <w:i w:val="0"/>
                <w:iCs w:val="0"/>
                <w:color w:val="000000"/>
                <w:kern w:val="0"/>
                <w:sz w:val="18"/>
                <w:szCs w:val="18"/>
                <w:u w:val="none"/>
                <w:lang w:val="en-US" w:eastAsia="zh-CN"/>
                <w:highlight w:val="auto"/>
              </w:rPr>
              <w:t>202</w:t>
            </w:r>
            <w:r>
              <w:rPr>
                <w:rFonts w:ascii="Times New Roman" w:eastAsia="宋体" w:cs="Times New Roman" w:hAnsi="Times New Roman" w:hint="eastAsia"/>
                <w:i w:val="0"/>
                <w:iCs w:val="0"/>
                <w:color w:val="000000"/>
                <w:kern w:val="0"/>
                <w:sz w:val="18"/>
                <w:szCs w:val="18"/>
                <w:u w:val="none"/>
                <w:lang w:val="en-US" w:eastAsia="zh-CN"/>
                <w:highlight w:val="auto"/>
              </w:rPr>
              <w:t>5</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年度</w:t>
            </w:r>
          </w:p>
        </w:tc>
        <w:tc>
          <w:tcPr>
            <w:tcW w:w="4938" w:type="dxa"/>
            <w:gridSpan w:val="6"/>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18"/>
                <w:szCs w:val="18"/>
                <w:u w:val="none"/>
                <w:lang w:val="en-US" w:eastAsia="zh-CN"/>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金额单位：万元</w:t>
            </w:r>
          </w:p>
        </w:tc>
      </w:tr>
      <w:tr>
        <w:trPr>
          <w:trHeight w:val="431"/>
        </w:trPr>
        <w:tc>
          <w:tcPr>
            <w:tcW w:w="5813" w:type="dxa"/>
            <w:gridSpan w:val="7"/>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预算数</w:t>
            </w:r>
          </w:p>
        </w:tc>
        <w:tc>
          <w:tcPr>
            <w:tcW w:w="5783" w:type="dxa"/>
            <w:gridSpan w:val="7"/>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决算数</w:t>
            </w:r>
          </w:p>
        </w:tc>
      </w:tr>
      <w:tr>
        <w:trPr>
          <w:trHeight w:val="431"/>
        </w:trPr>
        <w:tc>
          <w:tcPr>
            <w:tcW w:w="9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合计</w:t>
            </w:r>
          </w:p>
        </w:tc>
        <w:tc>
          <w:tcPr>
            <w:tcW w:w="12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w:t>
            </w:r>
          </w:p>
        </w:tc>
        <w:tc>
          <w:tcPr>
            <w:tcW w:w="2823"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公务用车购置及运行维护费</w:t>
            </w:r>
          </w:p>
        </w:tc>
        <w:tc>
          <w:tcPr>
            <w:tcW w:w="77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c>
          <w:tcPr>
            <w:tcW w:w="850"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合计</w:t>
            </w:r>
          </w:p>
        </w:tc>
        <w:tc>
          <w:tcPr>
            <w:tcW w:w="1133"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w:t>
            </w:r>
          </w:p>
        </w:tc>
        <w:tc>
          <w:tcPr>
            <w:tcW w:w="2613"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公务用车购置及运行维护费</w:t>
            </w:r>
          </w:p>
        </w:tc>
        <w:tc>
          <w:tcPr>
            <w:tcW w:w="11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r>
      <w:tr>
        <w:trPr>
          <w:trHeight w:val="431"/>
        </w:trPr>
        <w:tc>
          <w:tcPr>
            <w:tcW w:w="987" w:type="dxa"/>
            <w:vMerge/>
            <w:tcBorders>
              <w:top w:val="single" w:sz="8" w:space="0" w:color="000000"/>
              <w:left w:val="single" w:sz="8" w:space="0" w:color="000000"/>
              <w:bottom w:val="single" w:sz="8" w:space="0" w:color="000000"/>
              <w:right w:val="single" w:sz="8" w:space="0" w:color="000000"/>
            </w:tcBorders>
            <w:vAlign w:val="center"/>
          </w:tcPr>
          <w:p/>
        </w:tc>
        <w:tc>
          <w:tcPr>
            <w:tcW w:w="1226" w:type="dxa"/>
            <w:vMerge/>
            <w:tcBorders>
              <w:top w:val="single" w:sz="8" w:space="0" w:color="000000"/>
              <w:left w:val="single" w:sz="8" w:space="0" w:color="000000"/>
              <w:bottom w:val="single" w:sz="8" w:space="0" w:color="000000"/>
              <w:right w:val="single" w:sz="8" w:space="0" w:color="000000"/>
            </w:tcBorders>
            <w:vAlign w:val="center"/>
          </w:tcPr>
          <w:p/>
        </w:tc>
        <w:tc>
          <w:tcPr>
            <w:tcW w:w="81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小计</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公务用车购置费</w:t>
            </w: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777" w:type="dxa"/>
            <w:vMerge/>
            <w:tcBorders>
              <w:top w:val="single" w:sz="8" w:space="0" w:color="000000"/>
              <w:left w:val="single" w:sz="8" w:space="0" w:color="000000"/>
              <w:bottom w:val="single" w:sz="8" w:space="0" w:color="000000"/>
              <w:right w:val="single" w:sz="8" w:space="0" w:color="000000"/>
            </w:tcBorders>
            <w:vAlign w:val="center"/>
          </w:tcPr>
          <w:p/>
        </w:tc>
        <w:tc>
          <w:tcPr>
            <w:tcW w:w="85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33" w:type="dxa"/>
            <w:vMerge/>
            <w:tcBorders>
              <w:top w:val="single" w:sz="8" w:space="0" w:color="000000"/>
              <w:left w:val="single" w:sz="8" w:space="0" w:color="000000"/>
              <w:bottom w:val="single" w:sz="8" w:space="0" w:color="000000"/>
              <w:right w:val="single" w:sz="8" w:space="0" w:color="000000"/>
            </w:tcBorders>
            <w:vAlign w:val="center"/>
          </w:tcPr>
          <w:p/>
        </w:tc>
        <w:tc>
          <w:tcPr>
            <w:tcW w:w="6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小计</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公务用车购置费</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1187" w:type="dxa"/>
            <w:vMerge/>
            <w:tcBorders>
              <w:top w:val="single" w:sz="8" w:space="0" w:color="000000"/>
              <w:left w:val="single" w:sz="8" w:space="0" w:color="000000"/>
              <w:bottom w:val="single" w:sz="8" w:space="0" w:color="000000"/>
              <w:right w:val="single" w:sz="8" w:space="0" w:color="000000"/>
            </w:tcBorders>
            <w:vAlign w:val="center"/>
          </w:tcPr>
          <w:p/>
        </w:tc>
      </w:tr>
      <w:tr>
        <w:trPr>
          <w:trHeight w:val="431"/>
        </w:trPr>
        <w:tc>
          <w:tcPr>
            <w:tcW w:w="9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w:t>
            </w:r>
          </w:p>
        </w:tc>
        <w:tc>
          <w:tcPr>
            <w:tcW w:w="12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2</w:t>
            </w:r>
          </w:p>
        </w:tc>
        <w:tc>
          <w:tcPr>
            <w:tcW w:w="81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3</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4</w:t>
            </w: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5</w:t>
            </w:r>
          </w:p>
        </w:tc>
        <w:tc>
          <w:tcPr>
            <w:tcW w:w="77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6</w:t>
            </w: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7</w:t>
            </w:r>
          </w:p>
        </w:tc>
        <w:tc>
          <w:tcPr>
            <w:tcW w:w="1133"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8</w:t>
            </w:r>
          </w:p>
        </w:tc>
        <w:tc>
          <w:tcPr>
            <w:tcW w:w="6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9</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10</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11</w:t>
            </w:r>
          </w:p>
        </w:tc>
        <w:tc>
          <w:tcPr>
            <w:tcW w:w="11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12</w:t>
            </w:r>
          </w:p>
        </w:tc>
      </w:tr>
      <w:tr>
        <w:trPr>
          <w:trHeight w:val="431"/>
        </w:trPr>
        <w:tc>
          <w:tcPr>
            <w:tcW w:w="9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3.</w:t>
            </w:r>
            <w:r>
              <w:rPr>
                <w:rFonts w:ascii="Times New Roman" w:eastAsia="方正仿宋_GB2312" w:cs="Times New Roman" w:hAnsi="Times New Roman" w:hint="eastAsia"/>
                <w:i w:val="0"/>
                <w:iCs w:val="0"/>
                <w:color w:val="000000"/>
                <w:sz w:val="18"/>
                <w:szCs w:val="18"/>
                <w:u w:val="none"/>
                <w:lang w:val="en-US" w:eastAsia="zh-CN"/>
                <w:highlight w:val="auto"/>
              </w:rPr>
              <w:t>42</w:t>
            </w:r>
          </w:p>
        </w:tc>
        <w:tc>
          <w:tcPr>
            <w:tcW w:w="12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81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3.</w:t>
            </w:r>
            <w:r>
              <w:rPr>
                <w:rFonts w:ascii="Times New Roman" w:eastAsia="方正仿宋_GB2312" w:cs="Times New Roman" w:hAnsi="Times New Roman" w:hint="eastAsia"/>
                <w:i w:val="0"/>
                <w:iCs w:val="0"/>
                <w:color w:val="000000"/>
                <w:sz w:val="18"/>
                <w:szCs w:val="18"/>
                <w:u w:val="none"/>
                <w:lang w:val="en-US" w:eastAsia="zh-CN"/>
                <w:highlight w:val="auto"/>
              </w:rPr>
              <w:t>42</w:t>
            </w:r>
          </w:p>
        </w:tc>
        <w:tc>
          <w:tcPr>
            <w:tcW w:w="9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3.</w:t>
            </w:r>
            <w:r>
              <w:rPr>
                <w:rFonts w:ascii="Times New Roman" w:eastAsia="方正仿宋_GB2312" w:cs="Times New Roman" w:hAnsi="Times New Roman" w:hint="eastAsia"/>
                <w:i w:val="0"/>
                <w:iCs w:val="0"/>
                <w:color w:val="000000"/>
                <w:sz w:val="18"/>
                <w:szCs w:val="18"/>
                <w:u w:val="none"/>
                <w:lang w:val="en-US" w:eastAsia="zh-CN"/>
                <w:highlight w:val="auto"/>
              </w:rPr>
              <w:t>42</w:t>
            </w:r>
          </w:p>
        </w:tc>
        <w:tc>
          <w:tcPr>
            <w:tcW w:w="77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3.25</w:t>
            </w:r>
          </w:p>
        </w:tc>
        <w:tc>
          <w:tcPr>
            <w:tcW w:w="1133"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640"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3.25</w:t>
            </w: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9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3.25</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r>
      <w:tr>
        <w:trPr>
          <w:trHeight w:val="431"/>
        </w:trPr>
        <w:tc>
          <w:tcPr>
            <w:tcW w:w="11596" w:type="dxa"/>
            <w:gridSpan w:val="14"/>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sectPr>
          <w:headerReference w:type="default" r:id="rId9"/>
          <w:footerReference w:type="default" r:id="rId10"/>
          <w:pgSz w:w="11906" w:h="16838"/>
          <w:pgMar w:top="1531" w:right="1984" w:bottom="1531" w:left="2098" w:header="851" w:footer="992" w:gutter="0"/>
          <w:docGrid w:type="lines" w:linePitch="312" w:charSpace="0"/>
        </w:sect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第三部分</w:t>
      </w:r>
      <w:r>
        <w:rPr>
          <w:rFonts w:ascii="Times New Roman" w:eastAsia="仿宋_GB2312" w:hAnsi="Times New Roman"/>
          <w:b w:val="0"/>
          <w:sz w:val="44"/>
          <w:szCs w:val="44"/>
        </w:rPr>
        <w:t>2025</w:t>
      </w:r>
      <w:r>
        <w:rPr>
          <w:rFonts w:ascii="Times New Roman" w:eastAsia="黑体" w:hAnsi="Times New Roman"/>
          <w:b w:val="0"/>
          <w:sz w:val="44"/>
          <w:szCs w:val="44"/>
        </w:rPr>
        <w:t>年度部门决算情况说明</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sectPr>
          <w:footerReference w:type="default" r:id="rId11"/>
          <w:pgSz w:w="11906" w:h="16838"/>
          <w:pgMar w:top="2098" w:right="1417" w:bottom="1871" w:left="1417" w:header="851" w:footer="992" w:gutter="0"/>
          <w:rtlGutter/>
          <w:docGrid w:type="lines" w:linePitch="329" w:charSpace="0"/>
        </w:sect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本部门2025年度收、支总计（含结转和结余）均为618.53万元。与2024年度决算相比，收支各增加75.37万元，增长13.9%，主要原因是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Arial" w:cs="Times New Roman" w:hAnsi="Times New Roman"/>
          <w:highlight w:val="auto"/>
        </w:rPr>
      </w:pPr>
      <w:r>
        <w:rPr>
          <w:rFonts w:ascii="Times New Roman" w:eastAsia="宋体" w:hAnsi="Times New Roman" w:hint="eastAsia"/>
        </w:rPr>
        <w:drawing>
          <wp:inline distT="0" distB="0" distL="114300" distR="114300">
            <wp:extent cx="5256530" cy="2988310"/>
            <wp:effectExtent l="0" t="0" r="0" b="0"/>
            <wp:docPr id="7" name="图表 5"/>
            <wp:cNvGraphicFramePr>
              <a:graphicFrameLocks noChangeAspect="0"/>
            </wp:cNvGraphicFramePr>
            <a:graphic>
              <a:graphicData uri="http://schemas.openxmlformats.org/drawingml/2006/chart">
                <c:chart xmlns:c="http://schemas.openxmlformats.org/drawingml/2006/chart" r:id="rId12"/>
              </a:graphicData>
            </a:graphic>
          </wp:inline>
        </w:drawing>
      </w:r>
      <w:r>
        <w:rPr>
          <w:rFonts w:ascii="Times New Roman" w:eastAsia="Arial" w:cs="Times New Roman" w:hAnsi="Times New Roman"/>
          <w:i w:val="0"/>
          <w:iCs w:val="0"/>
          <w:caps w:val="0"/>
          <w:smallCaps w:val="0"/>
          <w:color w:val="000000"/>
          <w:spacing w:val="0"/>
          <w:sz w:val="18"/>
          <w:szCs w:val="18"/>
          <w:shd w:val="clear" w:color="auto" w:fill="FFFFFF"/>
          <w:highlight w:val="auto"/>
        </w:rPr>
        <w:t> </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本年收入合计618.53万元，其中：财政拨款收入618.53万元，占100.0%；上级补助收入0.00万元，占0.0%；事业收入0.00万元，占0.0%；经营收入0.00万元，占0.0%；附属单位上缴收入0.00万元，占0.0%；其他收入0.00万元，占0.0%。</w:t>
      </w:r>
    </w:p>
    <w:p>
      <w:pPr>
        <w:adjustRightInd w:val="0"/>
        <w:snapToGrid w:val="0"/>
        <w:spacing w:line="580" w:lineRule="exact"/>
        <w:jc w:val="both"/>
        <w:rPr>
          <w:rFonts w:ascii="Times New Roman" w:eastAsia="仿宋_GB2312" w:cs="Times New Roman" w:hAnsi="Times New Roman"/>
          <w:kern w:val="2"/>
          <w:sz w:val="32"/>
          <w:szCs w:val="32"/>
          <w:lang w:val="zh-CN"/>
          <w:highlight w:val="yellow"/>
        </w:rPr>
      </w:pPr>
      <w:r>
        <w:rPr>
          <w:rFonts w:ascii="Times New Roman" w:eastAsia="仿宋_GB2312" w:hAnsi="Times New Roman"/>
          <w:kern w:val="2"/>
          <w:sz w:val="32"/>
          <w:szCs w:val="32"/>
          <w:lang w:val="zh-CN"/>
          <w:highlight w:val="yellow"/>
        </w:rPr>
        <w:drawing>
          <wp:anchor distT="0" distB="0" distL="114300" distR="114300" simplePos="0" relativeHeight="30" behindDoc="0" locked="0" layoutInCell="1" hidden="0" allowOverlap="1">
            <wp:simplePos x="0" y="0"/>
            <wp:positionH relativeFrom="column">
              <wp:posOffset>-16510</wp:posOffset>
            </wp:positionH>
            <wp:positionV relativeFrom="paragraph">
              <wp:posOffset>201930</wp:posOffset>
            </wp:positionV>
            <wp:extent cx="5256530" cy="2988310"/>
            <wp:effectExtent l="0" t="0" r="0" b="0"/>
            <wp:wrapTopAndBottom/>
            <wp:docPr id="8" name="图表 9"/>
            <wp:cNvGraphicFramePr>
              <a:graphicFrameLocks noChangeAspect="0"/>
            </wp:cNvGraphicFramePr>
            <a:graphic>
              <a:graphicData uri="http://schemas.openxmlformats.org/drawingml/2006/chart">
                <c:chart xmlns:c="http://schemas.openxmlformats.org/drawingml/2006/chart" r:id="rId13"/>
              </a:graphicData>
            </a:graphic>
          </wp:anchor>
        </w:drawing>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本部门2025年度本年支出合计618.53万元，其中：基本支出615.53万元，占99.5%；项目支出3.00万元，占0.5%；经营支出0.00万元，占0.0%；上缴上级支出0.00万元，占0.0%；对附属单位补助支出0.00万元，占0.0%。</w:t>
      </w:r>
    </w:p>
    <w:p>
      <w:pPr>
        <w:autoSpaceDE w:val="0"/>
        <w:autoSpaceDN w:val="0"/>
        <w:adjustRightInd w:val="0"/>
        <w:jc w:val="center"/>
        <w:rPr>
          <w:rFonts w:ascii="Times New Roman" w:eastAsia="仿宋_GB2312" w:cs="Times New Roman" w:hAnsi="Times New Roman"/>
          <w:color w:val="auto"/>
          <w:kern w:val="0"/>
          <w:sz w:val="32"/>
          <w:szCs w:val="32"/>
          <w:lang w:val="en-US" w:eastAsia="zh-CN" w:bidi="ar-SA"/>
          <w:highlight w:val="auto"/>
        </w:rPr>
      </w:pPr>
      <w:r>
        <w:rPr>
          <w:rFonts w:ascii="Times New Roman" w:eastAsia="仿宋_GB2312" w:cs="Times New Roman" w:hAnsi="Times New Roman"/>
          <w:sz w:val="32"/>
          <w:szCs w:val="32"/>
          <w:highlight w:val="auto"/>
        </w:rPr>
        <w:drawing>
          <wp:inline distT="0" distB="0" distL="114300" distR="114300">
            <wp:extent cx="5256530" cy="2988310"/>
            <wp:effectExtent l="0" t="0" r="0" b="0"/>
            <wp:docPr id="9" name="图表 7"/>
            <wp:cNvGraphicFramePr>
              <a:graphicFrameLocks noChangeAspect="0"/>
            </wp:cNvGraphicFramePr>
            <a:graphic>
              <a:graphicData uri="http://schemas.openxmlformats.org/drawingml/2006/chart">
                <c:chart xmlns:c="http://schemas.openxmlformats.org/drawingml/2006/chart" r:id="rId14"/>
              </a:graphicData>
            </a:graphic>
          </wp:inline>
        </w:drawing>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（一）财政拨款收支与</w:t>
      </w:r>
      <w:r>
        <w:rPr>
          <w:rFonts w:ascii="Times New Roman" w:eastAsia="仿宋_GB2312" w:hAnsi="Times New Roman"/>
          <w:b/>
          <w:sz w:val="32"/>
          <w:szCs w:val="32"/>
        </w:rPr>
        <w:t>2024</w:t>
      </w:r>
      <w:r>
        <w:rPr>
          <w:rFonts w:ascii="Times New Roman" w:eastAsia="楷体_GB2312" w:hAnsi="Times New Roman"/>
          <w:b/>
          <w:sz w:val="32"/>
          <w:szCs w:val="32"/>
        </w:rPr>
        <w:t>年度决算对比情况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本部门2025年度财政拨款收、支总计（含结转和结余）均为618.53万元。与2024年度相比，财政拨款收支各增加75.37万元，增长13.9%，主要原因是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本部门2025年度财政拨款本年收入618.53万元,比上年增加75.37万元，增长13.9%，主要原因是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；本年支出618.53万元，比上年增加75.37万元，增长13.9%，主要原因是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outlineLvl w:val="1"/>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一般公共预算财政拨款本年收入618.53万元,比上年增加75.37万元，增长13.9%，主要原因是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；本年支出618.53万元，比上年增加75.37万元，增长13.9%，主要原因是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政府性基金预算财政拨款本年收入0.00万元，比上年增加0.00万元，增长0.00%，主要原因是</w:t>
      </w:r>
      <w:r>
        <w:rPr>
          <w:rFonts w:ascii="Times New Roman" w:eastAsia="仿宋_GB2312" w:cs="Times New Roman" w:hAnsi="Times New Roman" w:hint="eastAsia"/>
          <w:kern w:val="2"/>
          <w:sz w:val="32"/>
          <w:szCs w:val="32"/>
          <w:lang w:val="en-US" w:eastAsia="zh-CN"/>
        </w:rPr>
        <w:t>2024-2025年度均无政府性基金预算财政拨款收入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2024-2025年度均无政府性基金预算财政拨款支出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国有资本经营预算财政拨款本年收入0.00万元，比上年增加0.00万元，增长0.00%，主要原因是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收入</w:t>
      </w:r>
      <w:r>
        <w:rPr>
          <w:rFonts w:ascii="Times New Roman" w:eastAsia="仿宋_GB2312" w:hAnsi="Times New Roman"/>
          <w:b w:val="0"/>
          <w:sz w:val="32"/>
          <w:szCs w:val="32"/>
        </w:rPr>
        <w:t>；本年支出0.00万元，比上年增加0.00万元，增长0.00%，主主要原因是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支出</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sz w:val="32"/>
          <w:szCs w:val="32"/>
          <w:lang w:val="en-US" w:eastAsia="zh-CN"/>
          <w:highlight w:val="auto"/>
        </w:rPr>
      </w:pPr>
      <w:r>
        <w:rPr>
          <w:rFonts w:ascii="Times New Roman" w:eastAsia="仿宋_GB2312" w:hAnsi="Times New Roman"/>
          <w:sz w:val="32"/>
          <w:szCs w:val="32"/>
        </w:rPr>
        <w:drawing>
          <wp:inline distT="0" distB="0" distL="114300" distR="114300">
            <wp:extent cx="5256530" cy="3189605"/>
            <wp:effectExtent l="0" t="0" r="0" b="0"/>
            <wp:docPr id="10" name="图表 19"/>
            <wp:cNvGraphicFramePr>
              <a:graphicFrameLocks noChangeAspect="0"/>
            </wp:cNvGraphicFramePr>
            <a:graphic>
              <a:graphicData uri="http://schemas.openxmlformats.org/drawingml/2006/chart">
                <c:chart xmlns:c="http://schemas.openxmlformats.org/drawingml/2006/chart" r:id="rId15"/>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（二）财政拨款收支与年初预算数对比情况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本部门2025年度财政拨款本年收入618.53万元，完成年初预算的98.8%，比年初预算减少7.33万元，决算数小于预算数主要原因是</w:t>
      </w:r>
      <w:r>
        <w:rPr>
          <w:rFonts w:ascii="Times New Roman" w:eastAsia="仿宋_GB2312" w:hAnsi="Times New Roman" w:hint="eastAsia"/>
          <w:b w:val="0"/>
          <w:sz w:val="32"/>
          <w:szCs w:val="32"/>
          <w:lang w:eastAsia="zh-CN"/>
        </w:rPr>
        <w:t>人员经费减少</w:t>
      </w:r>
      <w:r>
        <w:rPr>
          <w:rFonts w:ascii="Times New Roman" w:eastAsia="仿宋_GB2312" w:hAnsi="Times New Roman"/>
          <w:b w:val="0"/>
          <w:sz w:val="32"/>
          <w:szCs w:val="32"/>
        </w:rPr>
        <w:t>；本年支出618.53万元，完成年初预算的98.8%，比年初预算减少7.33万元，决算数小于预算数主要原因是</w:t>
      </w:r>
      <w:r>
        <w:rPr>
          <w:rFonts w:ascii="Times New Roman" w:eastAsia="仿宋_GB2312" w:hAnsi="Times New Roman" w:hint="eastAsia"/>
          <w:b w:val="0"/>
          <w:sz w:val="32"/>
          <w:szCs w:val="32"/>
          <w:lang w:eastAsia="zh-CN"/>
        </w:rPr>
        <w:t>人员经费减少</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一般公共预算财政拨款本年收入完成年初预算的98.8%，比年初预算减少7.33万元，主要原因是</w:t>
      </w:r>
      <w:r>
        <w:rPr>
          <w:rFonts w:ascii="Times New Roman" w:eastAsia="仿宋_GB2312" w:hAnsi="Times New Roman" w:hint="eastAsia"/>
          <w:b w:val="0"/>
          <w:sz w:val="32"/>
          <w:szCs w:val="32"/>
          <w:lang w:eastAsia="zh-CN"/>
        </w:rPr>
        <w:t>人员经费减少</w:t>
      </w:r>
      <w:r>
        <w:rPr>
          <w:rFonts w:ascii="Times New Roman" w:eastAsia="仿宋_GB2312" w:hAnsi="Times New Roman"/>
          <w:b w:val="0"/>
          <w:sz w:val="32"/>
          <w:szCs w:val="32"/>
        </w:rPr>
        <w:t>；支出完成年初预算的98.8%，比年初预算减少7.33万元，主要原因是</w:t>
      </w:r>
      <w:r>
        <w:rPr>
          <w:rFonts w:ascii="Times New Roman" w:eastAsia="仿宋_GB2312" w:hAnsi="Times New Roman" w:hint="eastAsia"/>
          <w:b w:val="0"/>
          <w:sz w:val="32"/>
          <w:szCs w:val="32"/>
          <w:lang w:eastAsia="zh-CN"/>
        </w:rPr>
        <w:t>人员经费减少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政府性基金预算财政拨款本年收入完成年初预算的0.0%，比年初预算增加0.00万元，主要原因是</w:t>
      </w:r>
      <w:r>
        <w:rPr>
          <w:rFonts w:ascii="Times New Roman" w:eastAsia="仿宋_GB2312" w:cs="Times New Roman" w:hAnsi="Times New Roman" w:hint="eastAsia"/>
          <w:kern w:val="2"/>
          <w:sz w:val="32"/>
          <w:szCs w:val="32"/>
          <w:lang w:val="en-US" w:eastAsia="zh-CN"/>
        </w:rPr>
        <w:t>2024-2025年度均无政府性基金预算财政拨款收入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2024-2025年度均无政府性基金预算财政拨款支出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国有资本经营预算财政拨款本年收入完成年初预算的0.0%，比年初预算增加0.00万元，主要原因是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color w:val="auto"/>
          <w:kern w:val="0"/>
          <w:sz w:val="32"/>
          <w:szCs w:val="32"/>
          <w:lang w:val="en-US" w:eastAsia="zh-CN" w:bidi="ar-SA"/>
          <w:highlight w:val="auto"/>
        </w:rPr>
      </w:pPr>
      <w:r>
        <w:rPr>
          <w:rFonts w:ascii="Times New Roman" w:eastAsia="仿宋_GB2312" w:hAnsi="Times New Roman"/>
          <w:sz w:val="32"/>
          <w:szCs w:val="32"/>
          <w:highlight w:val="auto"/>
        </w:rPr>
        <w:drawing>
          <wp:inline distT="0" distB="0" distL="114300" distR="114300">
            <wp:extent cx="5256530" cy="2988310"/>
            <wp:effectExtent l="0" t="0" r="0" b="0"/>
            <wp:docPr id="11" name="图表 11"/>
            <wp:cNvGraphicFramePr>
              <a:graphicFrameLocks noChangeAspect="0"/>
            </wp:cNvGraphicFramePr>
            <a:graphic>
              <a:graphicData uri="http://schemas.openxmlformats.org/drawingml/2006/chart">
                <c:chart xmlns:c="http://schemas.openxmlformats.org/drawingml/2006/chart" r:id="rId16"/>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（三）财政拨款支出决算结构情况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2025年度财政拨款支出618.53万元，主要用于以下方面：</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一般公共预算财政拨款支出：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一般公共服务（类）支出444.11万元，占71.8%，主要用于</w:t>
      </w:r>
      <w:r>
        <w:rPr>
          <w:rFonts w:ascii="仿宋_GB2312" w:eastAsia="仿宋_GB2312" w:cs="DengXian-Regular" w:hAnsi="Times New Roman" w:hint="eastAsia"/>
          <w:sz w:val="32"/>
          <w:szCs w:val="32"/>
        </w:rPr>
        <w:t>人员、公用及项目</w:t>
      </w:r>
      <w:r>
        <w:rPr>
          <w:rFonts w:ascii="Times New Roman" w:eastAsia="仿宋_GB2312" w:hAnsi="Times New Roman"/>
          <w:b w:val="0"/>
          <w:sz w:val="32"/>
          <w:szCs w:val="32"/>
        </w:rPr>
        <w:t>支出；社会保障和就业 （类）支出142.15万元，占23.0%，主要用于</w:t>
      </w:r>
      <w:r>
        <w:rPr>
          <w:rFonts w:ascii="仿宋_GB2312" w:eastAsia="仿宋_GB2312" w:cs="DengXian-Regular" w:hAnsi="Times New Roman" w:hint="eastAsia"/>
          <w:sz w:val="32"/>
          <w:szCs w:val="32"/>
        </w:rPr>
        <w:t>缴纳养老保险</w:t>
      </w:r>
      <w:r>
        <w:rPr>
          <w:rFonts w:ascii="Times New Roman" w:eastAsia="仿宋_GB2312" w:hAnsi="Times New Roman"/>
          <w:b w:val="0"/>
          <w:sz w:val="32"/>
          <w:szCs w:val="32"/>
        </w:rPr>
        <w:t>支出；卫生健康（类）支出12.02万元，占1.9%，主要用于</w:t>
      </w:r>
      <w:r>
        <w:rPr>
          <w:rFonts w:ascii="仿宋_GB2312" w:eastAsia="仿宋_GB2312" w:cs="DengXian-Regular" w:hAnsi="Times New Roman" w:hint="eastAsia"/>
          <w:sz w:val="32"/>
          <w:szCs w:val="32"/>
        </w:rPr>
        <w:t>缴纳医疗保险支出</w:t>
      </w:r>
      <w:r>
        <w:rPr>
          <w:rFonts w:ascii="Times New Roman" w:eastAsia="仿宋_GB2312" w:hAnsi="Times New Roman"/>
          <w:b w:val="0"/>
          <w:sz w:val="32"/>
          <w:szCs w:val="32"/>
        </w:rPr>
        <w:t>；住房保障（类）支出20.24万元，占3.3%，主要用于</w:t>
      </w:r>
      <w:r>
        <w:rPr>
          <w:rFonts w:ascii="仿宋_GB2312" w:eastAsia="仿宋_GB2312" w:cs="DengXian-Regular" w:hAnsi="Times New Roman" w:hint="eastAsia"/>
          <w:sz w:val="32"/>
          <w:szCs w:val="32"/>
        </w:rPr>
        <w:t>缴纳住房公积金支出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（四）一般公共预算财政拨款基本支出决算情况说明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2025年度财政拨款基本支出615.53万元，其中：</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人员经费580.43万元，主要包括基本工资、津贴补贴、奖金、伙食补助费、绩效工资、机关事业基本养老保险缴费、职业年金缴费、公务员医疗补助缴费、住房公积金、其他社会保障缴费、其他工资福利支出、离休费、 退休费、生活补助、奖励金、其他对个人和家庭的补助支出。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公用经费35.10万元，主要包括办公费、印刷费、手续费、水费、电费、邮电费、取暖费、差旅费、维修（护）费、工会经费、福利费、公务用车运行维护费、其他交通费用、其他商品和服务支出、办公设备购置。</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五、财政拨款“三公” 经费支出决算情况说明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（一）“三公”经费财政拨款支出决算总体情况说明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本部门2025年度“三公”经费财政拨款支出预算为3.</w:t>
      </w:r>
      <w:r>
        <w:rPr>
          <w:rFonts w:ascii="Times New Roman" w:eastAsia="仿宋_GB2312" w:hAnsi="Times New Roman" w:hint="eastAsia"/>
          <w:b w:val="0"/>
          <w:sz w:val="32"/>
          <w:szCs w:val="32"/>
          <w:lang w:val="en-US" w:eastAsia="zh-CN"/>
        </w:rPr>
        <w:t>42</w:t>
      </w:r>
      <w:r>
        <w:rPr>
          <w:rFonts w:ascii="Times New Roman" w:eastAsia="仿宋_GB2312" w:hAnsi="Times New Roman"/>
          <w:b w:val="0"/>
          <w:sz w:val="32"/>
          <w:szCs w:val="32"/>
        </w:rPr>
        <w:t>万元，支出决算为3.25万元，完成预算的</w:t>
      </w:r>
      <w:r>
        <w:rPr>
          <w:rFonts w:ascii="Times New Roman" w:eastAsia="仿宋_GB2312" w:hAnsi="Times New Roman" w:hint="eastAsia"/>
          <w:b w:val="0"/>
          <w:sz w:val="32"/>
          <w:szCs w:val="32"/>
          <w:lang w:val="en-US" w:eastAsia="zh-CN"/>
        </w:rPr>
        <w:t>95.03</w:t>
      </w:r>
      <w:r>
        <w:rPr>
          <w:rFonts w:ascii="Times New Roman" w:eastAsia="仿宋_GB2312" w:hAnsi="Times New Roman"/>
          <w:b w:val="0"/>
          <w:sz w:val="32"/>
          <w:szCs w:val="32"/>
        </w:rPr>
        <w:t>%，较预算</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0.17</w:t>
      </w:r>
      <w:r>
        <w:rPr>
          <w:rFonts w:ascii="Times New Roman" w:eastAsia="仿宋_GB2312" w:hAnsi="Times New Roman"/>
          <w:b w:val="0"/>
          <w:sz w:val="32"/>
          <w:szCs w:val="32"/>
        </w:rPr>
        <w:t>万元，</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4.97</w:t>
      </w:r>
      <w:r>
        <w:rPr>
          <w:rFonts w:ascii="Times New Roman" w:eastAsia="仿宋_GB2312" w:hAnsi="Times New Roman"/>
          <w:b w:val="0"/>
          <w:sz w:val="32"/>
          <w:szCs w:val="32"/>
        </w:rPr>
        <w:t>%，主要原因是认真贯彻落实中央八项规定精神和厉行节约要求，从严控制“三公”经费开支；较2024年度决算减少0.14万元，降低4.4%，主要原因是</w:t>
      </w:r>
      <w:r>
        <w:rPr>
          <w:rFonts w:ascii="Times New Roman" w:eastAsia="仿宋_GB2312" w:cs="Times New Roman" w:hAnsi="Times New Roman" w:hint="eastAsia"/>
          <w:color w:val="auto"/>
          <w:kern w:val="2"/>
          <w:sz w:val="32"/>
          <w:szCs w:val="32"/>
          <w:lang w:val="zh-CN" w:eastAsia="zh-CN" w:bidi="ar-SA"/>
        </w:rPr>
        <w:t>公务用车维修费减少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（二）“三公”经费财政拨款支出决算具体情况说明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lang w:val="en-US"/>
        </w:rPr>
      </w:pPr>
      <w:r>
        <w:rPr>
          <w:rFonts w:ascii="Times New Roman" w:eastAsia="楷体_GB2312" w:hAnsi="Times New Roman"/>
          <w:b/>
          <w:sz w:val="32"/>
          <w:szCs w:val="32"/>
        </w:rPr>
        <w:t>1.因公出国（境）费支出情况。</w:t>
      </w:r>
      <w:r>
        <w:rPr>
          <w:rFonts w:ascii="Times New Roman" w:eastAsia="仿宋_GB2312" w:hAnsi="Times New Roman"/>
          <w:b w:val="0"/>
          <w:sz w:val="32"/>
          <w:szCs w:val="32"/>
        </w:rPr>
        <w:t>本部门2025年度因公出国（境）费支出预算为0.00万元,支出决算0.00万元。完成预算的0.0%。</w:t>
      </w:r>
      <w:r>
        <w:rPr>
          <w:rFonts w:ascii="Times New Roman" w:eastAsia="仿宋_GB2312" w:cs="Times New Roman" w:hAnsi="Times New Roman"/>
          <w:color w:val="auto"/>
          <w:kern w:val="2"/>
          <w:sz w:val="32"/>
          <w:szCs w:val="32"/>
          <w:lang w:val="en-US" w:eastAsia="zh-CN" w:bidi="ar-SA"/>
        </w:rPr>
        <w:t>因公出国（境）费支出较预算</w:t>
      </w:r>
      <w:r>
        <w:rPr>
          <w:rFonts w:ascii="Times New Roman" w:eastAsia="仿宋_GB2312" w:cs="Times New Roman" w:hAnsi="Times New Roman" w:hint="eastAsia"/>
          <w:color w:val="auto"/>
          <w:kern w:val="2"/>
          <w:sz w:val="32"/>
          <w:szCs w:val="32"/>
          <w:lang w:val="zh-CN" w:eastAsia="zh-CN" w:bidi="ar-SA"/>
        </w:rPr>
        <w:t>持平，</w:t>
      </w:r>
      <w:r>
        <w:rPr>
          <w:rFonts w:ascii="Times New Roman" w:eastAsia="仿宋_GB2312" w:cs="Times New Roman" w:hAnsi="Times New Roman"/>
          <w:color w:val="auto"/>
          <w:kern w:val="2"/>
          <w:sz w:val="32"/>
          <w:szCs w:val="32"/>
          <w:lang w:val="en-US" w:eastAsia="zh-CN" w:bidi="ar-SA"/>
        </w:rPr>
        <w:t>无变化，主要是当年没有因公出国的工作任务，无因公出国（境）费用预算安排；因公出国（境）费支出较上年持平，无变化，主要是</w:t>
      </w:r>
      <w:r>
        <w:rPr>
          <w:rFonts w:ascii="Times New Roman" w:eastAsia="仿宋_GB2312" w:cs="Times New Roman" w:hAnsi="Times New Roman" w:hint="eastAsia"/>
          <w:color w:val="auto"/>
          <w:kern w:val="2"/>
          <w:sz w:val="32"/>
          <w:szCs w:val="32"/>
          <w:lang w:val="en-US" w:eastAsia="zh-CN" w:bidi="ar-SA"/>
        </w:rPr>
        <w:t>当年</w:t>
      </w:r>
      <w:r>
        <w:rPr>
          <w:rFonts w:ascii="Times New Roman" w:eastAsia="仿宋_GB2312" w:cs="Times New Roman" w:hAnsi="Times New Roman"/>
          <w:color w:val="auto"/>
          <w:kern w:val="2"/>
          <w:sz w:val="32"/>
          <w:szCs w:val="32"/>
          <w:lang w:val="en-US" w:eastAsia="zh-CN" w:bidi="ar-SA"/>
        </w:rPr>
        <w:t>没有因公出国的工作任务，没有安排相关预算。因公出国（境）团组0个、共0人、参加其他单位组织的因公出国（境）团组</w:t>
      </w:r>
      <w:r>
        <w:rPr>
          <w:rFonts w:ascii="Times New Roman" w:eastAsia="仿宋_GB2312" w:cs="Times New Roman" w:hAnsi="Times New Roman" w:hint="eastAsia"/>
          <w:color w:val="auto"/>
          <w:kern w:val="2"/>
          <w:sz w:val="32"/>
          <w:szCs w:val="32"/>
          <w:lang w:val="en-US" w:eastAsia="zh-CN" w:bidi="ar-SA"/>
        </w:rPr>
        <w:t>0</w:t>
      </w:r>
      <w:r>
        <w:rPr>
          <w:rFonts w:ascii="Times New Roman" w:eastAsia="仿宋_GB2312" w:cs="Times New Roman" w:hAnsi="Times New Roman"/>
          <w:color w:val="auto"/>
          <w:kern w:val="2"/>
          <w:sz w:val="32"/>
          <w:szCs w:val="32"/>
          <w:lang w:val="en-US" w:eastAsia="zh-CN" w:bidi="ar-SA"/>
        </w:rPr>
        <w:t>个、共</w:t>
      </w:r>
      <w:r>
        <w:rPr>
          <w:rFonts w:ascii="Times New Roman" w:eastAsia="仿宋_GB2312" w:cs="Times New Roman" w:hAnsi="Times New Roman" w:hint="eastAsia"/>
          <w:color w:val="auto"/>
          <w:kern w:val="2"/>
          <w:sz w:val="32"/>
          <w:szCs w:val="32"/>
          <w:lang w:val="en-US" w:eastAsia="zh-CN" w:bidi="ar-SA"/>
        </w:rPr>
        <w:t>0</w:t>
      </w:r>
      <w:r>
        <w:rPr>
          <w:rFonts w:ascii="Times New Roman" w:eastAsia="仿宋_GB2312" w:cs="Times New Roman" w:hAnsi="Times New Roman"/>
          <w:color w:val="auto"/>
          <w:kern w:val="2"/>
          <w:sz w:val="32"/>
          <w:szCs w:val="32"/>
          <w:lang w:val="en-US" w:eastAsia="zh-CN" w:bidi="ar-SA"/>
        </w:rPr>
        <w:t>人/无本部门组织的出国（境）团组</w:t>
      </w:r>
      <w:r>
        <w:rPr>
          <w:rFonts w:ascii="Times New Roman" w:eastAsia="仿宋_GB2312" w:cs="Times New Roman" w:hAnsi="Times New Roman" w:hint="eastAsia"/>
          <w:color w:val="auto"/>
          <w:kern w:val="2"/>
          <w:sz w:val="32"/>
          <w:szCs w:val="32"/>
          <w:lang w:val="en-US" w:eastAsia="zh-CN" w:bidi="ar-SA"/>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2.公务用车购置及运行维护费支出情况。</w:t>
      </w:r>
      <w:r>
        <w:rPr>
          <w:rFonts w:ascii="Times New Roman" w:eastAsia="仿宋_GB2312" w:hAnsi="Times New Roman"/>
          <w:b w:val="0"/>
          <w:sz w:val="32"/>
          <w:szCs w:val="32"/>
        </w:rPr>
        <w:t>本部门2025年度公务用车购置及运行维护费预算为3.</w:t>
      </w:r>
      <w:r>
        <w:rPr>
          <w:rFonts w:ascii="Times New Roman" w:eastAsia="仿宋_GB2312" w:hAnsi="Times New Roman" w:hint="eastAsia"/>
          <w:b w:val="0"/>
          <w:sz w:val="32"/>
          <w:szCs w:val="32"/>
          <w:lang w:val="en-US" w:eastAsia="zh-CN"/>
        </w:rPr>
        <w:t>42</w:t>
      </w:r>
      <w:r>
        <w:rPr>
          <w:rFonts w:ascii="Times New Roman" w:eastAsia="仿宋_GB2312" w:hAnsi="Times New Roman"/>
          <w:b w:val="0"/>
          <w:sz w:val="32"/>
          <w:szCs w:val="32"/>
        </w:rPr>
        <w:t>万元，支出决算3.25万元，完成预算的</w:t>
      </w:r>
      <w:r>
        <w:rPr>
          <w:rFonts w:ascii="Times New Roman" w:eastAsia="仿宋_GB2312" w:hAnsi="Times New Roman" w:hint="eastAsia"/>
          <w:b w:val="0"/>
          <w:sz w:val="32"/>
          <w:szCs w:val="32"/>
          <w:lang w:val="en-US" w:eastAsia="zh-CN"/>
        </w:rPr>
        <w:t>95.03</w:t>
      </w:r>
      <w:r>
        <w:rPr>
          <w:rFonts w:ascii="Times New Roman" w:eastAsia="仿宋_GB2312" w:hAnsi="Times New Roman"/>
          <w:b w:val="0"/>
          <w:sz w:val="32"/>
          <w:szCs w:val="32"/>
        </w:rPr>
        <w:t>%，较预算</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0.17</w:t>
      </w:r>
      <w:r>
        <w:rPr>
          <w:rFonts w:ascii="Times New Roman" w:eastAsia="仿宋_GB2312" w:hAnsi="Times New Roman"/>
          <w:b w:val="0"/>
          <w:sz w:val="32"/>
          <w:szCs w:val="32"/>
        </w:rPr>
        <w:t>万元，</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4.97</w:t>
      </w:r>
      <w:r>
        <w:rPr>
          <w:rFonts w:ascii="Times New Roman" w:eastAsia="仿宋_GB2312" w:hAnsi="Times New Roman"/>
          <w:b w:val="0"/>
          <w:sz w:val="32"/>
          <w:szCs w:val="32"/>
        </w:rPr>
        <w:t>%，主要原因是认真贯彻落实中央八项规定精神和厉行节约要求，从严控制“三公”经费开支；较2024年度决算减少0.14万元，降低4.4%，主要原因是</w:t>
      </w:r>
      <w:r>
        <w:rPr>
          <w:rFonts w:ascii="Times New Roman" w:eastAsia="仿宋_GB2312" w:cs="Times New Roman" w:hAnsi="Times New Roman" w:hint="eastAsia"/>
          <w:color w:val="auto"/>
          <w:kern w:val="2"/>
          <w:sz w:val="32"/>
          <w:szCs w:val="32"/>
          <w:lang w:val="zh-CN" w:eastAsia="zh-CN" w:bidi="ar-SA"/>
        </w:rPr>
        <w:t>公务用车维修费减少</w:t>
      </w:r>
      <w:r>
        <w:rPr>
          <w:rFonts w:ascii="Times New Roman" w:eastAsia="仿宋_GB2312" w:hAnsi="Times New Roman"/>
          <w:b w:val="0"/>
          <w:sz w:val="32"/>
          <w:szCs w:val="32"/>
        </w:rPr>
        <w:t>。其中：</w:t>
      </w:r>
    </w:p>
    <w:p>
      <w:pPr>
        <w:widowControl/>
        <w:spacing w:before="0" w:beforeAutospacing="0" w:after="0" w:afterAutospacing="0" w:line="360" w:lineRule="auto"/>
        <w:ind w:firstLineChars="200" w:firstLine="640"/>
        <w:jc w:val="left"/>
        <w:rPr>
          <w:rFonts w:ascii="Times New Roman" w:eastAsia="仿宋_GB2312" w:cs="Times New Roman" w:hAnsi="Times New Roman" w:hint="eastAsia"/>
          <w:color w:val="000000"/>
          <w:sz w:val="32"/>
          <w:szCs w:val="32"/>
          <w:lang w:eastAsia="zh-CN"/>
          <w:highlight w:val="auto"/>
        </w:rPr>
      </w:pPr>
      <w:r>
        <w:rPr>
          <w:rFonts w:ascii="Times New Roman" w:eastAsia="仿宋_GB2312" w:hAnsi="Times New Roman"/>
          <w:b/>
          <w:sz w:val="32"/>
          <w:szCs w:val="32"/>
        </w:rPr>
        <w:t>公务用车购置费支出0.00万元：</w:t>
      </w:r>
      <w:r>
        <w:rPr>
          <w:rFonts w:ascii="Times New Roman" w:eastAsia="仿宋_GB2312" w:hAnsi="Times New Roman"/>
          <w:b w:val="0"/>
          <w:sz w:val="32"/>
          <w:szCs w:val="32"/>
        </w:rPr>
        <w:t>本单位2025年度公务用车购置量0辆，发生“公务用车购置”经费支出0.00万元。</w:t>
      </w:r>
      <w:r>
        <w:rPr>
          <w:rFonts w:ascii="Times New Roman" w:eastAsia="仿宋_GB2312" w:hAnsi="Times New Roman" w:hint="eastAsia"/>
          <w:b w:val="0"/>
          <w:sz w:val="32"/>
          <w:szCs w:val="32"/>
          <w:lang w:eastAsia="zh-CN"/>
        </w:rPr>
        <w:t>本单位</w:t>
      </w:r>
      <w:r>
        <w:rPr>
          <w:rFonts w:ascii="Times New Roman" w:eastAsia="仿宋_GB2312" w:cs="Times New Roman" w:hAnsi="Times New Roman"/>
          <w:color w:val="000000"/>
          <w:sz w:val="32"/>
          <w:szCs w:val="32"/>
          <w:highlight w:val="auto"/>
        </w:rPr>
        <w:t>未发生</w:t>
      </w:r>
      <w:r>
        <w:rPr>
          <w:rFonts w:ascii="Times New Roman" w:eastAsia="仿宋_GB2312" w:hAnsi="Times New Roman"/>
          <w:b w:val="0"/>
          <w:sz w:val="32"/>
          <w:szCs w:val="32"/>
        </w:rPr>
        <w:t>“公务用车购置”经费支出</w:t>
      </w:r>
      <w:r>
        <w:rPr>
          <w:rFonts w:ascii="Times New Roman" w:eastAsia="仿宋_GB2312" w:cs="Times New Roman" w:hAnsi="Times New Roman"/>
          <w:color w:val="000000"/>
          <w:sz w:val="32"/>
          <w:szCs w:val="32"/>
          <w:highlight w:val="auto"/>
        </w:rPr>
        <w:t>、“与预算持平”、“与202</w:t>
      </w:r>
      <w:r>
        <w:rPr>
          <w:rFonts w:ascii="Times New Roman" w:eastAsia="仿宋_GB2312" w:cs="Times New Roman" w:hAnsi="Times New Roman" w:hint="eastAsia"/>
          <w:color w:val="000000"/>
          <w:sz w:val="32"/>
          <w:szCs w:val="32"/>
          <w:lang w:val="en-US" w:eastAsia="zh-CN"/>
          <w:highlight w:val="auto"/>
        </w:rPr>
        <w:t>4</w:t>
      </w:r>
      <w:r>
        <w:rPr>
          <w:rFonts w:ascii="Times New Roman" w:eastAsia="仿宋_GB2312" w:cs="Times New Roman" w:hAnsi="Times New Roman"/>
          <w:color w:val="000000"/>
          <w:sz w:val="32"/>
          <w:szCs w:val="32"/>
          <w:highlight w:val="auto"/>
        </w:rPr>
        <w:t>年度决算支出持平</w:t>
      </w:r>
      <w:r>
        <w:rPr>
          <w:rFonts w:ascii="Times New Roman" w:eastAsia="仿宋_GB2312" w:cs="Times New Roman" w:hAnsi="Times New Roman"/>
          <w:color w:val="000000"/>
          <w:sz w:val="32"/>
          <w:szCs w:val="32"/>
          <w:lang w:val="en-US" w:eastAsia="zh-CN"/>
          <w:highlight w:val="auto"/>
        </w:rPr>
        <w:t>”</w:t>
      </w:r>
      <w:r>
        <w:rPr>
          <w:rFonts w:ascii="Times New Roman" w:eastAsia="仿宋_GB2312" w:cs="Times New Roman" w:hAnsi="Times New Roman" w:hint="eastAsia"/>
          <w:color w:val="000000"/>
          <w:sz w:val="32"/>
          <w:szCs w:val="32"/>
          <w:lang w:eastAsia="zh-CN"/>
          <w:highlight w:val="auto"/>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公务用车运行维护费支出3.25万元：</w:t>
      </w:r>
      <w:r>
        <w:rPr>
          <w:rFonts w:ascii="Times New Roman" w:eastAsia="仿宋_GB2312" w:hAnsi="Times New Roman"/>
          <w:b w:val="0"/>
          <w:sz w:val="32"/>
          <w:szCs w:val="32"/>
        </w:rPr>
        <w:t>本部门2025年度单位公务用车保有量3辆，发生运行维护费支出3.25万元。公车运行维护费支出较预算增加0.00万元，增长0.0%,主要原因是；较上年减少0.14万元，降低4.4%，主要原因是。</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3.公务接待费支出情况。</w:t>
      </w:r>
      <w:r>
        <w:rPr>
          <w:rFonts w:ascii="Times New Roman" w:eastAsia="仿宋_GB2312" w:hAnsi="Times New Roman"/>
          <w:b w:val="0"/>
          <w:sz w:val="32"/>
          <w:szCs w:val="32"/>
        </w:rPr>
        <w:t>本单位202</w:t>
      </w:r>
      <w:r>
        <w:rPr>
          <w:rFonts w:ascii="Times New Roman" w:eastAsia="仿宋_GB2312" w:hAnsi="Times New Roman" w:hint="eastAsia"/>
          <w:b w:val="0"/>
          <w:sz w:val="32"/>
          <w:szCs w:val="32"/>
          <w:lang w:val="en-US" w:eastAsia="zh-CN"/>
        </w:rPr>
        <w:t>5</w:t>
      </w:r>
      <w:r>
        <w:rPr>
          <w:rFonts w:ascii="Times New Roman" w:eastAsia="仿宋_GB2312" w:hAnsi="Times New Roman"/>
          <w:b w:val="0"/>
          <w:sz w:val="32"/>
          <w:szCs w:val="32"/>
        </w:rPr>
        <w:t>年度公务接待费支出预算为0.00万元，支出决算0.00万元，</w:t>
      </w:r>
      <w:r>
        <w:rPr>
          <w:rFonts w:ascii="Times New Roman" w:eastAsia="仿宋_GB2312" w:hAnsi="Times New Roman" w:hint="eastAsia"/>
          <w:b w:val="0"/>
          <w:sz w:val="32"/>
          <w:szCs w:val="32"/>
          <w:lang w:eastAsia="zh-CN"/>
        </w:rPr>
        <w:t>本单位</w:t>
      </w:r>
      <w:r>
        <w:rPr>
          <w:rFonts w:ascii="Times New Roman" w:eastAsia="仿宋_GB2312" w:cs="Times New Roman" w:hAnsi="Times New Roman"/>
          <w:color w:val="000000"/>
          <w:sz w:val="32"/>
          <w:szCs w:val="32"/>
          <w:highlight w:val="auto"/>
        </w:rPr>
        <w:t>未发生</w:t>
      </w:r>
      <w:r>
        <w:rPr>
          <w:rFonts w:ascii="Times New Roman" w:eastAsia="仿宋_GB2312" w:hAnsi="Times New Roman"/>
          <w:b w:val="0"/>
          <w:sz w:val="32"/>
          <w:szCs w:val="32"/>
        </w:rPr>
        <w:t>公务接待费支出</w:t>
      </w:r>
      <w:r>
        <w:rPr>
          <w:rFonts w:ascii="Times New Roman" w:eastAsia="仿宋_GB2312" w:cs="Times New Roman" w:hAnsi="Times New Roman"/>
          <w:color w:val="000000"/>
          <w:sz w:val="32"/>
          <w:szCs w:val="32"/>
          <w:highlight w:val="auto"/>
        </w:rPr>
        <w:t>、“与预算持平”、“与202</w:t>
      </w:r>
      <w:r>
        <w:rPr>
          <w:rFonts w:ascii="Times New Roman" w:eastAsia="仿宋_GB2312" w:cs="Times New Roman" w:hAnsi="Times New Roman" w:hint="eastAsia"/>
          <w:color w:val="000000"/>
          <w:sz w:val="32"/>
          <w:szCs w:val="32"/>
          <w:lang w:val="en-US" w:eastAsia="zh-CN"/>
          <w:highlight w:val="auto"/>
        </w:rPr>
        <w:t>4</w:t>
      </w:r>
      <w:r>
        <w:rPr>
          <w:rFonts w:ascii="Times New Roman" w:eastAsia="仿宋_GB2312" w:cs="Times New Roman" w:hAnsi="Times New Roman"/>
          <w:color w:val="000000"/>
          <w:sz w:val="32"/>
          <w:szCs w:val="32"/>
          <w:highlight w:val="auto"/>
        </w:rPr>
        <w:t>年度决算支出持平</w:t>
      </w:r>
      <w:r>
        <w:rPr>
          <w:rFonts w:ascii="Times New Roman" w:eastAsia="仿宋_GB2312" w:cs="Times New Roman" w:hAnsi="Times New Roman"/>
          <w:color w:val="000000"/>
          <w:sz w:val="32"/>
          <w:szCs w:val="32"/>
          <w:lang w:val="en-US" w:eastAsia="zh-CN"/>
          <w:highlight w:val="auto"/>
        </w:rPr>
        <w:t>”</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本部门2025年度机关运行经费支出19.64万元，较2024年度减少182.44万元，降低90.3%。主要原因是</w:t>
      </w:r>
      <w:r>
        <w:rPr>
          <w:rFonts w:ascii="Times New Roman" w:eastAsia="仿宋_GB2312" w:hAnsi="Times New Roman" w:hint="eastAsia"/>
          <w:b w:val="0"/>
          <w:sz w:val="32"/>
          <w:szCs w:val="32"/>
          <w:lang w:val="en-US" w:eastAsia="zh-CN"/>
        </w:rPr>
        <w:t>2025年全县老干部经费未在机关运行经费支出中</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截至2025年12月31日，本部门共有车辆3辆。其中，副部（省）级及以上领导用车0辆，主要负责人用车0辆，机要通信用车0辆，应急保障用车1辆，执法执勤用车0辆，特种专业技术用车0辆，离退休干部用车2辆，其他用车0辆，其他用车主要是。单位价值100万元（含）以上设备（不含车辆）0台（套）。</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九、关于2025年度绩效评价情况的说明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（一）绩效评价工作开展情况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根据预算绩效管理要求，本部门组织对2025年度本级预算项目支出全面开展绩效自评，共涉及资金</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万元（决算金额）。其中，一般公共预算项目</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个，涉及资金</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万元，占一般公共预算项目支出总额的</w:t>
      </w:r>
      <w:r>
        <w:rPr>
          <w:rFonts w:ascii="Times New Roman" w:eastAsia="仿宋_GB2312" w:hAnsi="Times New Roman" w:hint="eastAsia"/>
          <w:b w:val="0"/>
          <w:sz w:val="32"/>
          <w:szCs w:val="32"/>
          <w:lang w:val="en-US" w:eastAsia="zh-CN"/>
        </w:rPr>
        <w:t>100</w:t>
      </w:r>
      <w:r>
        <w:rPr>
          <w:rFonts w:ascii="Times New Roman" w:eastAsia="仿宋_GB2312" w:hAnsi="Times New Roman"/>
          <w:b w:val="0"/>
          <w:sz w:val="32"/>
          <w:szCs w:val="32"/>
        </w:rPr>
        <w:t>%；政府性基金预算项目</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个，涉及资金</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万元，占政府性基金预算项目支出总额的</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%；国有资本经营预算项目</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个，涉及资金</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万元，占国有资本经营预算项目支出总额的</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组织对</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个项目开展了部门重点评价，涉及一般公共预算支出</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万元，政府性基金预算支出</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万元，国有资本经营预算支出</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万元，从评价情况来看</w:t>
      </w:r>
      <w:r>
        <w:rPr>
          <w:rFonts w:ascii="Times New Roman" w:eastAsia="仿宋_GB2312" w:hAnsi="Times New Roman" w:hint="eastAsia"/>
          <w:b w:val="0"/>
          <w:sz w:val="32"/>
          <w:szCs w:val="32"/>
          <w:lang w:eastAsia="zh-CN"/>
        </w:rPr>
        <w:t>得出总得分</w:t>
      </w:r>
      <w:r>
        <w:rPr>
          <w:rFonts w:ascii="Times New Roman" w:eastAsia="仿宋_GB2312" w:hAnsi="Times New Roman" w:hint="eastAsia"/>
          <w:b w:val="0"/>
          <w:sz w:val="32"/>
          <w:szCs w:val="32"/>
          <w:lang w:val="en-US" w:eastAsia="zh-CN"/>
        </w:rPr>
        <w:t>100分，项目综合评价等级为优秀</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（二）部门决算中项目绩效自评结果</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本单位在今年部门决算公开中反映</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个项目绩效自评结果。</w:t>
      </w:r>
    </w:p>
    <w:p>
      <w:pPr>
        <w:widowControl/>
        <w:spacing w:before="0" w:beforeAutospacing="0" w:after="0" w:afterAutospacing="0" w:line="360" w:lineRule="auto"/>
        <w:ind w:firstLineChars="200" w:firstLine="640"/>
        <w:jc w:val="left"/>
        <w:rPr>
          <w:rFonts w:ascii="Times New Roman" w:eastAsia="仿宋_GB2312" w:hAnsi="Times New Roman"/>
          <w:b w:val="0"/>
          <w:sz w:val="32"/>
          <w:szCs w:val="32"/>
        </w:rPr>
      </w:pPr>
      <w:r>
        <w:rPr>
          <w:rFonts w:ascii="Times New Roman" w:eastAsia="仿宋_GB2312" w:hAnsi="Times New Roman"/>
          <w:b w:val="0"/>
          <w:sz w:val="32"/>
          <w:szCs w:val="32"/>
        </w:rPr>
        <w:t>项目绩效自评情况：根据年初设定的绩效目标，项目绩效自评得分为</w:t>
      </w:r>
      <w:r>
        <w:rPr>
          <w:rFonts w:ascii="Times New Roman" w:eastAsia="仿宋_GB2312" w:hAnsi="Times New Roman" w:hint="eastAsia"/>
          <w:b w:val="0"/>
          <w:sz w:val="32"/>
          <w:szCs w:val="32"/>
          <w:lang w:val="en-US" w:eastAsia="zh-CN"/>
        </w:rPr>
        <w:t>100</w:t>
      </w:r>
      <w:r>
        <w:rPr>
          <w:rFonts w:ascii="Times New Roman" w:eastAsia="仿宋_GB2312" w:hAnsi="Times New Roman"/>
          <w:b w:val="0"/>
          <w:sz w:val="32"/>
          <w:szCs w:val="32"/>
        </w:rPr>
        <w:t>分（绩效自评表附后）。全年预算数为</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万元，执行数为</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万元，完成预算的</w:t>
      </w:r>
      <w:r>
        <w:rPr>
          <w:rFonts w:ascii="Times New Roman" w:eastAsia="仿宋_GB2312" w:hAnsi="Times New Roman" w:hint="eastAsia"/>
          <w:b w:val="0"/>
          <w:sz w:val="32"/>
          <w:szCs w:val="32"/>
          <w:lang w:val="en-US" w:eastAsia="zh-CN"/>
        </w:rPr>
        <w:t>100</w:t>
      </w:r>
      <w:r>
        <w:rPr>
          <w:rFonts w:ascii="Times New Roman" w:eastAsia="仿宋_GB2312" w:hAnsi="Times New Roman"/>
          <w:b w:val="0"/>
          <w:sz w:val="32"/>
          <w:szCs w:val="32"/>
        </w:rPr>
        <w:t>%。项目绩效目标完成情况：一是</w:t>
      </w:r>
      <w:r>
        <w:rPr>
          <w:rFonts w:ascii="Times New Roman" w:eastAsia="仿宋_GB2312" w:hAnsi="Times New Roman" w:hint="eastAsia"/>
          <w:b w:val="0"/>
          <w:sz w:val="32"/>
          <w:szCs w:val="32"/>
        </w:rPr>
        <w:t>2025年8月20日前将抗战时期及以前参加革命工作的离休干部一次性补助发放到个人。</w:t>
      </w:r>
      <w:r>
        <w:rPr>
          <w:rFonts w:ascii="Times New Roman" w:eastAsia="仿宋_GB2312" w:hAnsi="Times New Roman"/>
          <w:b w:val="0"/>
          <w:sz w:val="32"/>
          <w:szCs w:val="32"/>
        </w:rPr>
        <w:t>；二是</w:t>
      </w:r>
      <w:r>
        <w:rPr>
          <w:rFonts w:ascii="Times New Roman" w:eastAsia="仿宋_GB2312" w:hAnsi="Times New Roman" w:hint="eastAsia"/>
          <w:b w:val="0"/>
          <w:sz w:val="32"/>
          <w:szCs w:val="32"/>
        </w:rPr>
        <w:t>通过发放一次性补助，充分体现党中央对老同志的关怀和照顾</w:t>
      </w:r>
      <w:r>
        <w:rPr>
          <w:rFonts w:ascii="Times New Roman" w:eastAsia="仿宋_GB2312" w:hAnsi="Times New Roman"/>
          <w:b w:val="0"/>
          <w:sz w:val="32"/>
          <w:szCs w:val="32"/>
        </w:rPr>
        <w:t>。</w:t>
      </w:r>
    </w:p>
    <w:tbl>
      <w:tblPr>
        <w:jc w:val="left"/>
        <w:tblInd w:w="93" w:type="dxa"/>
        <w:tblW w:w="8675" w:type="dxa"/>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1233"/>
        <w:gridCol w:w="1096"/>
        <w:gridCol w:w="1096"/>
        <w:gridCol w:w="1264"/>
        <w:gridCol w:w="1431"/>
        <w:gridCol w:w="544"/>
        <w:gridCol w:w="655"/>
        <w:gridCol w:w="1356"/>
      </w:tblGrid>
      <w:tr>
        <w:trPr>
          <w:trHeight w:val="90"/>
        </w:trPr>
        <w:tc>
          <w:tcPr>
            <w:tcW w:w="1233"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黑体" w:eastAsia="黑体" w:cs="黑体" w:hAnsi="宋体"/>
                <w:i w:val="0"/>
                <w:iCs w:val="0"/>
                <w:color w:val="000000"/>
                <w:sz w:val="28"/>
                <w:szCs w:val="28"/>
                <w:u w:val="none"/>
              </w:rPr>
            </w:pPr>
            <w:r>
              <w:rPr>
                <w:rFonts w:ascii="黑体" w:eastAsia="黑体" w:cs="黑体" w:hAnsi="宋体" w:hint="eastAsia"/>
                <w:i w:val="0"/>
                <w:iCs w:val="0"/>
                <w:color w:val="000000"/>
                <w:kern w:val="0"/>
                <w:sz w:val="28"/>
                <w:szCs w:val="28"/>
                <w:u w:val="none"/>
                <w:lang w:val="en-US" w:eastAsia="zh-CN"/>
              </w:rPr>
              <w:t>附件1</w:t>
            </w:r>
          </w:p>
        </w:tc>
        <w:tc>
          <w:tcPr>
            <w:tcW w:w="1096"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1096"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1264"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1431"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544"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655"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1356"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r>
      <w:tr>
        <w:trPr>
          <w:trHeight w:val="90"/>
        </w:trPr>
        <w:tc>
          <w:tcPr>
            <w:tcW w:w="8675"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eastAsia="方正小标宋_GBK" w:cs="方正小标宋_GBK" w:hAnsi="方正小标宋_GBK"/>
                <w:i w:val="0"/>
                <w:iCs w:val="0"/>
                <w:color w:val="000000"/>
                <w:sz w:val="40"/>
                <w:szCs w:val="40"/>
                <w:u w:val="none"/>
              </w:rPr>
            </w:pPr>
            <w:r>
              <w:rPr>
                <w:rFonts w:ascii="方正小标宋_GBK" w:eastAsia="方正小标宋_GBK" w:cs="方正小标宋_GBK" w:hAnsi="方正小标宋_GBK" w:hint="eastAsia"/>
                <w:i w:val="0"/>
                <w:iCs w:val="0"/>
                <w:color w:val="000000"/>
                <w:kern w:val="0"/>
                <w:sz w:val="40"/>
                <w:szCs w:val="40"/>
                <w:u w:val="none"/>
                <w:lang w:val="en-US" w:eastAsia="zh-CN"/>
              </w:rPr>
              <w:t>县级部门预算项目绩效自评表</w:t>
            </w:r>
          </w:p>
        </w:tc>
      </w:tr>
      <w:tr>
        <w:trPr>
          <w:trHeight w:val="90"/>
        </w:trPr>
        <w:tc>
          <w:tcPr>
            <w:tcW w:w="8675"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rPr>
            </w:pPr>
            <w:r>
              <w:rPr>
                <w:rFonts w:ascii="宋体" w:eastAsia="宋体" w:cs="宋体" w:hAnsi="宋体" w:hint="eastAsia"/>
                <w:i w:val="0"/>
                <w:iCs w:val="0"/>
                <w:color w:val="000000"/>
                <w:kern w:val="0"/>
                <w:sz w:val="20"/>
                <w:szCs w:val="20"/>
                <w:u w:val="none"/>
                <w:lang w:val="en-US" w:eastAsia="zh-CN"/>
              </w:rPr>
              <w:t>（  2025 年度）</w:t>
            </w:r>
          </w:p>
        </w:tc>
      </w:tr>
      <w:tr>
        <w:trPr>
          <w:trHeight w:val="90"/>
        </w:trPr>
        <w:tc>
          <w:tcPr>
            <w:tcW w:w="12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填报单位：</w:t>
            </w:r>
          </w:p>
        </w:tc>
        <w:tc>
          <w:tcPr>
            <w:tcW w:w="1096"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老干部局</w:t>
            </w:r>
          </w:p>
        </w:tc>
        <w:tc>
          <w:tcPr>
            <w:tcW w:w="1096"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1264"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1431"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544"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655"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1356"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金额单位：万元</w:t>
            </w:r>
          </w:p>
        </w:tc>
      </w:tr>
      <w:tr>
        <w:trPr>
          <w:trHeight w:val="90"/>
        </w:trPr>
        <w:tc>
          <w:tcPr>
            <w:tcW w:w="1233" w:type="dxa"/>
            <w:tcBorders>
              <w:top w:val="single" w:sz="4" w:space="0" w:color="000000"/>
              <w:left w:val="single" w:sz="4" w:space="0" w:color="000000"/>
              <w:bottom w:val="nil"/>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一、</w:t>
            </w:r>
            <w:r>
              <w:rPr>
                <w:rFonts w:ascii="Calibri" w:eastAsia="宋体" w:cs="Calibri" w:hAnsi="Calibri"/>
                <w:i w:val="0"/>
                <w:iCs w:val="0"/>
                <w:color w:val="000000"/>
                <w:kern w:val="0"/>
                <w:sz w:val="16"/>
                <w:szCs w:val="16"/>
                <w:u w:val="none"/>
                <w:lang w:val="en-US" w:eastAsia="zh-CN"/>
              </w:rPr>
              <w:t xml:space="preserve"> </w:t>
            </w:r>
            <w:r>
              <w:rPr>
                <w:rFonts w:ascii="宋体" w:eastAsia="宋体" w:cs="宋体" w:hAnsi="宋体" w:hint="eastAsia"/>
                <w:i w:val="0"/>
                <w:iCs w:val="0"/>
                <w:color w:val="000000"/>
                <w:kern w:val="0"/>
                <w:sz w:val="16"/>
                <w:szCs w:val="16"/>
                <w:u w:val="none"/>
                <w:lang w:val="en-US" w:eastAsia="zh-CN"/>
              </w:rPr>
              <w:t>基本情况</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项目名称</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实施(主管）单位</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老干部局</w:t>
            </w:r>
          </w:p>
        </w:tc>
      </w:tr>
      <w:tr>
        <w:trPr>
          <w:trHeight w:val="9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二、预算执行情况</w:t>
            </w:r>
          </w:p>
        </w:tc>
        <w:tc>
          <w:tcPr>
            <w:tcW w:w="21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预算安排情况（调整后）</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资金到位情况</w:t>
            </w:r>
          </w:p>
        </w:tc>
        <w:tc>
          <w:tcPr>
            <w:tcW w:w="119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资金执行情况</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预算执行进度</w:t>
            </w:r>
          </w:p>
        </w:tc>
      </w:tr>
      <w:tr>
        <w:trPr>
          <w:trHeight w:val="9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预算数：</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到位数：</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执行数：</w:t>
            </w:r>
          </w:p>
        </w:tc>
        <w:tc>
          <w:tcPr>
            <w:tcW w:w="6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Calibri" w:eastAsia="宋体" w:cs="Calibri" w:hAnsi="Calibri"/>
                <w:i w:val="0"/>
                <w:iCs w:val="0"/>
                <w:color w:val="000000"/>
                <w:sz w:val="21"/>
                <w:szCs w:val="21"/>
                <w:u w:val="none"/>
              </w:rPr>
            </w:pPr>
            <w:r>
              <w:rPr>
                <w:rFonts w:ascii="Calibri" w:eastAsia="宋体" w:cs="Calibri" w:hAnsi="Calibri"/>
                <w:i w:val="0"/>
                <w:iCs w:val="0"/>
                <w:color w:val="000000"/>
                <w:kern w:val="0"/>
                <w:sz w:val="21"/>
                <w:szCs w:val="21"/>
                <w:u w:val="none"/>
                <w:lang w:val="en-US" w:eastAsia="zh-CN"/>
              </w:rPr>
              <w:t>3</w:t>
            </w:r>
          </w:p>
        </w:tc>
        <w:tc>
          <w:tcPr>
            <w:tcW w:w="13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r>
      <w:tr>
        <w:trPr>
          <w:trHeight w:val="9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其中：财政资金</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其中：财政资金</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其中：财政资金</w:t>
            </w:r>
          </w:p>
        </w:tc>
        <w:tc>
          <w:tcPr>
            <w:tcW w:w="6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13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9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其他</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Calibri" w:eastAsia="宋体" w:cs="Calibri" w:hAnsi="Calibri"/>
                <w:i w:val="0"/>
                <w:iCs w:val="0"/>
                <w:color w:val="000000"/>
                <w:sz w:val="21"/>
                <w:szCs w:val="21"/>
                <w:u w:val="none"/>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其他</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Ansi="宋体" w:hint="eastAsia"/>
                <w:i w:val="0"/>
                <w:iCs w:val="0"/>
                <w:color w:val="000000"/>
                <w:sz w:val="16"/>
                <w:szCs w:val="16"/>
                <w:u w:val="none"/>
              </w:rPr>
            </w:pP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其他</w:t>
            </w:r>
          </w:p>
        </w:tc>
        <w:tc>
          <w:tcPr>
            <w:tcW w:w="65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Ansi="宋体" w:hint="eastAsia"/>
                <w:i w:val="0"/>
                <w:iCs w:val="0"/>
                <w:color w:val="000000"/>
                <w:sz w:val="16"/>
                <w:szCs w:val="16"/>
                <w:u w:val="none"/>
              </w:rPr>
            </w:pPr>
          </w:p>
        </w:tc>
        <w:tc>
          <w:tcPr>
            <w:tcW w:w="13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9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三、目标完成情况</w:t>
            </w:r>
          </w:p>
        </w:tc>
        <w:tc>
          <w:tcPr>
            <w:tcW w:w="3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年度预期目标</w:t>
            </w:r>
          </w:p>
        </w:tc>
        <w:tc>
          <w:tcPr>
            <w:tcW w:w="26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具体完成情况</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总体完成率</w:t>
            </w:r>
          </w:p>
        </w:tc>
      </w:tr>
      <w:tr>
        <w:trPr>
          <w:trHeight w:val="312"/>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45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1.2025年8月20日前将抗战时期及以前参加革命工作的离休干部一次性补助发放到个人。2.通过发放一次性补助，充分体现党中央对老同志的关怀和照顾。</w:t>
            </w:r>
          </w:p>
        </w:tc>
        <w:tc>
          <w:tcPr>
            <w:tcW w:w="26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已完成</w:t>
            </w:r>
          </w:p>
        </w:tc>
        <w:tc>
          <w:tcPr>
            <w:tcW w:w="13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r>
      <w:tr>
        <w:trPr>
          <w:trHeight w:val="312"/>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45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3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12"/>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45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3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90"/>
        </w:trPr>
        <w:tc>
          <w:tcPr>
            <w:tcW w:w="1233" w:type="dxa"/>
            <w:vMerge w:val="restart"/>
            <w:tcBorders>
              <w:top w:val="single" w:sz="4" w:space="0" w:color="000000"/>
              <w:left w:val="single" w:sz="4" w:space="0" w:color="000000"/>
              <w:bottom w:val="single" w:sz="4" w:space="0" w:color="000000"/>
              <w:right w:val="nil"/>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四、</w:t>
            </w:r>
            <w:r>
              <w:rPr>
                <w:rFonts w:ascii="Calibri" w:eastAsia="宋体" w:cs="Calibri" w:hAnsi="Calibri"/>
                <w:i w:val="0"/>
                <w:iCs w:val="0"/>
                <w:color w:val="000000"/>
                <w:kern w:val="0"/>
                <w:sz w:val="16"/>
                <w:szCs w:val="16"/>
                <w:u w:val="none"/>
                <w:lang w:val="en-US" w:eastAsia="zh-CN"/>
              </w:rPr>
              <w:t xml:space="preserve"> </w:t>
            </w:r>
            <w:r>
              <w:rPr>
                <w:rFonts w:ascii="宋体" w:eastAsia="宋体" w:cs="宋体" w:hAnsi="宋体" w:hint="eastAsia"/>
                <w:i w:val="0"/>
                <w:iCs w:val="0"/>
                <w:color w:val="000000"/>
                <w:kern w:val="0"/>
                <w:sz w:val="16"/>
                <w:szCs w:val="16"/>
                <w:u w:val="none"/>
                <w:lang w:val="en-US" w:eastAsia="zh-CN"/>
              </w:rPr>
              <w:t>年度绩效指标完成情况</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一级指标</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二级指标</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三级指标</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预期指标值</w:t>
            </w:r>
          </w:p>
        </w:tc>
        <w:tc>
          <w:tcPr>
            <w:tcW w:w="6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实际完成值</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自评得分</w:t>
            </w: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val="restart"/>
            <w:tcBorders>
              <w:top w:val="single" w:sz="4" w:space="0" w:color="000000"/>
              <w:left w:val="single" w:sz="4" w:space="0" w:color="000000"/>
              <w:bottom w:val="nil"/>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产出指标（50）</w:t>
            </w: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数量指标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抗战时期及以前参加革命工作的离休干部一次性补助发放人数。</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Ansi="宋体" w:hint="eastAsia"/>
                <w:i w:val="0"/>
                <w:iCs w:val="0"/>
                <w:color w:val="000000"/>
                <w:sz w:val="16"/>
                <w:szCs w:val="16"/>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质量指标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抗战时期及以前参加革命工作的离休干部一次性补助发放标准。</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时效指标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抗战时期及以前参加革命工作的离休干部一次性补助发放到位时间。</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成本指标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抗战时期及以前参加革命工作的离休干部一次性补助资金规模。</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val="restart"/>
            <w:tcBorders>
              <w:top w:val="nil"/>
              <w:left w:val="single" w:sz="4" w:space="0" w:color="000000"/>
              <w:bottom w:val="nil"/>
              <w:right w:val="single" w:sz="4" w:space="0" w:color="000000"/>
            </w:tcBorders>
            <w:shd w:val="clear" w:color="auto" w:fill="auto"/>
            <w:vAlign w:val="center"/>
          </w:tcPr>
          <w:p>
            <w:pPr>
              <w:jc w:val="center"/>
              <w:rPr>
                <w:rFonts w:ascii="宋体" w:eastAsia="宋体" w:cs="宋体" w:hAnsi="宋体" w:hint="eastAsia"/>
                <w:i w:val="0"/>
                <w:iCs w:val="0"/>
                <w:color w:val="000000"/>
                <w:sz w:val="16"/>
                <w:szCs w:val="16"/>
                <w:u w:val="none"/>
              </w:rPr>
            </w:pPr>
          </w:p>
        </w:tc>
        <w:tc>
          <w:tcPr>
            <w:tcW w:w="1096" w:type="dxa"/>
            <w:vMerge w:val="restart"/>
            <w:tcBorders>
              <w:top w:val="single" w:sz="4" w:space="0" w:color="000000"/>
              <w:left w:val="nil"/>
              <w:bottom w:val="single" w:sz="4" w:space="0" w:color="000000"/>
              <w:right w:val="nil"/>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社会效益指标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在抗战胜利80周年，充分体现党中央对老同志的关怀和照顾。</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nil"/>
              <w:bottom w:val="single" w:sz="4" w:space="0" w:color="000000"/>
              <w:right w:val="nil"/>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nil"/>
              <w:bottom w:val="single" w:sz="4" w:space="0" w:color="000000"/>
              <w:right w:val="nil"/>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val="restart"/>
            <w:tcBorders>
              <w:top w:val="single" w:sz="4" w:space="0" w:color="000000"/>
              <w:left w:val="nil"/>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满意度指标</w:t>
            </w:r>
          </w:p>
        </w:tc>
        <w:tc>
          <w:tcPr>
            <w:tcW w:w="2695" w:type="dxa"/>
            <w:gridSpan w:val="2"/>
            <w:vMerge w:val="restart"/>
            <w:tcBorders>
              <w:top w:val="single" w:sz="4" w:space="0" w:color="000000"/>
              <w:left w:val="single" w:sz="4" w:space="0" w:color="000000"/>
              <w:bottom w:val="nil"/>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健在的抗日战争时期及以前参加革命工作的离休干部满意度。</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nil"/>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nil"/>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nil"/>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nil"/>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nil"/>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60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总分</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Calibri" w:eastAsia="宋体" w:cs="Calibri" w:hAnsi="Calibri"/>
                <w:i w:val="0"/>
                <w:iCs w:val="0"/>
                <w:color w:val="000000"/>
                <w:sz w:val="21"/>
                <w:szCs w:val="21"/>
                <w:u w:val="none"/>
              </w:rPr>
            </w:pPr>
            <w:r>
              <w:rPr>
                <w:rFonts w:ascii="Calibri" w:eastAsia="宋体" w:cs="Calibri" w:hAnsi="Calibri"/>
                <w:i w:val="0"/>
                <w:iCs w:val="0"/>
                <w:color w:val="000000"/>
                <w:kern w:val="0"/>
                <w:sz w:val="21"/>
                <w:szCs w:val="21"/>
                <w:u w:val="none"/>
                <w:lang w:val="en-US" w:eastAsia="zh-CN"/>
              </w:rPr>
              <w:t>100</w:t>
            </w:r>
          </w:p>
        </w:tc>
      </w:tr>
      <w:tr>
        <w:trPr>
          <w:trHeight w:val="90"/>
        </w:trPr>
        <w:tc>
          <w:tcPr>
            <w:tcW w:w="1233" w:type="dxa"/>
            <w:tcBorders>
              <w:top w:val="nil"/>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五、</w:t>
            </w:r>
            <w:r>
              <w:rPr>
                <w:rFonts w:ascii="Calibri" w:eastAsia="宋体" w:cs="Calibri" w:hAnsi="Calibri"/>
                <w:i w:val="0"/>
                <w:iCs w:val="0"/>
                <w:color w:val="000000"/>
                <w:kern w:val="0"/>
                <w:sz w:val="16"/>
                <w:szCs w:val="16"/>
                <w:u w:val="none"/>
                <w:lang w:val="en-US" w:eastAsia="zh-CN"/>
              </w:rPr>
              <w:t xml:space="preserve"> </w:t>
            </w:r>
            <w:r>
              <w:rPr>
                <w:rStyle w:val="29"/>
                <w:lang w:val="en-US" w:eastAsia="zh-CN"/>
              </w:rPr>
              <w:t>存在问题、原因及下一步整改措施</w:t>
            </w:r>
          </w:p>
        </w:tc>
        <w:tc>
          <w:tcPr>
            <w:tcW w:w="744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jc w:val="left"/>
              <w:rPr>
                <w:rFonts w:ascii="宋体" w:eastAsia="宋体" w:cs="宋体" w:hAnsi="宋体" w:hint="eastAsia"/>
                <w:i w:val="0"/>
                <w:iCs w:val="0"/>
                <w:color w:val="000000"/>
                <w:sz w:val="16"/>
                <w:szCs w:val="16"/>
                <w:u w:val="none"/>
              </w:rPr>
            </w:pPr>
          </w:p>
        </w:tc>
      </w:tr>
    </w:tbl>
    <w:p>
      <w:pPr>
        <w:widowControl/>
        <w:spacing w:before="0" w:beforeAutospacing="0" w:after="0" w:afterAutospacing="0" w:line="360" w:lineRule="auto"/>
        <w:ind w:firstLineChars="200" w:firstLine="640"/>
        <w:jc w:val="left"/>
        <w:rPr>
          <w:rFonts w:ascii="Times New Roman" w:eastAsia="仿宋_GB2312" w:hAnsi="Times New Roman"/>
          <w:b w:val="0"/>
          <w:sz w:val="32"/>
          <w:szCs w:val="32"/>
        </w:rPr>
      </w:pPr>
    </w:p>
    <w:p>
      <w:pPr>
        <w:widowControl/>
        <w:spacing w:before="0" w:beforeAutospacing="0" w:after="0" w:afterAutospacing="0" w:line="360" w:lineRule="auto"/>
        <w:ind w:firstLineChars="200" w:firstLine="640"/>
        <w:jc w:val="left"/>
        <w:rPr>
          <w:rFonts w:ascii="Times New Roman" w:eastAsia="仿宋_GB2312" w:hAnsi="Times New Roman" w:hint="eastAsia"/>
          <w:sz w:val="32"/>
          <w:szCs w:val="32"/>
          <w:lang w:eastAsia="zh-CN"/>
        </w:rPr>
      </w:pPr>
      <w:r>
        <w:rPr>
          <w:rFonts w:ascii="Times New Roman" w:eastAsia="仿宋_GB2312" w:hAnsi="Times New Roman"/>
          <w:b/>
          <w:sz w:val="32"/>
          <w:szCs w:val="32"/>
        </w:rPr>
        <w:t>（三）部门评价项目绩效评价结果</w:t>
      </w:r>
      <w:r>
        <w:rPr>
          <w:rFonts w:ascii="Times New Roman" w:eastAsia="仿宋_GB2312" w:hAnsi="Times New Roman" w:hint="eastAsia"/>
          <w:b/>
          <w:sz w:val="32"/>
          <w:szCs w:val="32"/>
          <w:lang w:val="en-US" w:eastAsia="zh-CN"/>
        </w:rPr>
        <w:t xml:space="preserve">  </w:t>
      </w:r>
      <w:r>
        <w:rPr>
          <w:rFonts w:ascii="Times New Roman" w:eastAsia="仿宋_GB2312" w:hAnsi="Times New Roman" w:hint="eastAsia"/>
          <w:b/>
          <w:sz w:val="32"/>
          <w:szCs w:val="32"/>
          <w:lang w:eastAsia="zh-CN"/>
        </w:rPr>
        <w:t>无</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p>
    <w:p>
      <w:pPr>
        <w:widowControl/>
        <w:spacing w:before="0" w:beforeAutospacing="0" w:after="0" w:afterAutospacing="0" w:line="360" w:lineRule="auto"/>
        <w:ind w:firstLineChars="200" w:firstLine="640"/>
        <w:jc w:val="left"/>
        <w:rPr>
          <w:rFonts w:ascii="Times New Roman" w:eastAsia="黑体" w:hAnsi="Times New Roman"/>
          <w:sz w:val="32"/>
          <w:szCs w:val="32"/>
        </w:rPr>
      </w:pPr>
      <w:r>
        <w:rPr>
          <w:rFonts w:ascii="Times New Roman" w:eastAsia="黑体" w:hAnsi="Times New Roman"/>
          <w:b w:val="0"/>
          <w:sz w:val="32"/>
          <w:szCs w:val="32"/>
        </w:rPr>
        <w:t>十、其他需要说明的情况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由于决算公开表格中金额数值应当保留两位小数，公开数据为四舍五入计算结果，个别数据合计项与分项之和存在小数点后差额，特此说明。</w:t>
      </w:r>
    </w:p>
    <w:p>
      <w:pPr>
        <w:rPr>
          <w:rFonts w:ascii="Times New Roman" w:eastAsia="仿宋_GB2312" w:cs="Times New Roman" w:hAnsi="Times New Roman"/>
          <w:sz w:val="32"/>
          <w:szCs w:val="32"/>
        </w:rPr>
      </w:pPr>
      <w:r>
        <w:rPr>
          <w:rFonts w:ascii="Times New Roman" w:eastAsia="仿宋_GB2312" w:cs="Times New Roman" w:hAnsi="Times New Roman"/>
          <w:sz w:val="32"/>
          <w:szCs w:val="32"/>
        </w:rPr>
        <w:br w:type="page"/>
      </w: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第四部分 名词解释</w:t>
      </w: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一、财政拨款收入：</w:t>
      </w:r>
      <w:r>
        <w:rPr>
          <w:rFonts w:ascii="Times New Roman" w:eastAsia="仿宋_GB2312" w:hAnsi="Times New Roman"/>
          <w:b w:val="0"/>
          <w:sz w:val="32"/>
          <w:szCs w:val="32"/>
        </w:rPr>
        <w:t>指单位从同级财政部门取得的财政预算资金。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二、事业收入：</w:t>
      </w:r>
      <w:r>
        <w:rPr>
          <w:rFonts w:ascii="Times New Roman" w:eastAsia="仿宋_GB2312" w:hAnsi="Times New Roman"/>
          <w:b w:val="0"/>
          <w:sz w:val="32"/>
          <w:szCs w:val="32"/>
        </w:rPr>
        <w:t>指事业单位开展专业业务活动及辅助活动取得的收入。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三、经营收入：</w:t>
      </w:r>
      <w:r>
        <w:rPr>
          <w:rFonts w:ascii="Times New Roman" w:eastAsia="仿宋_GB2312" w:hAnsi="Times New Roman"/>
          <w:b w:val="0"/>
          <w:sz w:val="32"/>
          <w:szCs w:val="32"/>
        </w:rPr>
        <w:t>指事业单位在专业业务活动及其辅助活动之外开展非独立核算经营活动取得的收入。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四、其他收入：</w:t>
      </w:r>
      <w:r>
        <w:rPr>
          <w:rFonts w:ascii="Times New Roman" w:eastAsia="仿宋_GB2312" w:hAnsi="Times New Roman"/>
          <w:b w:val="0"/>
          <w:sz w:val="32"/>
          <w:szCs w:val="32"/>
        </w:rPr>
        <w:t>指单位取得的除上述收入以外的各项收入。主要是事业单位固定资产出租收入、存款利息收入等。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五、使用非财政拨款结余（含专用结余）：</w:t>
      </w:r>
      <w:r>
        <w:rPr>
          <w:rFonts w:ascii="Times New Roman" w:eastAsia="仿宋_GB2312" w:hAnsi="Times New Roman"/>
          <w:b w:val="0"/>
          <w:sz w:val="32"/>
          <w:szCs w:val="32"/>
        </w:rPr>
        <w:t>指事业单位按照预算管理要求使用非财政拨款结余弥补收支差额的金额，以及使用专用结余安排支出的金额。</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六、年初结转和结余：</w:t>
      </w:r>
      <w:r>
        <w:rPr>
          <w:rFonts w:ascii="Times New Roman" w:eastAsia="仿宋_GB2312" w:hAnsi="Times New Roman"/>
          <w:b w:val="0"/>
          <w:sz w:val="32"/>
          <w:szCs w:val="32"/>
        </w:rPr>
        <w:t>指单位以前年度尚未完成、结转到本年仍按原规定用途继续使用的资金，或项目已完成等产生的结余资金。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七、结余分配：</w:t>
      </w:r>
      <w:r>
        <w:rPr>
          <w:rFonts w:ascii="Times New Roman" w:eastAsia="仿宋_GB2312" w:hAnsi="Times New Roman"/>
          <w:b w:val="0"/>
          <w:sz w:val="32"/>
          <w:szCs w:val="32"/>
        </w:rPr>
        <w:t>指事业单位按照会计制度规定缴纳的所得税、提取的专用结余以及转入非财政拨款结余的金额等。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八、年末结转和结余：</w:t>
      </w:r>
      <w:r>
        <w:rPr>
          <w:rFonts w:ascii="Times New Roman" w:eastAsia="仿宋_GB2312" w:hAnsi="Times New Roman"/>
          <w:b w:val="0"/>
          <w:sz w:val="32"/>
          <w:szCs w:val="32"/>
        </w:rPr>
        <w:t>指单位按有关规定结转到下年或以后年度继续使用的资金，或项目已完成等产生的结余资金。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九、基本支出：</w:t>
      </w:r>
      <w:r>
        <w:rPr>
          <w:rFonts w:ascii="Times New Roman" w:eastAsia="仿宋_GB2312" w:hAnsi="Times New Roman"/>
          <w:b w:val="0"/>
          <w:sz w:val="32"/>
          <w:szCs w:val="32"/>
        </w:rPr>
        <w:t>指为保障机构正常运转、完成日常工作任务而发生的人员支出和公用支出。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十、项目支出：</w:t>
      </w:r>
      <w:r>
        <w:rPr>
          <w:rFonts w:ascii="Times New Roman" w:eastAsia="仿宋_GB2312" w:hAnsi="Times New Roman"/>
          <w:b w:val="0"/>
          <w:sz w:val="32"/>
          <w:szCs w:val="32"/>
        </w:rPr>
        <w:t>指在基本支出之外为完成特定行政任务和事业发展目标所发生的支出。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十一、经营支出 ：</w:t>
      </w:r>
      <w:r>
        <w:rPr>
          <w:rFonts w:ascii="Times New Roman" w:eastAsia="仿宋_GB2312" w:hAnsi="Times New Roman"/>
          <w:b w:val="0"/>
          <w:sz w:val="32"/>
          <w:szCs w:val="32"/>
        </w:rPr>
        <w:t>指事业单位在专业业务活动及其辅助活动之外开展非独立核算经营活动发生的支出。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十二、基本建设支出：</w:t>
      </w:r>
      <w:r>
        <w:rPr>
          <w:rFonts w:ascii="Times New Roman" w:eastAsia="仿宋_GB2312" w:hAnsi="Times New Roman"/>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十三、其他资本性支出：</w:t>
      </w:r>
      <w:r>
        <w:rPr>
          <w:rFonts w:ascii="Times New Roman" w:eastAsia="仿宋_GB2312" w:hAnsi="Times New Roman"/>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十四、“三公”经费：</w:t>
      </w:r>
      <w:r>
        <w:rPr>
          <w:rFonts w:ascii="Times New Roman" w:eastAsia="仿宋_GB2312" w:hAnsi="Times New Roman"/>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十五、其他交通费用：</w:t>
      </w:r>
      <w:r>
        <w:rPr>
          <w:rFonts w:ascii="Times New Roman" w:eastAsia="仿宋_GB2312" w:hAnsi="Times New Roman"/>
          <w:b w:val="0"/>
          <w:sz w:val="32"/>
          <w:szCs w:val="32"/>
        </w:rPr>
        <w:t>填列单位除公务用车运行维护费以外的其他交通费用。如公务交通补贴、租车费用、出租车费用，飞机、船舶等燃料费、维修费、保险费等。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十六、公务用车购置：</w:t>
      </w:r>
      <w:r>
        <w:rPr>
          <w:rFonts w:ascii="Times New Roman" w:eastAsia="仿宋_GB2312" w:hAnsi="Times New Roman"/>
          <w:b w:val="0"/>
          <w:sz w:val="32"/>
          <w:szCs w:val="32"/>
        </w:rPr>
        <w:t>填列单位公务用车车辆购置支出（含车辆购置税、牌照费）。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十七、其他交通工具购置：</w:t>
      </w:r>
      <w:r>
        <w:rPr>
          <w:rFonts w:ascii="Times New Roman" w:eastAsia="仿宋_GB2312" w:hAnsi="Times New Roman"/>
          <w:b w:val="0"/>
          <w:sz w:val="32"/>
          <w:szCs w:val="32"/>
        </w:rPr>
        <w:t>填列单位除公务用车外的其他各类交通工具（如船舶、飞机等）购置支出（含车辆购置税、牌照费）。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十八、机关运行经费：</w:t>
      </w:r>
      <w:r>
        <w:rPr>
          <w:rFonts w:ascii="Times New Roman" w:eastAsia="仿宋_GB2312" w:hAnsi="Times New Roman"/>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rtlGutter/>
      <w:docGrid w:type="lines" w:linePitch="329" w:charSpace="0"/>
    </w:sectPr>
  </w:body>
</w:document>
</file>

<file path=word/fontTable.xml><?xml version="1.0" encoding="utf-8"?>
<w:fonts xmlns:w="http://schemas.openxmlformats.org/wordprocessingml/2006/main" xmlns:r="http://schemas.openxmlformats.org/officeDocument/2006/relationships">
  <w:font w:name="微软雅黑">
    <w:panose1 w:val="020B0503020204020204"/>
    <w:charset w:val="86"/>
    <w:family w:val="auto"/>
    <w:pitch w:val="variable"/>
    <w:sig w:usb0="80000287" w:usb1="280F3C52" w:usb2="00000016" w:usb3="00000000" w:csb0="0004001F" w:csb1="00000000"/>
  </w:font>
  <w:font w:name="楷体_GB2312">
    <w:altName w:val="楷体"/>
    <w:panose1 w:val="02010609030101010101"/>
    <w:charset w:val="86"/>
    <w:family w:val="auto"/>
    <w:pitch w:val="variable"/>
    <w:sig w:usb0="00000001" w:usb1="080E0000" w:usb2="00000000" w:usb3="00000000" w:csb0="00040000" w:csb1="00000000"/>
  </w:font>
  <w:font w:name="黑体">
    <w:altName w:val="微软雅黑"/>
    <w:panose1 w:val="02010609060101010101"/>
    <w:charset w:val="86"/>
    <w:family w:val="auto"/>
    <w:pitch w:val="variable"/>
    <w:sig w:usb0="800002BF" w:usb1="38CF7CFA" w:usb2="00000016" w:usb3="00000000" w:csb0="00040001" w:csb1="00000000"/>
  </w:font>
  <w:font w:name="Times New Roman">
    <w:panose1 w:val="02020603050405020304"/>
    <w:charset w:val="86"/>
    <w:family w:val="roman"/>
    <w:pitch w:val="variable"/>
    <w:sig w:usb0="E0002AFF" w:usb1="C0007841" w:usb2="00000009" w:usb3="00000000" w:csb0="400001FF" w:csb1="FFFF0000"/>
  </w:font>
  <w:font w:name="方正小标宋_GBK">
    <w:altName w:val="微软雅黑"/>
    <w:panose1 w:val="02000000000000000000"/>
    <w:charset w:val="86"/>
    <w:family w:val="script"/>
    <w:pitch w:val="variable"/>
    <w:sig w:usb0="A00002BF" w:usb1="38CF7CFA" w:usb2="00082016" w:usb3="00000000" w:csb0="00040001" w:csb1="00000000"/>
  </w:font>
  <w:font w:name="仿宋_GB2312">
    <w:altName w:val="仿宋"/>
    <w:panose1 w:val="02010609030101010101"/>
    <w:charset w:val="86"/>
    <w:family w:val="auto"/>
    <w:pitch w:val="variable"/>
    <w:sig w:usb0="00000001" w:usb1="080E0000" w:usb2="00000000" w:usb3="00000000" w:csb0="00040000" w:csb1="00000000"/>
  </w:font>
  <w:font w:name="宋体">
    <w:panose1 w:val="02010600030101010101"/>
    <w:charset w:val="50"/>
    <w:family w:val="auto"/>
    <w:pitch w:val="variable"/>
    <w:sig w:usb0="000000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ArialUnicodeMS">
    <w:altName w:val="hakuyoxingshu7000"/>
    <w:panose1 w:val="00000000000000000000"/>
    <w:charset w:val="81"/>
    <w:family w:val="auto"/>
    <w:pitch w:val="variable"/>
    <w:sig w:usb0="00000000" w:usb1="00000000" w:usb2="00000010" w:usb3="00000000" w:csb0="00080001" w:csb1="00000000"/>
  </w:font>
  <w:font w:name="Calibri">
    <w:panose1 w:val="020F0502020204030204"/>
    <w:charset w:val="00"/>
    <w:family w:val="swiss"/>
    <w:pitch w:val="variable"/>
    <w:sig w:usb0="E10002FF" w:usb1="4000ACFF" w:usb2="00000009" w:usb3="00000000" w:csb0="2000019F" w:csb1="00000000"/>
  </w:font>
  <w:font w:name="方正仿宋_GB2312">
    <w:altName w:val="微软雅黑"/>
    <w:panose1 w:val="02000000000000000000"/>
    <w:charset w:val="86"/>
    <w:family w:val="auto"/>
    <w:pitch w:val="variable"/>
    <w:sig w:usb0="A00002BF" w:usb1="184F6CFA" w:usb2="00000012" w:usb3="00000000" w:csb0="00040001" w:csb1="00000000"/>
  </w:font>
  <w:font w:name="Arial">
    <w:panose1 w:val="020B0604020202020204"/>
    <w:charset w:val="01"/>
    <w:family w:val="swiss"/>
    <w:pitch w:val="variable"/>
    <w:sig w:usb0="E0002AFF" w:usb1="C0007843" w:usb2="00000009" w:usb3="00000000" w:csb0="400001FF" w:csb1="FFFF0000"/>
  </w:font>
  <w:font w:name="DengXian-Regular">
    <w:altName w:val="宋体"/>
    <w:panose1 w:val="00000000000000000000"/>
    <w:charset w:val="86"/>
    <w:family w:val="auto"/>
    <w:pitch w:val="variable"/>
    <w:sig w:usb0="00000000" w:usb1="00000000" w:usb2="00000010" w:usb3="00000000" w:csb0="00040001" w:csb1="00000000"/>
  </w:font>
  <w:font w:name="Calibri Light">
    <w:altName w:val="Calibri"/>
    <w:panose1 w:val="020F0302020204030204"/>
    <w:charset w:val="00"/>
    <w:family w:val="auto"/>
    <w:pitch w:val="variable"/>
    <w:sig w:usb0="00000000" w:usb1="00000000" w:usb2="00000000" w:usb3="00000000" w:csb0="2000019F" w:csb1="00000000"/>
  </w:font>
  <w:font w:name="华文中宋">
    <w:altName w:val="宋体"/>
    <w:panose1 w:val="02010600040101010101"/>
    <w:charset w:val="86"/>
    <w:family w:val="auto"/>
    <w:pitch w:val="variable"/>
    <w:sig w:usb0="00000000" w:usb1="00000000" w:usb2="00000000" w:usb3="00000000" w:csb0="0004009F" w:csb1="DFD7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jc w:val="center"/>
    </w:pPr>
  </w:p>
  <w:p>
    <w:pPr>
      <w:pStyle w:val="17"/>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7D08A3DF"/>
    <w:multiLevelType w:val="multilevel"/>
    <w:tmpl w:val="5F16A424"/>
    <w:lvl w:ilvl="0">
      <w:start w:val="1"/>
      <w:numFmt w:val="decimal"/>
      <w:lvlRestart w:val="0"/>
      <w:pStyle w:val="1"/>
      <w:lvlText w:val="%1."/>
      <w:lvlJc w:val="left"/>
      <w:pPr>
        <w:ind w:left="425" w:hanging="425"/>
      </w:pPr>
      <w:rPr>
        <w:rFonts w:hint="default"/>
      </w:rPr>
    </w:lvl>
    <w:lvl w:ilvl="1">
      <w:start w:val="1"/>
      <w:numFmt w:val="decimal"/>
      <w:pStyle w:val="2"/>
      <w:lvlText w:val="%1.%2."/>
      <w:lvlJc w:val="left"/>
      <w:pPr>
        <w:ind w:left="567" w:hanging="567"/>
      </w:pPr>
      <w:rPr>
        <w:rFonts w:hint="default"/>
      </w:rPr>
    </w:lvl>
    <w:lvl w:ilvl="2">
      <w:start w:val="1"/>
      <w:numFmt w:val="decimal"/>
      <w:pStyle w:val="3"/>
      <w:lvlText w:val="%1.%2.%3."/>
      <w:lvlJc w:val="left"/>
      <w:pPr>
        <w:ind w:left="709" w:hanging="709"/>
      </w:pPr>
      <w:rPr>
        <w:rFonts w:hint="default"/>
      </w:rPr>
    </w:lvl>
    <w:lvl w:ilvl="3">
      <w:start w:val="1"/>
      <w:numFmt w:val="decimal"/>
      <w:pStyle w:val="4"/>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73"/>
  <w:displayBackgroundShape/>
  <w:bordersDoNotSurroundHeader w:val="0"/>
  <w:bordersDoNotSurroundFooter w:val="0"/>
  <w:documentProtection w:edit="readOnly" w:enforcement="0"/>
  <w:defaultTabStop w:val="420"/>
  <w:drawingGridHorizontalSpacing w:val="120"/>
  <w:drawingGridVerticalSpacing w:val="165"/>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docVars>
    <w:docVar w:name="commondata" w:val="eyJjb3VudCI6NjksImhkaWQiOiJiMzk2N2EzZjUyYWViODRjZjJhMDZjM2YyYjk4MTExMiIsInVzZXJDb3VudCI6MX0="/>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jc w:val="both"/>
    </w:pPr>
    <w:rPr>
      <w:rFonts w:ascii="Calibri" w:eastAsia="宋体" w:cs="宋体" w:hAnsi="Times New Roman"/>
      <w:color w:val="auto"/>
      <w:kern w:val="0"/>
      <w:sz w:val="24"/>
      <w:szCs w:val="24"/>
      <w:lang w:val="en-US" w:eastAsia="zh-CN" w:bidi="ar-SA"/>
    </w:rPr>
  </w:style>
  <w:style w:type="paragraph" w:styleId="1">
    <w:name w:val="heading 1"/>
    <w:basedOn w:val="0"/>
    <w:next w:val="0"/>
    <w:pPr>
      <w:keepNext/>
      <w:keepLines/>
      <w:widowControl w:val="0"/>
      <w:numPr>
        <w:ilvl w:val="0"/>
        <w:numId w:val="1"/>
      </w:numPr>
      <w:adjustRightInd w:val="0"/>
      <w:snapToGrid w:val="0"/>
      <w:spacing w:before="340" w:afterLines="50" w:after="50" w:line="578" w:lineRule="auto"/>
      <w:ind w:left="425" w:hanging="425"/>
      <w:jc w:val="left"/>
      <w:outlineLvl w:val="0"/>
    </w:pPr>
    <w:rPr>
      <w:rFonts w:ascii="Times New Roman" w:eastAsia="仿宋" w:cs="Times New Roman" w:hAnsi="Times New Roman"/>
      <w:b/>
      <w:bCs/>
      <w:kern w:val="44"/>
      <w:sz w:val="36"/>
      <w:szCs w:val="44"/>
    </w:rPr>
  </w:style>
  <w:style w:type="paragraph" w:styleId="2">
    <w:name w:val="heading 2"/>
    <w:basedOn w:val="0"/>
    <w:next w:val="0"/>
    <w:pPr>
      <w:widowControl w:val="0"/>
      <w:numPr>
        <w:ilvl w:val="1"/>
        <w:numId w:val="1"/>
      </w:numPr>
      <w:spacing w:line="415" w:lineRule="auto"/>
      <w:ind w:left="567" w:hanging="567"/>
      <w:outlineLvl w:val="1"/>
    </w:pPr>
    <w:rPr>
      <w:rFonts w:ascii="Calibri Light" w:eastAsia="宋体" w:cs="Times New Roman" w:hAnsi="Calibri Light"/>
      <w:b/>
      <w:bCs/>
      <w:sz w:val="28"/>
      <w:szCs w:val="32"/>
    </w:rPr>
  </w:style>
  <w:style w:type="paragraph" w:styleId="3">
    <w:name w:val="heading 3"/>
    <w:basedOn w:val="0"/>
    <w:next w:val="0"/>
    <w:pPr>
      <w:keepNext/>
      <w:keepLines/>
      <w:widowControl w:val="0"/>
      <w:numPr>
        <w:ilvl w:val="2"/>
        <w:numId w:val="1"/>
      </w:numPr>
      <w:spacing w:beforeLines="50" w:before="50" w:afterLines="50" w:after="50" w:line="415" w:lineRule="auto"/>
      <w:outlineLvl w:val="2"/>
    </w:pPr>
    <w:rPr>
      <w:rFonts w:ascii="宋体" w:eastAsia="宋体" w:cs="宋体" w:hAnsi="宋体"/>
      <w:b/>
      <w:bCs/>
      <w:sz w:val="32"/>
    </w:rPr>
  </w:style>
  <w:style w:type="paragraph" w:styleId="4">
    <w:name w:val="heading 4"/>
    <w:basedOn w:val="0"/>
    <w:next w:val="0"/>
    <w:pPr>
      <w:keepNext/>
      <w:keepLines/>
      <w:widowControl w:val="0"/>
      <w:numPr>
        <w:ilvl w:val="3"/>
        <w:numId w:val="1"/>
      </w:numPr>
      <w:spacing w:before="120" w:after="120"/>
      <w:outlineLvl w:val="3"/>
    </w:pPr>
    <w:rPr>
      <w:rFonts w:ascii="Calibri Light" w:eastAsia="宋体" w:cs="Times New Roman" w:hAnsi="Calibri Light"/>
      <w:b/>
      <w:bCs/>
      <w:sz w:val="28"/>
      <w:szCs w:val="28"/>
    </w:rPr>
  </w:style>
  <w:style w:type="character" w:default="1" w:styleId="10">
    <w:name w:val="Default Paragraph Font"/>
  </w:style>
  <w:style w:type="paragraph" w:styleId="15">
    <w:name w:val="annotation text"/>
    <w:basedOn w:val="0"/>
    <w:pPr>
      <w:jc w:val="left"/>
    </w:pPr>
  </w:style>
  <w:style w:type="paragraph" w:styleId="16">
    <w:name w:val="Balloon Text"/>
    <w:basedOn w:val="0"/>
    <w:rPr>
      <w:rFonts w:cs="Arial"/>
      <w:kern w:val="2"/>
      <w:sz w:val="18"/>
      <w:szCs w:val="18"/>
    </w:rPr>
  </w:style>
  <w:style w:type="paragraph" w:styleId="17">
    <w:name w:val="footer"/>
    <w:basedOn w:val="0"/>
    <w:pPr>
      <w:tabs>
        <w:tab w:val="center" w:pos="4153"/>
        <w:tab w:val="right" w:pos="8306"/>
      </w:tabs>
      <w:snapToGrid w:val="0"/>
      <w:jc w:val="left"/>
    </w:pPr>
    <w:rPr>
      <w:rFonts w:cs="Arial"/>
      <w:kern w:val="2"/>
      <w:sz w:val="18"/>
      <w:szCs w:val="18"/>
    </w:rPr>
  </w:style>
  <w:style w:type="paragraph" w:styleId="18">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jc w:val="center"/>
    </w:pPr>
    <w:rPr>
      <w:rFonts w:cs="Arial"/>
      <w:kern w:val="2"/>
      <w:sz w:val="18"/>
      <w:szCs w:val="18"/>
    </w:rPr>
  </w:style>
  <w:style w:type="paragraph" w:styleId="19">
    <w:name w:val="Normal (Web)"/>
    <w:basedOn w:val="0"/>
    <w:pPr>
      <w:spacing w:before="0" w:beforeAutospacing="1" w:after="0" w:afterAutospacing="1"/>
      <w:ind w:left="0" w:right="0"/>
      <w:jc w:val="left"/>
    </w:pPr>
    <w:rPr>
      <w:kern w:val="0"/>
      <w:sz w:val="24"/>
      <w:lang w:val="en-US" w:eastAsia="zh-CN"/>
    </w:rPr>
  </w:style>
  <w:style w:type="character" w:styleId="20">
    <w:name w:val="Strong"/>
    <w:basedOn w:val="10"/>
    <w:rPr>
      <w:b/>
    </w:rPr>
  </w:style>
  <w:style w:type="character" w:customStyle="1" w:styleId="21">
    <w:name w:val="font11"/>
    <w:basedOn w:val="10"/>
    <w:rPr>
      <w:rFonts w:ascii="宋体" w:eastAsia="宋体" w:cs="宋体" w:hAnsi="宋体"/>
      <w:color w:val="000000"/>
      <w:sz w:val="20"/>
      <w:szCs w:val="20"/>
      <w:u w:val="none"/>
      <w:lang w:val="en-US" w:eastAsia="zh-CN" w:bidi="ar-SA"/>
    </w:rPr>
  </w:style>
  <w:style w:type="character" w:customStyle="1" w:styleId="22">
    <w:name w:val="font01"/>
    <w:basedOn w:val="10"/>
    <w:rPr>
      <w:rFonts w:ascii="宋体" w:eastAsia="宋体" w:cs="宋体" w:hAnsi="宋体"/>
      <w:color w:val="000000"/>
      <w:sz w:val="22"/>
      <w:szCs w:val="22"/>
      <w:u w:val="none"/>
      <w:lang w:val="en-US" w:eastAsia="zh-CN" w:bidi="ar-SA"/>
    </w:rPr>
  </w:style>
  <w:style w:type="character" w:customStyle="1" w:styleId="23">
    <w:name w:val="font41"/>
    <w:basedOn w:val="10"/>
    <w:rPr>
      <w:rFonts w:ascii="宋体" w:eastAsia="宋体" w:cs="宋体" w:hAnsi="宋体"/>
      <w:color w:val="000000"/>
      <w:sz w:val="24"/>
      <w:szCs w:val="24"/>
      <w:u w:val="none"/>
      <w:lang w:val="en-US" w:eastAsia="zh-CN" w:bidi="ar-SA"/>
    </w:rPr>
  </w:style>
  <w:style w:type="character" w:customStyle="1" w:styleId="24">
    <w:name w:val="font31"/>
    <w:basedOn w:val="10"/>
    <w:rPr>
      <w:rFonts w:ascii="华文中宋" w:eastAsia="华文中宋" w:cs="华文中宋" w:hAnsi="华文中宋"/>
      <w:color w:val="000000"/>
      <w:sz w:val="32"/>
      <w:szCs w:val="32"/>
      <w:u w:val="none"/>
      <w:lang w:val="en-US" w:eastAsia="zh-CN" w:bidi="ar-SA"/>
    </w:rPr>
  </w:style>
  <w:style w:type="character" w:customStyle="1" w:styleId="25">
    <w:name w:val="font91"/>
    <w:basedOn w:val="10"/>
    <w:rPr>
      <w:rFonts w:ascii="华文中宋" w:eastAsia="华文中宋" w:cs="华文中宋" w:hAnsi="华文中宋"/>
      <w:color w:val="000000"/>
      <w:sz w:val="32"/>
      <w:szCs w:val="32"/>
      <w:u w:val="none"/>
      <w:lang w:val="en-US" w:eastAsia="zh-CN" w:bidi="ar-SA"/>
    </w:rPr>
  </w:style>
  <w:style w:type="character" w:customStyle="1" w:styleId="26">
    <w:name w:val="font51"/>
    <w:basedOn w:val="10"/>
    <w:rPr>
      <w:rFonts w:ascii="宋体" w:eastAsia="宋体" w:cs="宋体" w:hAnsi="宋体"/>
      <w:color w:val="000000"/>
      <w:sz w:val="24"/>
      <w:szCs w:val="24"/>
      <w:u w:val="none"/>
      <w:lang w:val="en-US" w:eastAsia="zh-CN" w:bidi="ar-SA"/>
    </w:rPr>
  </w:style>
  <w:style w:type="character" w:customStyle="1" w:styleId="27">
    <w:name w:val="font21"/>
    <w:basedOn w:val="10"/>
    <w:rPr>
      <w:rFonts w:ascii="方正仿宋_GB2312" w:eastAsia="方正仿宋_GB2312" w:cs="方正仿宋_GB2312" w:hAnsi="方正仿宋_GB2312"/>
      <w:color w:val="000000"/>
      <w:sz w:val="18"/>
      <w:szCs w:val="18"/>
      <w:u w:val="none"/>
    </w:rPr>
  </w:style>
  <w:style w:type="character" w:customStyle="1" w:styleId="28">
    <w:name w:val="font61"/>
    <w:basedOn w:val="10"/>
    <w:rPr>
      <w:rFonts w:ascii="方正仿宋_GB2312" w:eastAsia="方正仿宋_GB2312" w:cs="方正仿宋_GB2312" w:hAnsi="方正仿宋_GB2312"/>
      <w:color w:val="000000"/>
      <w:sz w:val="20"/>
      <w:szCs w:val="20"/>
      <w:u w:val="none"/>
    </w:rPr>
  </w:style>
  <w:style w:type="character" w:customStyle="1" w:styleId="29">
    <w:name w:val="font81"/>
    <w:basedOn w:val="10"/>
    <w:rPr>
      <w:rFonts w:ascii="宋体" w:eastAsia="宋体" w:cs="宋体" w:hAnsi="宋体"/>
      <w:color w:val="000000"/>
      <w:sz w:val="16"/>
      <w:szCs w:val="16"/>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jpeg"/><Relationship Id="rId4" Type="http://schemas.openxmlformats.org/officeDocument/2006/relationships/footer" Target="footer2.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3.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 Id="rId16" Type="http://schemas.openxmlformats.org/officeDocument/2006/relationships/chart" Target="charts/chart5.xml"/><Relationship Id="rId17" Type="http://schemas.openxmlformats.org/officeDocument/2006/relationships/styles" Target="styl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1 </a:t>
            </a:r>
            <a:r>
              <a:rPr lang="zh-CN" sz="1400" b="1" i="0" u="none" strike="noStrike" baseline="0">
                <a:solidFill>
                  <a:srgbClr val="404040"/>
                </a:solidFill>
                <a:latin typeface="Times New Roman"/>
                <a:ea typeface="宋体"/>
                <a:cs typeface="Arial"/>
              </a:rPr>
              <a:t>： </a:t>
            </a:r>
            <a:r>
              <a:rPr lang="zh-CN" sz="1400" b="1" i="0" u="none" strike="noStrike" baseline="0">
                <a:solidFill>
                  <a:srgbClr val="404040"/>
                </a:solidFill>
                <a:latin typeface="Times New Roman"/>
                <a:ea typeface="宋体"/>
                <a:cs typeface="Arial"/>
              </a:rPr>
              <a:t>2024-2025</a:t>
            </a:r>
            <a:r>
              <a:rPr lang="zh-CN" sz="1400" b="1" i="0" u="none" strike="noStrike" baseline="0">
                <a:solidFill>
                  <a:srgbClr val="404040"/>
                </a:solidFill>
                <a:latin typeface="Times New Roman"/>
                <a:ea typeface="宋体"/>
                <a:cs typeface="Arial"/>
              </a:rPr>
              <a:t>年收支总计对比图（万元）</a:t>
            </a:r>
          </a:p>
        </c:rich>
      </c:tx>
      <c:layout/>
      <c:overlay val="0"/>
      <c:spPr>
        <a:noFill/>
        <a:ln>
          <a:noFill/>
        </a:ln>
      </c:spPr>
    </c:title>
    <c:autoTitleDeleted val="1"/>
    <c:plotArea>
      <c:layout/>
      <c:barChart>
        <c:barDir val="col"/>
        <c:grouping val="clustered"/>
        <c:varyColors val="0"/>
        <c:ser>
          <c:idx val="0"/>
          <c:order val="0"/>
          <c:tx>
            <c:strRef>
              <c:f>'Sheet1'!$B$1</c:f>
              <c:strCache>
                <c:ptCount val="1"/>
                <c:pt idx="0">
                  <c:v>收支总计</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2025年</c:v>
                </c:pt>
                <c:pt idx="1">
                  <c:v>2024年</c:v>
                </c:pt>
              </c:strCache>
            </c:strRef>
          </c:cat>
          <c:val>
            <c:numRef>
              <c:f>'Sheet1'!$B$2:$B$3</c:f>
              <c:numCache>
                <c:formatCode>General</c:formatCode>
                <c:ptCount val="2"/>
                <c:pt idx="0">
                  <c:v>618.53</c:v>
                </c:pt>
                <c:pt idx="1">
                  <c:v>543.15</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2 </a:t>
            </a:r>
            <a:r>
              <a:rPr lang="zh-CN" sz="1400" b="1" i="0" u="none" strike="noStrike" baseline="0">
                <a:solidFill>
                  <a:srgbClr val="404040"/>
                </a:solidFill>
                <a:latin typeface="Times New Roman"/>
                <a:ea typeface="宋体"/>
                <a:cs typeface="Arial"/>
              </a:rPr>
              <a:t>：收入决算构成情况图</a:t>
            </a:r>
          </a:p>
        </c:rich>
      </c:tx>
      <c:layout/>
      <c:overlay val="0"/>
      <c:spPr>
        <a:noFill/>
        <a:ln>
          <a:noFill/>
        </a:ln>
      </c:spPr>
    </c:title>
    <c:autoTitleDeleted val="1"/>
    <c:plotArea>
      <c:layout/>
      <c:pieChart>
        <c:varyColors val="1"/>
        <c:ser>
          <c:idx val="0"/>
          <c:order val="0"/>
          <c:tx>
            <c:strRef>
              <c:f>'Sheet1 (2)'!$B$1</c:f>
              <c:strCache>
                <c:ptCount val="1"/>
                <c:pt idx="0">
                  <c:v>金额</c:v>
                </c:pt>
              </c:strCache>
            </c:strRef>
          </c:tx>
          <c:spPr>
            <a:solidFill>
              <a:srgbClr val="4F81BD"/>
            </a:solidFill>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Pt>
            <c:idx val="5"/>
            <c:bubble3D val="0"/>
            <c:spPr>
              <a:solidFill>
                <a:srgbClr val="E54C5E"/>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 sourceLinked="0"/>
            <c:dLbl>
              <c:idx val="0"/>
              <c:layout>
                <c:manualLayout>
                  <c:x val="0.32012555"/>
                  <c:y val="0.72690713"/>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3080455"/>
                  <c:y val="0.6391468"/>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40541184"/>
                  <c:y val="0.17185508"/>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28690514"/>
                  <c:y val="0.2702507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29898536"/>
                  <c:y val="0.4491606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5"/>
              <c:layout>
                <c:manualLayout>
                  <c:x val="-0.28847557"/>
                  <c:y val="0.12416596"/>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 (2)'!$A$2:$A$7</c:f>
              <c:strCache>
                <c:ptCount val="6"/>
                <c:pt idx="0">
                  <c:v>财政拨款收入</c:v>
                </c:pt>
                <c:pt idx="1">
                  <c:v>上级补助收入</c:v>
                </c:pt>
                <c:pt idx="2">
                  <c:v>事业收入</c:v>
                </c:pt>
                <c:pt idx="3">
                  <c:v>经营收入</c:v>
                </c:pt>
                <c:pt idx="4">
                  <c:v>附属单位上缴收入</c:v>
                </c:pt>
                <c:pt idx="5">
                  <c:v>其他收入</c:v>
                </c:pt>
              </c:strCache>
            </c:strRef>
          </c:cat>
          <c:val>
            <c:numRef>
              <c:f>'Sheet1 (2)'!$B$2:$B$7</c:f>
              <c:numCache>
                <c:formatCode>0.00_);[Red](0.00)</c:formatCode>
                <c:ptCount val="6"/>
                <c:pt idx="0">
                  <c:v>6185272.4</c:v>
                </c:pt>
                <c:pt idx="1">
                  <c:v>0.0</c:v>
                </c:pt>
                <c:pt idx="2">
                  <c:v>0.0</c:v>
                </c:pt>
                <c:pt idx="3">
                  <c:v>0.0</c:v>
                </c:pt>
                <c:pt idx="4">
                  <c:v>0.0</c:v>
                </c:pt>
                <c:pt idx="5">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50" b="1" i="0" u="none" strike="noStrike" baseline="0">
                <a:solidFill>
                  <a:srgbClr val="000000"/>
                </a:solidFill>
                <a:latin typeface="Times New Roman"/>
                <a:ea typeface="宋体"/>
                <a:cs typeface="Arial"/>
              </a:defRPr>
            </a:pPr>
            <a:r>
              <a:rPr lang="zh-CN" sz="950" b="1" i="0" u="none" strike="noStrike" baseline="0">
                <a:solidFill>
                  <a:srgbClr val="404040"/>
                </a:solidFill>
                <a:latin typeface="Times New Roman"/>
                <a:ea typeface="宋体"/>
                <a:cs typeface="Arial"/>
              </a:rPr>
              <a:t>图 </a:t>
            </a:r>
            <a:r>
              <a:rPr lang="zh-CN" sz="950" b="1" i="0" u="none" strike="noStrike" baseline="0">
                <a:solidFill>
                  <a:srgbClr val="404040"/>
                </a:solidFill>
                <a:latin typeface="Times New Roman"/>
                <a:ea typeface="宋体"/>
                <a:cs typeface="Arial"/>
              </a:rPr>
              <a:t>3 </a:t>
            </a:r>
            <a:r>
              <a:rPr lang="zh-CN" sz="950" b="1" i="0" u="none" strike="noStrike" baseline="0">
                <a:solidFill>
                  <a:srgbClr val="404040"/>
                </a:solidFill>
                <a:latin typeface="Times New Roman"/>
                <a:ea typeface="宋体"/>
                <a:cs typeface="Arial"/>
              </a:rPr>
              <a:t>：支出决算构成情况图</a:t>
            </a:r>
          </a:p>
        </c:rich>
      </c:tx>
      <c:layout/>
      <c:overlay val="0"/>
      <c:spPr>
        <a:noFill/>
        <a:ln>
          <a:noFill/>
        </a:ln>
      </c:spPr>
    </c:title>
    <c:autoTitleDeleted val="1"/>
    <c:plotArea>
      <c:layout>
        <c:manualLayout>
          <c:layoutTarget val="inner"/>
          <c:xMode val="edge"/>
          <c:yMode val="edge"/>
          <c:x val="0.29844165"/>
          <c:y val="0.22524437"/>
          <c:w val="0.41229767"/>
          <c:h val="0.72524434"/>
        </c:manualLayout>
      </c:layout>
      <c:pieChart>
        <c:varyColors val="1"/>
        <c:ser>
          <c:idx val="0"/>
          <c:order val="0"/>
          <c:tx>
            <c:strRef>
              <c:f>'Sheet1 (3)'!$B$1</c:f>
              <c:strCache>
                <c:ptCount val="1"/>
                <c:pt idx="0">
                  <c:v>金额</c:v>
                </c:pt>
              </c:strCache>
            </c:strRef>
          </c:tx>
          <c:spPr>
            <a:solidFill>
              <a:srgbClr val="4F81BD"/>
            </a:solidFill>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Lbls>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numFmt formatCode="0.0%" sourceLinked="0"/>
            <c:dLbl>
              <c:idx val="0"/>
              <c:layout>
                <c:manualLayout>
                  <c:x val="-0.28690514"/>
                  <c:y val="0.19983532"/>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29910615"/>
                  <c:y val="0.09103803"/>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30949497"/>
                  <c:y val="0.18921058"/>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33522582"/>
                  <c:y val="0.058951337"/>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32302478"/>
                  <c:y val="0.28504568"/>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 (3)'!$A$2:$A$6</c:f>
              <c:strCache>
                <c:ptCount val="5"/>
                <c:pt idx="0">
                  <c:v>基本支出</c:v>
                </c:pt>
                <c:pt idx="1">
                  <c:v>项目支出</c:v>
                </c:pt>
                <c:pt idx="2">
                  <c:v>上缴上级支出</c:v>
                </c:pt>
                <c:pt idx="3">
                  <c:v>经营支出</c:v>
                </c:pt>
                <c:pt idx="4">
                  <c:v>对附属单位补助支出</c:v>
                </c:pt>
              </c:strCache>
            </c:strRef>
          </c:cat>
          <c:val>
            <c:numRef>
              <c:f>'Sheet1 (3)'!$B$2:$B$6</c:f>
              <c:numCache>
                <c:formatCode>General</c:formatCode>
                <c:ptCount val="5"/>
                <c:pt idx="0">
                  <c:v>6155272.4</c:v>
                </c:pt>
                <c:pt idx="1">
                  <c:v>30000.0</c:v>
                </c:pt>
                <c:pt idx="2">
                  <c:v>0.0</c:v>
                </c:pt>
                <c:pt idx="3">
                  <c:v>0.0</c:v>
                </c:pt>
                <c:pt idx="4">
                  <c:v>0.0</c:v>
                </c:pt>
              </c:numCache>
            </c:numRef>
          </c:val>
        </c:ser>
        <c:firstSliceAng val="0"/>
      </c:pieChart>
      <c:spPr>
        <a:noFill/>
        <a:ln>
          <a:noFill/>
        </a:ln>
      </c:spPr>
    </c:plotArea>
    <c:legend>
      <c:legendPos val="t"/>
      <c:layout/>
      <c:overlay val="0"/>
      <c:spPr>
        <a:noFill/>
        <a:ln>
          <a:noFill/>
        </a:ln>
      </c:spPr>
      <c:txPr>
        <a:bodyPr/>
        <a:lstStyle/>
        <a:p>
          <a:pPr>
            <a:defRPr sz="800" b="0" i="0" u="none" strike="noStrike" baseline="0">
              <a:solidFill>
                <a:srgbClr val="595959"/>
              </a:solidFill>
              <a:latin typeface="Times New Roman"/>
              <a:ea typeface="宋体"/>
              <a:cs typeface="Arial"/>
            </a:defRPr>
          </a:pPr>
          <a:endParaRPr lang="zh-CN"/>
        </a:p>
      </c:txPr>
      <c:legendEntry>
        <c:idx val="0"/>
        <c:txPr>
          <a:bodyPr/>
          <a:lstStyle/>
          <a:p>
            <a:pPr>
              <a:defRPr sz="800" b="0" i="0" u="none" strike="noStrike" baseline="0">
                <a:solidFill>
                  <a:srgbClr val="595959"/>
                </a:solidFill>
                <a:latin typeface="Times New Roman"/>
                <a:ea typeface="宋体"/>
                <a:cs typeface="Arial"/>
              </a:defRPr>
            </a:pPr>
            <a:endParaRPr lang="zh-CN"/>
          </a:p>
        </c:txPr>
      </c:legendEntry>
      <c:legendEntry>
        <c:idx val="1"/>
        <c:txPr>
          <a:bodyPr/>
          <a:lstStyle/>
          <a:p>
            <a:pPr>
              <a:defRPr sz="800" b="0" i="0" u="none" strike="noStrike" baseline="0">
                <a:solidFill>
                  <a:srgbClr val="595959"/>
                </a:solidFill>
                <a:latin typeface="Times New Roman"/>
                <a:ea typeface="宋体"/>
                <a:cs typeface="Arial"/>
              </a:defRPr>
            </a:pPr>
            <a:endParaRPr lang="zh-CN"/>
          </a:p>
        </c:txPr>
      </c:legendEntry>
      <c:legendEntry>
        <c:idx val="2"/>
        <c:txPr>
          <a:bodyPr/>
          <a:lstStyle/>
          <a:p>
            <a:pPr>
              <a:defRPr sz="800" b="0" i="0" u="none" strike="noStrike" baseline="0">
                <a:solidFill>
                  <a:srgbClr val="595959"/>
                </a:solidFill>
                <a:latin typeface="Times New Roman"/>
                <a:ea typeface="宋体"/>
                <a:cs typeface="Arial"/>
              </a:defRPr>
            </a:pPr>
            <a:endParaRPr lang="zh-CN"/>
          </a:p>
        </c:txPr>
      </c:legendEntry>
      <c:legendEntry>
        <c:idx val="3"/>
        <c:txPr>
          <a:bodyPr/>
          <a:lstStyle/>
          <a:p>
            <a:pPr>
              <a:defRPr sz="800" b="0" i="0" u="none" strike="noStrike" baseline="0">
                <a:solidFill>
                  <a:srgbClr val="595959"/>
                </a:solidFill>
                <a:latin typeface="Times New Roman"/>
                <a:ea typeface="宋体"/>
                <a:cs typeface="Arial"/>
              </a:defRPr>
            </a:pPr>
            <a:endParaRPr lang="zh-CN"/>
          </a:p>
        </c:txPr>
      </c:legendEntry>
      <c:legendEntry>
        <c:idx val="4"/>
        <c:txPr>
          <a:bodyPr/>
          <a:lstStyle/>
          <a:p>
            <a:pPr>
              <a:defRPr sz="800" b="0" i="0" u="none" strike="noStrike" baseline="0">
                <a:solidFill>
                  <a:srgbClr val="595959"/>
                </a:solidFill>
                <a:latin typeface="Times New Roman"/>
                <a:ea typeface="宋体"/>
                <a:cs typeface="Arial"/>
              </a:defRPr>
            </a:pPr>
            <a:endParaRPr lang="zh-CN"/>
          </a:p>
        </c:txPr>
      </c:legendEntry>
    </c:legend>
    <c:plotVisOnly val="1"/>
    <c:dispBlanksAs val="gap"/>
    <c:showDLblsOverMax val="0"/>
  </c:chart>
  <c:spPr>
    <a:solidFill>
      <a:srgbClr val="FFFFFF"/>
    </a:solidFill>
    <a:ln w="6350">
      <a:solidFill>
        <a:srgbClr val="D9D9D9"/>
      </a:solidFill>
      <a:prstDash val="solid"/>
    </a:ln>
  </c:spPr>
  <c:txPr>
    <a:bodyPr/>
    <a:lstStyle/>
    <a:p>
      <a:pPr>
        <a:defRPr sz="8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4 </a:t>
            </a:r>
            <a:r>
              <a:rPr lang="zh-CN" sz="1400" b="1" i="0" u="none" strike="noStrike" baseline="0">
                <a:solidFill>
                  <a:srgbClr val="404040"/>
                </a:solidFill>
                <a:latin typeface="Times New Roman"/>
                <a:ea typeface="宋体"/>
                <a:cs typeface="Arial"/>
              </a:rPr>
              <a:t>：</a:t>
            </a:r>
            <a:r>
              <a:rPr lang="zh-CN" sz="1400" b="1" i="0" u="none" strike="noStrike" baseline="0">
                <a:solidFill>
                  <a:srgbClr val="404040"/>
                </a:solidFill>
                <a:latin typeface="Times New Roman"/>
                <a:ea typeface="宋体"/>
                <a:cs typeface="Arial"/>
              </a:rPr>
              <a:t>2024-2025</a:t>
            </a:r>
            <a:r>
              <a:rPr lang="zh-CN" sz="1400" b="1" i="0" u="none" strike="noStrike" baseline="0">
                <a:solidFill>
                  <a:srgbClr val="404040"/>
                </a:solidFill>
                <a:latin typeface="Times New Roman"/>
                <a:ea typeface="宋体"/>
                <a:cs typeface="Arial"/>
              </a:rPr>
              <a:t>年财政拨款收支对比图（万元）</a:t>
            </a:r>
          </a:p>
        </c:rich>
      </c:tx>
      <c:layout>
        <c:manualLayout>
          <c:xMode val="edge"/>
          <c:yMode val="edge"/>
          <c:x val="0.13324474"/>
          <c:y val="0.025499362"/>
        </c:manualLayout>
      </c:layout>
      <c:overlay val="0"/>
      <c:spPr>
        <a:noFill/>
        <a:ln>
          <a:noFill/>
        </a:ln>
      </c:spPr>
    </c:title>
    <c:autoTitleDeleted val="1"/>
    <c:plotArea>
      <c:layout/>
      <c:barChart>
        <c:barDir val="col"/>
        <c:grouping val="clustered"/>
        <c:varyColors val="0"/>
        <c:ser>
          <c:idx val="0"/>
          <c:order val="0"/>
          <c:tx>
            <c:strRef>
              <c:f>'Sheet1 (4)'!$B$1</c:f>
              <c:strCache>
                <c:ptCount val="1"/>
                <c:pt idx="0">
                  <c:v>2024年</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(4)'!$B$2:$B$9</c:f>
              <c:numCache>
                <c:formatCode>General</c:formatCode>
                <c:ptCount val="8"/>
                <c:pt idx="0">
                  <c:v>543.15</c:v>
                </c:pt>
                <c:pt idx="1">
                  <c:v>543.15</c:v>
                </c:pt>
                <c:pt idx="2">
                  <c:v>543.15</c:v>
                </c:pt>
                <c:pt idx="3">
                  <c:v>543.15</c:v>
                </c:pt>
                <c:pt idx="4">
                  <c:v>0.0</c:v>
                </c:pt>
                <c:pt idx="5">
                  <c:v>0.0</c:v>
                </c:pt>
                <c:pt idx="6">
                  <c:v>0.0</c:v>
                </c:pt>
                <c:pt idx="7">
                  <c:v>0.0</c:v>
                </c:pt>
              </c:numCache>
            </c:numRef>
          </c:val>
        </c:ser>
        <c:ser>
          <c:idx val="1"/>
          <c:order val="1"/>
          <c:tx>
            <c:strRef>
              <c:f>'Sheet1 (4)'!$C$1</c:f>
              <c:strCache>
                <c:ptCount val="1"/>
                <c:pt idx="0">
                  <c:v>2025年</c:v>
                </c:pt>
              </c:strCache>
            </c:strRef>
          </c:tx>
          <c:spPr>
            <a:solidFill>
              <a:srgbClr val="EE822F"/>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(4)'!$C$2:$C$9</c:f>
              <c:numCache>
                <c:formatCode>General</c:formatCode>
                <c:ptCount val="8"/>
                <c:pt idx="0">
                  <c:v>618.53</c:v>
                </c:pt>
                <c:pt idx="1">
                  <c:v>618.53</c:v>
                </c:pt>
                <c:pt idx="2">
                  <c:v>618.53</c:v>
                </c:pt>
                <c:pt idx="3">
                  <c:v>618.53</c:v>
                </c:pt>
                <c:pt idx="4">
                  <c:v>0.0</c:v>
                </c:pt>
                <c:pt idx="5">
                  <c:v>0.0</c:v>
                </c:pt>
                <c:pt idx="6">
                  <c:v>0.0</c:v>
                </c:pt>
                <c:pt idx="7">
                  <c:v>0.0</c:v>
                </c:pt>
              </c:numCache>
            </c:numRef>
          </c:val>
        </c:ser>
        <c:overlap val="-28"/>
        <c:gapWidth val="246"/>
        <c:axId val="0"/>
        <c:axId val="1"/>
      </c:barChart>
      <c:catAx>
        <c:axId val="0"/>
        <c:scaling>
          <c:orientation val="minMax"/>
        </c:scaling>
        <c:delete val="0"/>
        <c:axPos val="b"/>
        <c:numFmt formatCode="General" sourceLinked="0"/>
        <c:majorTickMark val="out"/>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out"/>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50" b="1" i="0" u="none" strike="noStrike" baseline="0">
                <a:solidFill>
                  <a:srgbClr val="000000"/>
                </a:solidFill>
                <a:latin typeface="Times New Roman"/>
                <a:ea typeface="宋体"/>
                <a:cs typeface="Arial"/>
              </a:defRPr>
            </a:pPr>
            <a:r>
              <a:rPr lang="zh-CN" sz="950" b="1" i="0" u="none" strike="noStrike" baseline="0">
                <a:solidFill>
                  <a:srgbClr val="404040"/>
                </a:solidFill>
                <a:latin typeface="Times New Roman"/>
                <a:ea typeface="宋体"/>
                <a:cs typeface="Arial"/>
              </a:rPr>
              <a:t>图 </a:t>
            </a:r>
            <a:r>
              <a:rPr lang="zh-CN" sz="950" b="1" i="0" u="none" strike="noStrike" baseline="0">
                <a:solidFill>
                  <a:srgbClr val="404040"/>
                </a:solidFill>
                <a:latin typeface="Times New Roman"/>
                <a:ea typeface="宋体"/>
                <a:cs typeface="Arial"/>
              </a:rPr>
              <a:t>5 :</a:t>
            </a:r>
            <a:r>
              <a:rPr lang="zh-CN" sz="950" b="1" i="0" u="none" strike="noStrike" baseline="0">
                <a:solidFill>
                  <a:srgbClr val="404040"/>
                </a:solidFill>
                <a:latin typeface="Times New Roman"/>
                <a:ea typeface="宋体"/>
                <a:cs typeface="Arial"/>
              </a:rPr>
              <a:t>财政拨款收支预算对比图（万元）</a:t>
            </a:r>
          </a:p>
        </c:rich>
      </c:tx>
      <c:layout/>
      <c:overlay val="0"/>
      <c:spPr>
        <a:noFill/>
        <a:ln>
          <a:noFill/>
        </a:ln>
      </c:spPr>
    </c:title>
    <c:autoTitleDeleted val="1"/>
    <c:plotArea>
      <c:layout>
        <c:manualLayout>
          <c:layoutTarget val="inner"/>
          <c:xMode val="edge"/>
          <c:yMode val="edge"/>
          <c:x val="0.17641942"/>
          <c:y val="0.16043349"/>
          <c:w val="0.7957961"/>
          <c:h val="0.47433063"/>
        </c:manualLayout>
      </c:layout>
      <c:barChart>
        <c:barDir val="col"/>
        <c:grouping val="clustered"/>
        <c:varyColors val="0"/>
        <c:ser>
          <c:idx val="0"/>
          <c:order val="0"/>
          <c:tx>
            <c:strRef>
              <c:f>'Sheet1 (5)'!$B$1</c:f>
              <c:strCache>
                <c:ptCount val="1"/>
                <c:pt idx="0">
                  <c:v>年初预算数</c:v>
                </c:pt>
              </c:strCache>
            </c:strRef>
          </c:tx>
          <c:spPr>
            <a:solidFill>
              <a:srgbClr val="4874CB"/>
            </a:solidFill>
            <a:ln>
              <a:noFill/>
            </a:ln>
          </c:spPr>
          <c:invertIfNegative val="0"/>
          <c:dLbls>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numFmt formatCode="General" sourceLinked="1"/>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(5)'!$B$2:$B$9</c:f>
              <c:numCache>
                <c:formatCode>General</c:formatCode>
                <c:ptCount val="8"/>
                <c:pt idx="0">
                  <c:v>625.86</c:v>
                </c:pt>
                <c:pt idx="1">
                  <c:v>625.86</c:v>
                </c:pt>
                <c:pt idx="2">
                  <c:v>625.86</c:v>
                </c:pt>
                <c:pt idx="3">
                  <c:v>625.86</c:v>
                </c:pt>
                <c:pt idx="4">
                  <c:v>0.0</c:v>
                </c:pt>
                <c:pt idx="5">
                  <c:v>0.0</c:v>
                </c:pt>
                <c:pt idx="6">
                  <c:v>0.0</c:v>
                </c:pt>
                <c:pt idx="7">
                  <c:v>0.0</c:v>
                </c:pt>
              </c:numCache>
            </c:numRef>
          </c:val>
        </c:ser>
        <c:ser>
          <c:idx val="1"/>
          <c:order val="1"/>
          <c:tx>
            <c:strRef>
              <c:f>'Sheet1 (5)'!$C$1</c:f>
              <c:strCache>
                <c:ptCount val="1"/>
                <c:pt idx="0">
                  <c:v>决算数</c:v>
                </c:pt>
              </c:strCache>
            </c:strRef>
          </c:tx>
          <c:spPr>
            <a:solidFill>
              <a:srgbClr val="EE822F"/>
            </a:solidFill>
            <a:ln>
              <a:noFill/>
            </a:ln>
          </c:spPr>
          <c:invertIfNegative val="0"/>
          <c:dLbls>
            <c:spPr>
              <a:noFill/>
              <a:ln>
                <a:noFill/>
              </a:ln>
            </c:spPr>
            <c:txPr>
              <a:bodyPr vert="horz"/>
              <a:lstStyle/>
              <a:p>
                <a:pPr>
                  <a:defRPr sz="65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(5)'!$C$2:$C$9</c:f>
              <c:numCache>
                <c:formatCode>General</c:formatCode>
                <c:ptCount val="8"/>
                <c:pt idx="0">
                  <c:v>618.53</c:v>
                </c:pt>
                <c:pt idx="1">
                  <c:v>618.53</c:v>
                </c:pt>
                <c:pt idx="2">
                  <c:v>618.53</c:v>
                </c:pt>
                <c:pt idx="3">
                  <c:v>618.53</c:v>
                </c:pt>
                <c:pt idx="4">
                  <c:v>0.0</c:v>
                </c:pt>
                <c:pt idx="5">
                  <c:v>0.0</c:v>
                </c:pt>
                <c:pt idx="6">
                  <c:v>0.0</c:v>
                </c:pt>
                <c:pt idx="7">
                  <c:v>0.0</c:v>
                </c:pt>
              </c:numCache>
            </c:numRef>
          </c:val>
        </c:ser>
        <c:gapWidth val="150"/>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8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8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8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customProps>
</customData>
</file>

<file path=customXml/itemProps1.xml><?xml version="1.0" encoding="utf-8"?>
<ds:datastoreItem xmlns:ds="http://schemas.openxmlformats.org/officeDocument/2006/customXml" ds:itemID="{345DA6F5-8591-49B9-94D7-D0DF69595870}">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3</TotalTime>
  <Application>Yozo_Office27021597764231179</Application>
  <Pages>48</Pages>
  <Words>0</Words>
  <Characters>10920</Characters>
  <Lines>0</Lines>
  <Paragraphs>237</Paragraphs>
  <CharactersWithSpaces>14561</CharactersWithSpaces>
  <Company>神州网信技术有限公司</Company>
</Properties>
</file>

<file path=docProps/core.xml><?xml version="1.0" encoding="utf-8"?>
<cp:coreProperties xmlns:cp="http://schemas.openxmlformats.org/package/2006/metadata/core-properties" xmlns:dc="http://purl.org/dc/elements/1.1/" xmlns:dcterms="http://purl.org/dc/terms/" xmlns:xsi="http://www.w3.org/2001/XMLSchema-instance">
  <dc:creator>王明新TIAD</dc:creator>
  <cp:lastModifiedBy>Administrator</cp:lastModifiedBy>
  <cp:revision>15</cp:revision>
  <cp:lastPrinted>2023-08-04T01:00:00Z</cp:lastPrinted>
  <dcterms:created xsi:type="dcterms:W3CDTF">2023-08-04T07:55:00Z</dcterms:created>
  <dcterms:modified xsi:type="dcterms:W3CDTF">2026-10-15T06:51:21Z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eyJoZGlkIjoiZDM0ZjkxYTdmODY4MTAxMmYxMTg5NzljN2I0NTQ4N2MiLCJ1c2VySWQiOiI0MjE4NjU0NzcifQ==</vt:lpwstr>
  </property>
</Properties>
</file>