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正定县体育管理服务中心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357007</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E17A66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正定县体育管理服务中心</w:t>
      </w:r>
    </w:p>
    <w:p w14:paraId="698E2F3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6DA339F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正定县体育管理服务中心</w:t>
      </w:r>
    </w:p>
    <w:p w14:paraId="609111DD">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83FAEC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7BE627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5FFB8B8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B3373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1E6E71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636ADAA">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4ED79D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7A95C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86BA0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7F1FE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2477F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C7D6B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0148C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525BE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6BA86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6E8FE8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36070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F1FAF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3D7ED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6DCCA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364FD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B0AA0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556FF6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833E4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1589E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88E0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176B12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E3EFB3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7559C0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08B1A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1、贯彻执行国家、省、市制定的体育政策法规和发展规划，拟订全县体育发展规划和政策，起草有关体育方面的地方性法规、政府规章草案。 2、研究全县体育工作发展战略，推动全县体育发展;加强多元化体育服务建设，推进体育公共服务和体育体制改革。 3、统筹规划群众体育发展，推行全民健身计划，指导和配合各部门、各行业、各社会团体开展群众性体育活动，开办全民体育健身培训班、指导站，培养社会体育辅导员。 4、实施国家体育锻炼标准，开展国民体质监测，加强体育公共设施建设，管理县属体育设施，为全民提供健身场所。 5、统筹协调各级各类体育比赛，承办县内及县级以上的各种体育比赛，积极组织人员参加省市级比赛。 6、组织指导全县体育领域和科技研究及应用。 7、研究拟定体育产业政策，培育体育市场发展;规范体育服务管理，推动体育标准化建设。 8、负责全县性体育社团的资格审查及业务指导。 9、负责对县文广体旅局管理的体育设施进行管理及维修、保养。 10、承办县委、县政府及上级部门交办的其他事项。</w:t>
      </w:r>
    </w:p>
    <w:p w14:paraId="19CB033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9A2BC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正定县体育管理服务中心</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44B8A4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部门（单位）：正定县体育管理服务中心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部门（单位）：正定县体育管理服务中心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146.54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E9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F79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B19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D6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D7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CC6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F3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B22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AB0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0D9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149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3CC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8F4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AC7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7A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DAE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6A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6D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473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2C9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4D3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ACA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956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EE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F16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DA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4C6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EDA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6B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A12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77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445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C76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3C5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CDF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CD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A3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5F0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98E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4B8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94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302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76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730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9DC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37E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FD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1CA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FD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61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637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199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22C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6E5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A5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F39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D81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BC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02D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62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部门（单位）：正定县体育管理服务中心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146.54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136.54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CB18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8B3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AA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A4A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EA1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482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C6C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28B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F4BED">
            <w:pPr>
              <w:jc w:val="right"/>
              <w:rPr>
                <w:rFonts w:hint="default" w:ascii="Times New Roman" w:hAnsi="Times New Roman" w:eastAsia="宋体" w:cs="Times New Roman"/>
                <w:i w:val="0"/>
                <w:iCs w:val="0"/>
                <w:color w:val="000000"/>
                <w:sz w:val="20"/>
                <w:szCs w:val="20"/>
                <w:highlight w:val="none"/>
                <w:u w:val="none"/>
              </w:rPr>
            </w:pPr>
          </w:p>
        </w:tc>
      </w:tr>
      <w:tr w14:paraId="3294E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0E4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D7A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29D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AB3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9A82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CE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C65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CB444">
            <w:pPr>
              <w:jc w:val="right"/>
              <w:rPr>
                <w:rFonts w:hint="default" w:ascii="Times New Roman" w:hAnsi="Times New Roman" w:eastAsia="宋体" w:cs="Times New Roman"/>
                <w:i w:val="0"/>
                <w:iCs w:val="0"/>
                <w:color w:val="000000"/>
                <w:sz w:val="20"/>
                <w:szCs w:val="20"/>
                <w:highlight w:val="none"/>
                <w:u w:val="none"/>
              </w:rPr>
            </w:pPr>
          </w:p>
        </w:tc>
      </w:tr>
      <w:tr w14:paraId="79AC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862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18E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256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901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E1D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809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D99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64996">
            <w:pPr>
              <w:jc w:val="right"/>
              <w:rPr>
                <w:rFonts w:hint="default" w:ascii="Times New Roman" w:hAnsi="Times New Roman" w:eastAsia="宋体" w:cs="Times New Roman"/>
                <w:i w:val="0"/>
                <w:iCs w:val="0"/>
                <w:color w:val="000000"/>
                <w:sz w:val="20"/>
                <w:szCs w:val="20"/>
                <w:highlight w:val="none"/>
                <w:u w:val="none"/>
              </w:rPr>
            </w:pPr>
          </w:p>
        </w:tc>
      </w:tr>
      <w:tr w14:paraId="1AC6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C3F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CCD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5D2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F6E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4C12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076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367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4184D">
            <w:pPr>
              <w:jc w:val="right"/>
              <w:rPr>
                <w:rFonts w:hint="default" w:ascii="Times New Roman" w:hAnsi="Times New Roman" w:eastAsia="宋体" w:cs="Times New Roman"/>
                <w:i w:val="0"/>
                <w:iCs w:val="0"/>
                <w:color w:val="000000"/>
                <w:sz w:val="20"/>
                <w:szCs w:val="20"/>
                <w:highlight w:val="none"/>
                <w:u w:val="none"/>
              </w:rPr>
            </w:pPr>
          </w:p>
        </w:tc>
      </w:tr>
      <w:tr w14:paraId="1F824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553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9F1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BD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FB0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204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B45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27C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B2402">
            <w:pPr>
              <w:jc w:val="right"/>
              <w:rPr>
                <w:rFonts w:hint="default" w:ascii="Times New Roman" w:hAnsi="Times New Roman" w:eastAsia="宋体" w:cs="Times New Roman"/>
                <w:i w:val="0"/>
                <w:iCs w:val="0"/>
                <w:color w:val="000000"/>
                <w:sz w:val="20"/>
                <w:szCs w:val="20"/>
                <w:highlight w:val="none"/>
                <w:u w:val="none"/>
              </w:rPr>
            </w:pPr>
          </w:p>
        </w:tc>
      </w:tr>
      <w:tr w14:paraId="5148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43C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FB7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78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AF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364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640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1B6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13DB4">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部门（单位）：正定县体育管理服务中心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146.54</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8"/>
        <w:gridCol w:w="2816"/>
        <w:gridCol w:w="447"/>
        <w:gridCol w:w="1043"/>
        <w:gridCol w:w="1103"/>
        <w:gridCol w:w="388"/>
        <w:gridCol w:w="184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部门（单位）：正定县体育管理服务中心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136.54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43355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D49F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2CD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4C6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AB7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2A1895">
            <w:pPr>
              <w:jc w:val="right"/>
              <w:rPr>
                <w:rFonts w:hint="default" w:ascii="Times New Roman" w:hAnsi="Times New Roman" w:eastAsia="宋体" w:cs="Times New Roman"/>
                <w:i w:val="0"/>
                <w:iCs w:val="0"/>
                <w:color w:val="000000"/>
                <w:sz w:val="20"/>
                <w:szCs w:val="20"/>
                <w:highlight w:val="none"/>
                <w:u w:val="none"/>
              </w:rPr>
            </w:pPr>
          </w:p>
        </w:tc>
      </w:tr>
      <w:tr w14:paraId="6DD85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42BE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5E0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C73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3C6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21C7DC">
            <w:pPr>
              <w:jc w:val="right"/>
              <w:rPr>
                <w:rFonts w:hint="default" w:ascii="Times New Roman" w:hAnsi="Times New Roman" w:eastAsia="宋体" w:cs="Times New Roman"/>
                <w:i w:val="0"/>
                <w:iCs w:val="0"/>
                <w:color w:val="000000"/>
                <w:sz w:val="20"/>
                <w:szCs w:val="20"/>
                <w:highlight w:val="none"/>
                <w:u w:val="none"/>
              </w:rPr>
            </w:pPr>
          </w:p>
        </w:tc>
      </w:tr>
      <w:tr w14:paraId="404C7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96E9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604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9D0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0B7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F7D9C6">
            <w:pPr>
              <w:jc w:val="right"/>
              <w:rPr>
                <w:rFonts w:hint="default" w:ascii="Times New Roman" w:hAnsi="Times New Roman" w:eastAsia="宋体" w:cs="Times New Roman"/>
                <w:i w:val="0"/>
                <w:iCs w:val="0"/>
                <w:color w:val="000000"/>
                <w:sz w:val="20"/>
                <w:szCs w:val="20"/>
                <w:highlight w:val="none"/>
                <w:u w:val="none"/>
              </w:rPr>
            </w:pPr>
          </w:p>
        </w:tc>
      </w:tr>
      <w:tr w14:paraId="04E94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CBAC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D70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353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E5E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C3B8E3">
            <w:pPr>
              <w:jc w:val="right"/>
              <w:rPr>
                <w:rFonts w:hint="default" w:ascii="Times New Roman" w:hAnsi="Times New Roman" w:eastAsia="宋体" w:cs="Times New Roman"/>
                <w:i w:val="0"/>
                <w:iCs w:val="0"/>
                <w:color w:val="000000"/>
                <w:sz w:val="20"/>
                <w:szCs w:val="20"/>
                <w:highlight w:val="none"/>
                <w:u w:val="none"/>
              </w:rPr>
            </w:pPr>
          </w:p>
        </w:tc>
      </w:tr>
      <w:tr w14:paraId="56447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3DAE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63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365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5786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0D18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20255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497F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FF2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A0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2639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62A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部门（单位）：正定县体育管理服务中心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95.80</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26.65</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4.45</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35.47</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14.48</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3.78</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35.91</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35.61</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0.51</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131.71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部门（单位）：正定县体育管理服务中心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部门（单位）：正定县体育管理服务中心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部门（单位）：正定县体育管理服务中心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0.64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0.64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0.64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86CCAA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47F508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C3BF6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本单位2025年度收、支总计（含结转和结余）均为146.54万元。与2024年度决算相比，收支各增加7.69万元，增长5.5%，主要原因是人员变动造成收支增加。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E81D51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82E63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146.54万元，其中：财政拨款收入146.54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6A6CA0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9B6E3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本单位2025年度本年支出合计146.54万元，其中：基本支出136.54万元，占93.2%；项目支出10.00万元，占6.8%；经营支出0.00万元，占0.0%；上缴上级支出0.00万元，占0.0%；对附属单位补助支出0.00万元，占0.0%。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5D3B77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FBA9E9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37F423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本单位2025年度财政拨款收、支总计（含结转和结余）均为146.54万元。与2024年度相比，财政拨款收支各增加7.69万元，增长5.5%，主要原因是人员变动造成财政拨款收支增加。</w:t>
      </w:r>
    </w:p>
    <w:p w14:paraId="3096E0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146.54万元,比上年增加7.69万元，增长5.5%，主要原因是人员变动造成财政拨款收支增加；本年支出146.54万元，比上年增加7.69万元，增长5.5%，主要原因是人员变动造成财政拨款收支增加。具体情况如下：</w:t>
      </w:r>
    </w:p>
    <w:p w14:paraId="40485D7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146.54万元,比上年增加9.69万元，增长7.1%，主要原因是人员变动造成财政拨款收支增加；本年支出146.54万元，比上年增加9.69万元，增长7.1%，主要原因是人员变动造成财政拨款收支增加。</w:t>
      </w:r>
    </w:p>
    <w:p w14:paraId="71D0F0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政府性基金预算财政拨款本年收入0.00万元，比上年减少2.00万元，降低100.0%，主要原因是今年没有政府性基金项目；本年支出0.00万元，比上年减少2.00万元，降低100.0%，主要原因是今年没有政府性基金项目。</w:t>
      </w:r>
    </w:p>
    <w:p w14:paraId="2C3A7A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度无国有资本经营预算财政拨款收入；本年支出0.00万元，比上年增加0.00万元，增长0.00%，主要原因是本年度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3015D8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59B79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146.54万元，完成年初预算的103.4%，比年初预算增加4.84万元，决算数大于预算数主要原因是人员变动财政拨款收支增加；本年支出146.54万元，完成年初预算的103.4%，比年初预算增加4.84万元，决算数大于预算数主要原因是人员变动财政拨款收支增加。具体情况如下：</w:t>
      </w:r>
    </w:p>
    <w:p w14:paraId="498EFA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103.4%，比年初预算增加4.84万元，主要原因是人员变动财政拨款收支增加；支出完成年初预算的103.4%，比年初预算增加4.84万元，主要原因是人员变动财政拨款收支增加。</w:t>
      </w:r>
    </w:p>
    <w:p w14:paraId="505A84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政府性基金预算财政拨款本年收入完成年初预算的0.0%，比年初预算增加0.00万元，主要原因是今年没有政府性基金项目；支出完成年初预算的0.0%，比年初预算增加0.00万元，主要原因是今年没有政府性基金项目。</w:t>
      </w:r>
    </w:p>
    <w:p w14:paraId="7C4F35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无国有资本经营预算财政拨款；支出完成年初预算的0.0%，比年初预算增加0.00万元，主要原因是本年度无国有资本经营预算财政拨款。</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5EC1AE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35F0A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2025年度财政拨款支出146.54万元，主要用于以下方面：</w:t>
      </w:r>
    </w:p>
    <w:p w14:paraId="02F0E2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66D0D9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t>文化旅游体育与传媒（类）支出146.54万元，占100.0%，主要用于单位人员经费、公用经费和项目等支出</w:t>
      </w:r>
      <w:r>
        <w:rPr>
          <w:rFonts w:hint="eastAsia" w:ascii="Times New Roman" w:eastAsia="仿宋_GB2312"/>
          <w:b w:val="0"/>
          <w:sz w:val="32"/>
          <w:szCs w:val="32"/>
          <w:lang w:eastAsia="zh-CN"/>
        </w:rPr>
        <w:t>。</w:t>
      </w:r>
    </w:p>
    <w:p w14:paraId="0DD3CB5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6FB18B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2025年度财政拨款基本支出136.54万元，其中：</w:t>
      </w:r>
    </w:p>
    <w:p w14:paraId="340CCA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131.71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59CE3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公用经费4.83万元，主要包括办公费、印刷费、咨询费、手续费、水费、电费、邮电费、取 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29F8B84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265904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BC3EB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1.14万元，支出决算为0.64万元，完成预算的56.1%，较预算减少0.50万元，降低43.9%，主要原因是贯彻厉行节约原则，严格控制公车运行成本；较2024年度决算增加0.08万元，增长16.4%，主要原因是车辆老旧维修增加。</w:t>
      </w:r>
    </w:p>
    <w:p w14:paraId="610ED58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801FC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7C9DBE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1.14万元，支出决算0.64万元，完成预算的56.1%,较预算减少0.50万元，降低43.9%,主要原因是贯彻厉行节约原则，严格控制公车运行成本；较上年增加0.08万元，增长16.4%,主要原因是车辆老旧维修增加。其中：</w:t>
      </w:r>
    </w:p>
    <w:p w14:paraId="686DA1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本年度没有公务用车购置；较上年增加0.00万元，增长0.00%,主要原因是本年度没有公务用车购置。</w:t>
      </w:r>
    </w:p>
    <w:p w14:paraId="38144C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公务用车运行维护费支出0.64万元：</w:t>
      </w:r>
      <w:r>
        <w:rPr>
          <w:rFonts w:ascii="Times New Roman" w:eastAsia="仿宋_GB2312"/>
          <w:b w:val="0"/>
          <w:sz w:val="32"/>
          <w:szCs w:val="32"/>
        </w:rPr>
        <w:t>本单位2025年度单位公务用车保有量1辆，发生运行维护费支出0.64万元。公车运行维护费支出较预算减少0.50万元，降低43.9%,主要原因是贯彻厉行节约原则，严格控制公车运行成本；较上年增加0.08万元，增长16.4%，主要原因是车辆老旧维修增加。</w:t>
      </w:r>
    </w:p>
    <w:p w14:paraId="3B19B7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14:paraId="0C68111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53CAF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本单位2025年度机关运行经费支出0.00万元，较2024年度增加0.00万元，增长0.00%。主要原因是本单位是事业单位无机关运行费支出。</w:t>
      </w:r>
    </w:p>
    <w:p w14:paraId="55AAFA2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652F4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498CAFC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F4AF9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无车辆购买。其中，副部（省）级及以上领导用车0辆，主要负责人用车0辆，机要通信用车0辆，应急保障用车0辆，执法执勤用车0辆，特种专业技术用车0辆，离退休干部用车0辆，其他用车1辆，其他用车主要是业务用车。单位价值100万元（含）以上设备（不含车辆）0台（套）。</w:t>
      </w:r>
    </w:p>
    <w:p w14:paraId="144344F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7E74E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173BE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10万元。其中，一般公共预算项目1个，涉及资金10万元，占一般公共预算项目支出总额的100%；政府性基金预算项目0个，涉及资金0万元，占政府性基金预算项目支出总额的0%；国有资本经营预算项目0个，涉及资金0万元，占国有资本经营预算项目支出总额的0%。</w:t>
      </w:r>
    </w:p>
    <w:p w14:paraId="0379A5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老年人体育活动经费等1个项目开展了部门重点评价，涉及一般公共预算支出10万元，政府性基金预算支出0万元，国有资本经营预算支出0万元，从评价情况来看，项目目标明确，管理到位，资金使用规范，相关资料完善，产出效果良好，达到了预期目标，评价等级为优秀。</w:t>
      </w:r>
    </w:p>
    <w:p w14:paraId="14C384F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9170B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本单位在今年部门决算公开中反映老年人体育活动经费等1个项目绩效自评结果。</w:t>
      </w:r>
    </w:p>
    <w:p w14:paraId="6B072C1E">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r>
        <w:rPr>
          <w:rFonts w:ascii="Times New Roman" w:eastAsia="仿宋_GB2312"/>
          <w:b w:val="0"/>
          <w:sz w:val="32"/>
          <w:szCs w:val="32"/>
        </w:rPr>
        <w:t>老年人体育活动经费项目绩效自评情况：根据年初设定的绩效目标，老年人体育活动经费项目绩效自评得分为95分（绩效自评表附后）。全年预算数为10万元，执行数为10万元，完成预算的100%。项目绩效目标完成情况：一是参加赛事活动次数10次；二是能过开展老年人体育活动带动其他相关消费项目增长。</w:t>
      </w:r>
      <w:r>
        <w:rPr>
          <w:rFonts w:hint="eastAsia" w:ascii="Times New Roman" w:eastAsia="仿宋_GB2312"/>
          <w:b w:val="0"/>
          <w:sz w:val="32"/>
          <w:szCs w:val="32"/>
          <w:lang w:eastAsia="zh-CN"/>
        </w:rPr>
        <w:t>　　　　</w:t>
      </w:r>
      <w:r>
        <w:rPr>
          <w:rFonts w:hint="eastAsia" w:ascii="仿宋_GB2312" w:hAnsi="仿宋_GB2312" w:eastAsia="仿宋_GB2312" w:cs="仿宋_GB2312"/>
          <w:color w:val="auto"/>
          <w:sz w:val="32"/>
          <w:szCs w:val="32"/>
          <w:highlight w:val="none"/>
          <w:lang w:val="en-US" w:eastAsia="zh-CN"/>
        </w:rPr>
        <w:t>项目实</w:t>
      </w:r>
      <w:r>
        <w:rPr>
          <w:rFonts w:hint="eastAsia" w:ascii="仿宋_GB2312" w:hAnsi="仿宋_GB2312" w:eastAsia="仿宋_GB2312" w:cs="仿宋_GB2312"/>
          <w:color w:val="auto"/>
          <w:sz w:val="32"/>
          <w:szCs w:val="32"/>
          <w:highlight w:val="none"/>
          <w:lang w:eastAsia="zh-CN"/>
        </w:rPr>
        <w:t>施中</w:t>
      </w:r>
      <w:r>
        <w:rPr>
          <w:rFonts w:hint="eastAsia" w:ascii="仿宋_GB2312" w:hAnsi="仿宋_GB2312" w:eastAsia="仿宋_GB2312" w:cs="仿宋_GB2312"/>
          <w:color w:val="auto"/>
          <w:sz w:val="32"/>
          <w:szCs w:val="32"/>
          <w:highlight w:val="none"/>
        </w:rPr>
        <w:t>未发现问题。</w:t>
      </w:r>
    </w:p>
    <w:p w14:paraId="0672BCF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646FAFD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72E08CF1">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41B9E8B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028C1B3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75021C7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5B49DF9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57C4FFB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4D8AB26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2127B9F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2507306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1DA3071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025ABC7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tbl>
      <w:tblPr>
        <w:tblStyle w:val="11"/>
        <w:tblW w:w="5586" w:type="pct"/>
        <w:tblInd w:w="-47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64"/>
        <w:gridCol w:w="1598"/>
        <w:gridCol w:w="1076"/>
        <w:gridCol w:w="1354"/>
        <w:gridCol w:w="1226"/>
        <w:gridCol w:w="1353"/>
        <w:gridCol w:w="1335"/>
        <w:gridCol w:w="1071"/>
      </w:tblGrid>
      <w:tr w14:paraId="67A3C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trPr>
        <w:tc>
          <w:tcPr>
            <w:tcW w:w="5000" w:type="pct"/>
            <w:gridSpan w:val="8"/>
            <w:tcBorders>
              <w:top w:val="nil"/>
              <w:left w:val="nil"/>
              <w:bottom w:val="nil"/>
              <w:right w:val="nil"/>
            </w:tcBorders>
            <w:shd w:val="clear" w:color="auto" w:fill="auto"/>
            <w:noWrap/>
            <w:vAlign w:val="center"/>
          </w:tcPr>
          <w:p w14:paraId="13C8AA7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县级部门预算项目绩效自评表</w:t>
            </w:r>
          </w:p>
        </w:tc>
      </w:tr>
      <w:tr w14:paraId="2A8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5000" w:type="pct"/>
            <w:gridSpan w:val="8"/>
            <w:tcBorders>
              <w:top w:val="nil"/>
              <w:left w:val="nil"/>
              <w:bottom w:val="nil"/>
              <w:right w:val="nil"/>
            </w:tcBorders>
            <w:shd w:val="clear" w:color="auto" w:fill="auto"/>
            <w:noWrap/>
            <w:vAlign w:val="bottom"/>
          </w:tcPr>
          <w:p w14:paraId="70DA16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填报单位：正定县体育管理服务中心            （2025年度）                      金额单位：万元</w:t>
            </w:r>
          </w:p>
        </w:tc>
      </w:tr>
      <w:tr w14:paraId="3FA9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57" w:type="pct"/>
            <w:tcBorders>
              <w:top w:val="single" w:color="000000" w:sz="4" w:space="0"/>
              <w:left w:val="single" w:color="000000" w:sz="4" w:space="0"/>
              <w:bottom w:val="nil"/>
              <w:right w:val="single" w:color="000000" w:sz="4" w:space="0"/>
            </w:tcBorders>
            <w:shd w:val="clear" w:color="auto" w:fill="auto"/>
            <w:vAlign w:val="center"/>
          </w:tcPr>
          <w:p w14:paraId="10F1D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3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CC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老年人体育活动经费</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1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18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DE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正定县文化广电体育和旅游局</w:t>
            </w:r>
          </w:p>
        </w:tc>
      </w:tr>
      <w:tr w14:paraId="3A8C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7E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2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32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03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29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07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5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09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32FCE">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6AB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E636">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B6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98D5E">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B2B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141CF">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5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FC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1C9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DB003">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30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211C3">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4C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43B5">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B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E9367">
            <w:pPr>
              <w:keepNext w:val="0"/>
              <w:keepLines w:val="0"/>
              <w:widowControl/>
              <w:suppressLineNumbers w:val="0"/>
              <w:jc w:val="right"/>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c>
          <w:tcPr>
            <w:tcW w:w="5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AAE27">
            <w:pPr>
              <w:jc w:val="center"/>
              <w:rPr>
                <w:rFonts w:hint="eastAsia" w:ascii="宋体" w:hAnsi="宋体" w:eastAsia="宋体" w:cs="宋体"/>
                <w:i w:val="0"/>
                <w:iCs w:val="0"/>
                <w:color w:val="000000"/>
                <w:sz w:val="20"/>
                <w:szCs w:val="20"/>
                <w:u w:val="none"/>
              </w:rPr>
            </w:pPr>
          </w:p>
        </w:tc>
      </w:tr>
      <w:tr w14:paraId="6EB73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54090">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37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9126">
            <w:pPr>
              <w:jc w:val="left"/>
              <w:rPr>
                <w:rFonts w:hint="default" w:ascii="Calibri" w:hAnsi="Calibri" w:eastAsia="宋体" w:cs="Calibri"/>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C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648A">
            <w:pPr>
              <w:jc w:val="left"/>
              <w:rPr>
                <w:rFonts w:hint="eastAsia" w:ascii="宋体" w:hAnsi="宋体" w:eastAsia="宋体" w:cs="宋体"/>
                <w:i w:val="0"/>
                <w:iCs w:val="0"/>
                <w:color w:val="000000"/>
                <w:sz w:val="20"/>
                <w:szCs w:val="20"/>
                <w:u w:val="none"/>
              </w:rPr>
            </w:pP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7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57C1D">
            <w:pPr>
              <w:jc w:val="left"/>
              <w:rPr>
                <w:rFonts w:hint="eastAsia" w:ascii="宋体" w:hAnsi="宋体" w:eastAsia="宋体" w:cs="宋体"/>
                <w:i w:val="0"/>
                <w:iCs w:val="0"/>
                <w:color w:val="000000"/>
                <w:sz w:val="20"/>
                <w:szCs w:val="20"/>
                <w:u w:val="none"/>
              </w:rPr>
            </w:pPr>
          </w:p>
        </w:tc>
        <w:tc>
          <w:tcPr>
            <w:tcW w:w="5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20A4E">
            <w:pPr>
              <w:jc w:val="center"/>
              <w:rPr>
                <w:rFonts w:hint="eastAsia" w:ascii="宋体" w:hAnsi="宋体" w:eastAsia="宋体" w:cs="宋体"/>
                <w:i w:val="0"/>
                <w:iCs w:val="0"/>
                <w:color w:val="000000"/>
                <w:sz w:val="20"/>
                <w:szCs w:val="20"/>
                <w:u w:val="none"/>
              </w:rPr>
            </w:pPr>
          </w:p>
        </w:tc>
      </w:tr>
      <w:tr w14:paraId="361B2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AA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94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D8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8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4C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5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31D6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E73B5">
            <w:pPr>
              <w:jc w:val="center"/>
              <w:rPr>
                <w:rFonts w:hint="eastAsia" w:ascii="宋体" w:hAnsi="宋体" w:eastAsia="宋体" w:cs="宋体"/>
                <w:i w:val="0"/>
                <w:iCs w:val="0"/>
                <w:color w:val="000000"/>
                <w:sz w:val="20"/>
                <w:szCs w:val="20"/>
                <w:u w:val="none"/>
              </w:rPr>
            </w:pPr>
          </w:p>
        </w:tc>
        <w:tc>
          <w:tcPr>
            <w:tcW w:w="194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5A6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以满足老年人文体生活为需求，丰富老年人业余生活</w:t>
            </w:r>
          </w:p>
        </w:tc>
        <w:tc>
          <w:tcPr>
            <w:tcW w:w="188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A9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以满足老年人文体生活为需求，丰富老年人业余生活</w:t>
            </w:r>
          </w:p>
        </w:tc>
        <w:tc>
          <w:tcPr>
            <w:tcW w:w="5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73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E45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E0BD4">
            <w:pPr>
              <w:jc w:val="center"/>
              <w:rPr>
                <w:rFonts w:hint="eastAsia" w:ascii="宋体" w:hAnsi="宋体" w:eastAsia="宋体" w:cs="宋体"/>
                <w:i w:val="0"/>
                <w:iCs w:val="0"/>
                <w:color w:val="000000"/>
                <w:sz w:val="20"/>
                <w:szCs w:val="20"/>
                <w:u w:val="none"/>
              </w:rPr>
            </w:pPr>
          </w:p>
        </w:tc>
        <w:tc>
          <w:tcPr>
            <w:tcW w:w="19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571A2">
            <w:pPr>
              <w:jc w:val="center"/>
              <w:rPr>
                <w:rFonts w:hint="eastAsia" w:ascii="宋体" w:hAnsi="宋体" w:eastAsia="宋体" w:cs="宋体"/>
                <w:i w:val="0"/>
                <w:iCs w:val="0"/>
                <w:color w:val="000000"/>
                <w:sz w:val="20"/>
                <w:szCs w:val="20"/>
                <w:u w:val="none"/>
              </w:rPr>
            </w:pPr>
          </w:p>
        </w:tc>
        <w:tc>
          <w:tcPr>
            <w:tcW w:w="188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F2E16">
            <w:pPr>
              <w:jc w:val="center"/>
              <w:rPr>
                <w:rFonts w:hint="eastAsia" w:ascii="宋体" w:hAnsi="宋体" w:eastAsia="宋体" w:cs="宋体"/>
                <w:i w:val="0"/>
                <w:iCs w:val="0"/>
                <w:color w:val="000000"/>
                <w:sz w:val="20"/>
                <w:szCs w:val="20"/>
                <w:u w:val="none"/>
              </w:rPr>
            </w:pPr>
          </w:p>
        </w:tc>
        <w:tc>
          <w:tcPr>
            <w:tcW w:w="5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B8C0C">
            <w:pPr>
              <w:jc w:val="center"/>
              <w:rPr>
                <w:rFonts w:hint="eastAsia" w:ascii="宋体" w:hAnsi="宋体" w:eastAsia="宋体" w:cs="宋体"/>
                <w:i w:val="0"/>
                <w:iCs w:val="0"/>
                <w:color w:val="000000"/>
                <w:sz w:val="20"/>
                <w:szCs w:val="20"/>
                <w:u w:val="none"/>
              </w:rPr>
            </w:pPr>
          </w:p>
        </w:tc>
      </w:tr>
      <w:tr w14:paraId="058DB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 w:hRule="atLeast"/>
        </w:trPr>
        <w:tc>
          <w:tcPr>
            <w:tcW w:w="6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E92B4">
            <w:pPr>
              <w:jc w:val="center"/>
              <w:rPr>
                <w:rFonts w:hint="eastAsia" w:ascii="宋体" w:hAnsi="宋体" w:eastAsia="宋体" w:cs="宋体"/>
                <w:i w:val="0"/>
                <w:iCs w:val="0"/>
                <w:color w:val="000000"/>
                <w:sz w:val="20"/>
                <w:szCs w:val="20"/>
                <w:u w:val="none"/>
              </w:rPr>
            </w:pPr>
          </w:p>
        </w:tc>
        <w:tc>
          <w:tcPr>
            <w:tcW w:w="19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A7053">
            <w:pPr>
              <w:jc w:val="center"/>
              <w:rPr>
                <w:rFonts w:hint="eastAsia" w:ascii="宋体" w:hAnsi="宋体" w:eastAsia="宋体" w:cs="宋体"/>
                <w:i w:val="0"/>
                <w:iCs w:val="0"/>
                <w:color w:val="000000"/>
                <w:sz w:val="20"/>
                <w:szCs w:val="20"/>
                <w:u w:val="none"/>
              </w:rPr>
            </w:pPr>
          </w:p>
        </w:tc>
        <w:tc>
          <w:tcPr>
            <w:tcW w:w="188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40B5">
            <w:pPr>
              <w:jc w:val="center"/>
              <w:rPr>
                <w:rFonts w:hint="eastAsia" w:ascii="宋体" w:hAnsi="宋体" w:eastAsia="宋体" w:cs="宋体"/>
                <w:i w:val="0"/>
                <w:iCs w:val="0"/>
                <w:color w:val="000000"/>
                <w:sz w:val="20"/>
                <w:szCs w:val="20"/>
                <w:u w:val="none"/>
              </w:rPr>
            </w:pPr>
          </w:p>
        </w:tc>
        <w:tc>
          <w:tcPr>
            <w:tcW w:w="5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C9637">
            <w:pPr>
              <w:jc w:val="center"/>
              <w:rPr>
                <w:rFonts w:hint="eastAsia" w:ascii="宋体" w:hAnsi="宋体" w:eastAsia="宋体" w:cs="宋体"/>
                <w:i w:val="0"/>
                <w:iCs w:val="0"/>
                <w:color w:val="000000"/>
                <w:sz w:val="20"/>
                <w:szCs w:val="20"/>
                <w:u w:val="none"/>
              </w:rPr>
            </w:pPr>
          </w:p>
        </w:tc>
      </w:tr>
      <w:tr w14:paraId="11A6E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7" w:type="pct"/>
            <w:vMerge w:val="restart"/>
            <w:tcBorders>
              <w:top w:val="single" w:color="000000" w:sz="4" w:space="0"/>
              <w:left w:val="single" w:color="000000" w:sz="4" w:space="0"/>
              <w:bottom w:val="single" w:color="000000" w:sz="4" w:space="0"/>
              <w:right w:val="nil"/>
            </w:tcBorders>
            <w:shd w:val="clear" w:color="auto" w:fill="auto"/>
            <w:vAlign w:val="center"/>
          </w:tcPr>
          <w:p w14:paraId="5DAB4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4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D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72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2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E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F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C246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6DCF7F53">
            <w:pPr>
              <w:jc w:val="center"/>
              <w:rPr>
                <w:rFonts w:hint="eastAsia" w:ascii="宋体" w:hAnsi="宋体" w:eastAsia="宋体" w:cs="宋体"/>
                <w:i w:val="0"/>
                <w:iCs w:val="0"/>
                <w:color w:val="000000"/>
                <w:sz w:val="20"/>
                <w:szCs w:val="20"/>
                <w:u w:val="none"/>
              </w:rPr>
            </w:pPr>
          </w:p>
        </w:tc>
        <w:tc>
          <w:tcPr>
            <w:tcW w:w="769" w:type="pct"/>
            <w:vMerge w:val="restart"/>
            <w:tcBorders>
              <w:top w:val="single" w:color="000000" w:sz="4" w:space="0"/>
              <w:left w:val="single" w:color="000000" w:sz="4" w:space="0"/>
              <w:bottom w:val="nil"/>
              <w:right w:val="single" w:color="000000" w:sz="4" w:space="0"/>
            </w:tcBorders>
            <w:shd w:val="clear" w:color="auto" w:fill="auto"/>
            <w:vAlign w:val="center"/>
          </w:tcPr>
          <w:p w14:paraId="3AC9D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18" w:type="pct"/>
            <w:tcBorders>
              <w:top w:val="single" w:color="000000" w:sz="4" w:space="0"/>
              <w:left w:val="single" w:color="000000" w:sz="4" w:space="0"/>
              <w:bottom w:val="nil"/>
              <w:right w:val="single" w:color="000000" w:sz="4" w:space="0"/>
            </w:tcBorders>
            <w:shd w:val="clear" w:color="auto" w:fill="auto"/>
            <w:vAlign w:val="center"/>
          </w:tcPr>
          <w:p w14:paraId="38235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22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参加赛事活动次数</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E6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3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1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AD68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56901B83">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single" w:color="000000" w:sz="4" w:space="0"/>
              <w:bottom w:val="nil"/>
              <w:right w:val="single" w:color="000000" w:sz="4" w:space="0"/>
            </w:tcBorders>
            <w:shd w:val="clear" w:color="auto" w:fill="auto"/>
            <w:vAlign w:val="center"/>
          </w:tcPr>
          <w:p w14:paraId="3F6166B9">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35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59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活动完成率</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9F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DE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C6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8B1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3B0BE7E1">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single" w:color="000000" w:sz="4" w:space="0"/>
              <w:bottom w:val="nil"/>
              <w:right w:val="single" w:color="000000" w:sz="4" w:space="0"/>
            </w:tcBorders>
            <w:shd w:val="clear" w:color="auto" w:fill="auto"/>
            <w:vAlign w:val="center"/>
          </w:tcPr>
          <w:p w14:paraId="48502BA8">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8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EAEE1">
            <w:pPr>
              <w:jc w:val="center"/>
              <w:rPr>
                <w:rFonts w:hint="eastAsia" w:ascii="宋体" w:hAnsi="宋体" w:eastAsia="宋体" w:cs="宋体"/>
                <w:i w:val="0"/>
                <w:iCs w:val="0"/>
                <w:color w:val="000000"/>
                <w:sz w:val="20"/>
                <w:szCs w:val="20"/>
                <w:u w:val="none"/>
              </w:rPr>
            </w:pP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8B76">
            <w:pPr>
              <w:jc w:val="center"/>
              <w:rPr>
                <w:rFonts w:hint="default" w:ascii="Calibri" w:hAnsi="Calibri" w:eastAsia="宋体" w:cs="Calibri"/>
                <w:i w:val="0"/>
                <w:iCs w:val="0"/>
                <w:color w:val="000000"/>
                <w:sz w:val="20"/>
                <w:szCs w:val="20"/>
                <w:u w:val="none"/>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892CB">
            <w:pPr>
              <w:jc w:val="center"/>
              <w:rPr>
                <w:rFonts w:hint="default" w:ascii="Calibri" w:hAnsi="Calibri" w:eastAsia="宋体" w:cs="Calibri"/>
                <w:i w:val="0"/>
                <w:iCs w:val="0"/>
                <w:color w:val="000000"/>
                <w:sz w:val="20"/>
                <w:szCs w:val="20"/>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7E59">
            <w:pPr>
              <w:jc w:val="center"/>
              <w:rPr>
                <w:rFonts w:hint="default" w:ascii="Calibri" w:hAnsi="Calibri" w:eastAsia="宋体" w:cs="Calibri"/>
                <w:i w:val="0"/>
                <w:iCs w:val="0"/>
                <w:color w:val="000000"/>
                <w:sz w:val="20"/>
                <w:szCs w:val="20"/>
                <w:u w:val="none"/>
              </w:rPr>
            </w:pPr>
          </w:p>
        </w:tc>
      </w:tr>
      <w:tr w14:paraId="32680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0BE1DE02">
            <w:pPr>
              <w:jc w:val="center"/>
              <w:rPr>
                <w:rFonts w:hint="eastAsia" w:ascii="宋体" w:hAnsi="宋体" w:eastAsia="宋体" w:cs="宋体"/>
                <w:i w:val="0"/>
                <w:iCs w:val="0"/>
                <w:color w:val="000000"/>
                <w:sz w:val="20"/>
                <w:szCs w:val="20"/>
                <w:u w:val="none"/>
              </w:rPr>
            </w:pPr>
          </w:p>
        </w:tc>
        <w:tc>
          <w:tcPr>
            <w:tcW w:w="769" w:type="pct"/>
            <w:vMerge w:val="continue"/>
            <w:tcBorders>
              <w:top w:val="single" w:color="000000" w:sz="4" w:space="0"/>
              <w:left w:val="single" w:color="000000" w:sz="4" w:space="0"/>
              <w:bottom w:val="nil"/>
              <w:right w:val="single" w:color="000000" w:sz="4" w:space="0"/>
            </w:tcBorders>
            <w:shd w:val="clear" w:color="auto" w:fill="auto"/>
            <w:vAlign w:val="center"/>
          </w:tcPr>
          <w:p w14:paraId="2D0FDF1E">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C5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A1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累计支出金额</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E21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≤100000</w:t>
            </w:r>
            <w:r>
              <w:rPr>
                <w:rFonts w:hint="eastAsia" w:ascii="宋体" w:hAnsi="宋体" w:eastAsia="宋体" w:cs="宋体"/>
                <w:i w:val="0"/>
                <w:iCs w:val="0"/>
                <w:color w:val="000000"/>
                <w:kern w:val="0"/>
                <w:sz w:val="20"/>
                <w:szCs w:val="20"/>
                <w:u w:val="none"/>
                <w:lang w:val="en-US" w:eastAsia="zh-CN" w:bidi="ar"/>
              </w:rPr>
              <w:t>元</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3B8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eastAsia" w:ascii="Calibri" w:hAnsi="Calibri" w:eastAsia="宋体" w:cs="Calibri"/>
                <w:i w:val="0"/>
                <w:iCs w:val="0"/>
                <w:color w:val="000000"/>
                <w:kern w:val="0"/>
                <w:sz w:val="20"/>
                <w:szCs w:val="20"/>
                <w:u w:val="none"/>
                <w:lang w:val="en-US" w:eastAsia="zh-CN" w:bidi="ar"/>
              </w:rPr>
              <w:t>100000</w:t>
            </w:r>
            <w:r>
              <w:rPr>
                <w:rFonts w:hint="eastAsia" w:ascii="宋体" w:hAnsi="宋体" w:eastAsia="宋体" w:cs="宋体"/>
                <w:i w:val="0"/>
                <w:iCs w:val="0"/>
                <w:color w:val="000000"/>
                <w:kern w:val="0"/>
                <w:sz w:val="20"/>
                <w:szCs w:val="20"/>
                <w:u w:val="none"/>
                <w:lang w:val="en-US" w:eastAsia="zh-CN" w:bidi="ar"/>
              </w:rPr>
              <w:t>元</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2A94">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r>
      <w:tr w14:paraId="78E5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0F130717">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F5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预算执行率指标（10分）</w:t>
            </w:r>
          </w:p>
        </w:tc>
        <w:tc>
          <w:tcPr>
            <w:tcW w:w="518" w:type="pct"/>
            <w:tcBorders>
              <w:top w:val="nil"/>
              <w:left w:val="nil"/>
              <w:bottom w:val="single" w:color="000000" w:sz="4" w:space="0"/>
              <w:right w:val="single" w:color="000000" w:sz="4" w:space="0"/>
            </w:tcBorders>
            <w:shd w:val="clear" w:color="auto" w:fill="auto"/>
            <w:vAlign w:val="center"/>
          </w:tcPr>
          <w:p w14:paraId="39FF1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FF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51" w:type="pct"/>
            <w:tcBorders>
              <w:top w:val="single" w:color="000000" w:sz="4" w:space="0"/>
              <w:left w:val="single" w:color="000000" w:sz="4" w:space="0"/>
              <w:bottom w:val="nil"/>
              <w:right w:val="single" w:color="000000" w:sz="4" w:space="0"/>
            </w:tcBorders>
            <w:shd w:val="clear" w:color="auto" w:fill="auto"/>
            <w:vAlign w:val="center"/>
          </w:tcPr>
          <w:p w14:paraId="062956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643" w:type="pct"/>
            <w:tcBorders>
              <w:top w:val="single" w:color="000000" w:sz="4" w:space="0"/>
              <w:left w:val="single" w:color="000000" w:sz="4" w:space="0"/>
              <w:bottom w:val="nil"/>
              <w:right w:val="single" w:color="000000" w:sz="4" w:space="0"/>
            </w:tcBorders>
            <w:shd w:val="clear" w:color="auto" w:fill="auto"/>
            <w:vAlign w:val="center"/>
          </w:tcPr>
          <w:p w14:paraId="0F5BAD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BD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215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61A8BF56">
            <w:pPr>
              <w:jc w:val="center"/>
              <w:rPr>
                <w:rFonts w:hint="eastAsia" w:ascii="宋体" w:hAnsi="宋体" w:eastAsia="宋体" w:cs="宋体"/>
                <w:i w:val="0"/>
                <w:iCs w:val="0"/>
                <w:color w:val="000000"/>
                <w:sz w:val="20"/>
                <w:szCs w:val="20"/>
                <w:u w:val="none"/>
              </w:rPr>
            </w:pPr>
          </w:p>
        </w:tc>
        <w:tc>
          <w:tcPr>
            <w:tcW w:w="769" w:type="pct"/>
            <w:vMerge w:val="restart"/>
            <w:tcBorders>
              <w:top w:val="nil"/>
              <w:left w:val="single" w:color="000000" w:sz="4" w:space="0"/>
              <w:bottom w:val="nil"/>
              <w:right w:val="single" w:color="000000" w:sz="4" w:space="0"/>
            </w:tcBorders>
            <w:shd w:val="clear" w:color="auto" w:fill="auto"/>
            <w:vAlign w:val="center"/>
          </w:tcPr>
          <w:p w14:paraId="6D74B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518" w:type="pct"/>
            <w:tcBorders>
              <w:top w:val="single" w:color="000000" w:sz="4" w:space="0"/>
              <w:left w:val="nil"/>
              <w:bottom w:val="single" w:color="000000" w:sz="4" w:space="0"/>
              <w:right w:val="single" w:color="000000" w:sz="4" w:space="0"/>
            </w:tcBorders>
            <w:shd w:val="clear" w:color="auto" w:fill="auto"/>
            <w:vAlign w:val="center"/>
          </w:tcPr>
          <w:p w14:paraId="67793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243" w:type="pct"/>
            <w:gridSpan w:val="2"/>
            <w:tcBorders>
              <w:top w:val="single" w:color="000000" w:sz="4" w:space="0"/>
              <w:left w:val="single" w:color="000000" w:sz="4" w:space="0"/>
              <w:bottom w:val="single" w:color="000000" w:sz="4" w:space="0"/>
              <w:right w:val="nil"/>
            </w:tcBorders>
            <w:shd w:val="clear" w:color="auto" w:fill="auto"/>
            <w:vAlign w:val="center"/>
          </w:tcPr>
          <w:p w14:paraId="66D52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带动相关项目消费</w:t>
            </w: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C1B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带动</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6D7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带动</w:t>
            </w:r>
          </w:p>
        </w:tc>
        <w:tc>
          <w:tcPr>
            <w:tcW w:w="516" w:type="pct"/>
            <w:tcBorders>
              <w:top w:val="single" w:color="000000" w:sz="4" w:space="0"/>
              <w:left w:val="nil"/>
              <w:bottom w:val="single" w:color="000000" w:sz="4" w:space="0"/>
              <w:right w:val="single" w:color="000000" w:sz="4" w:space="0"/>
            </w:tcBorders>
            <w:shd w:val="clear" w:color="auto" w:fill="auto"/>
            <w:vAlign w:val="center"/>
          </w:tcPr>
          <w:p w14:paraId="57E270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eastAsia" w:ascii="Calibri" w:hAnsi="Calibri" w:eastAsia="宋体" w:cs="Calibri"/>
                <w:i w:val="0"/>
                <w:iCs w:val="0"/>
                <w:color w:val="000000"/>
                <w:kern w:val="0"/>
                <w:sz w:val="20"/>
                <w:szCs w:val="20"/>
                <w:u w:val="none"/>
                <w:lang w:val="en-US" w:eastAsia="zh-CN" w:bidi="ar"/>
              </w:rPr>
              <w:t>8</w:t>
            </w:r>
          </w:p>
        </w:tc>
      </w:tr>
      <w:tr w14:paraId="0149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4C52900C">
            <w:pPr>
              <w:jc w:val="center"/>
              <w:rPr>
                <w:rFonts w:hint="eastAsia" w:ascii="宋体" w:hAnsi="宋体" w:eastAsia="宋体" w:cs="宋体"/>
                <w:i w:val="0"/>
                <w:iCs w:val="0"/>
                <w:color w:val="000000"/>
                <w:sz w:val="20"/>
                <w:szCs w:val="20"/>
                <w:u w:val="none"/>
              </w:rPr>
            </w:pPr>
          </w:p>
        </w:tc>
        <w:tc>
          <w:tcPr>
            <w:tcW w:w="769" w:type="pct"/>
            <w:vMerge w:val="continue"/>
            <w:tcBorders>
              <w:top w:val="nil"/>
              <w:left w:val="single" w:color="000000" w:sz="4" w:space="0"/>
              <w:bottom w:val="nil"/>
              <w:right w:val="single" w:color="000000" w:sz="4" w:space="0"/>
            </w:tcBorders>
            <w:shd w:val="clear" w:color="auto" w:fill="auto"/>
            <w:vAlign w:val="center"/>
          </w:tcPr>
          <w:p w14:paraId="4860C6A3">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nil"/>
              <w:bottom w:val="single" w:color="000000" w:sz="4" w:space="0"/>
              <w:right w:val="single" w:color="000000" w:sz="4" w:space="0"/>
            </w:tcBorders>
            <w:shd w:val="clear" w:color="auto" w:fill="auto"/>
            <w:vAlign w:val="center"/>
          </w:tcPr>
          <w:p w14:paraId="27F2D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65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社会影响力</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B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影响广泛</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E4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影响广泛</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E2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BD3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301A5450">
            <w:pPr>
              <w:jc w:val="center"/>
              <w:rPr>
                <w:rFonts w:hint="eastAsia" w:ascii="宋体" w:hAnsi="宋体" w:eastAsia="宋体" w:cs="宋体"/>
                <w:i w:val="0"/>
                <w:iCs w:val="0"/>
                <w:color w:val="000000"/>
                <w:sz w:val="20"/>
                <w:szCs w:val="20"/>
                <w:u w:val="none"/>
              </w:rPr>
            </w:pPr>
          </w:p>
        </w:tc>
        <w:tc>
          <w:tcPr>
            <w:tcW w:w="769" w:type="pct"/>
            <w:vMerge w:val="continue"/>
            <w:tcBorders>
              <w:top w:val="nil"/>
              <w:left w:val="single" w:color="000000" w:sz="4" w:space="0"/>
              <w:bottom w:val="nil"/>
              <w:right w:val="single" w:color="000000" w:sz="4" w:space="0"/>
            </w:tcBorders>
            <w:shd w:val="clear" w:color="auto" w:fill="auto"/>
            <w:vAlign w:val="center"/>
          </w:tcPr>
          <w:p w14:paraId="66E4F6BE">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nil"/>
              <w:bottom w:val="single" w:color="000000" w:sz="4" w:space="0"/>
              <w:right w:val="single" w:color="000000" w:sz="4" w:space="0"/>
            </w:tcBorders>
            <w:shd w:val="clear" w:color="auto" w:fill="auto"/>
            <w:vAlign w:val="center"/>
          </w:tcPr>
          <w:p w14:paraId="456BB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48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对生态环境产生的影响</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6F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无影响</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AE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无影响</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4B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E4C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6F339DAA">
            <w:pPr>
              <w:jc w:val="center"/>
              <w:rPr>
                <w:rFonts w:hint="eastAsia" w:ascii="宋体" w:hAnsi="宋体" w:eastAsia="宋体" w:cs="宋体"/>
                <w:i w:val="0"/>
                <w:iCs w:val="0"/>
                <w:color w:val="000000"/>
                <w:sz w:val="20"/>
                <w:szCs w:val="20"/>
                <w:u w:val="none"/>
              </w:rPr>
            </w:pPr>
          </w:p>
        </w:tc>
        <w:tc>
          <w:tcPr>
            <w:tcW w:w="769" w:type="pct"/>
            <w:vMerge w:val="continue"/>
            <w:tcBorders>
              <w:top w:val="nil"/>
              <w:left w:val="single" w:color="000000" w:sz="4" w:space="0"/>
              <w:bottom w:val="nil"/>
              <w:right w:val="single" w:color="000000" w:sz="4" w:space="0"/>
            </w:tcBorders>
            <w:shd w:val="clear" w:color="auto" w:fill="auto"/>
            <w:vAlign w:val="center"/>
          </w:tcPr>
          <w:p w14:paraId="40949182">
            <w:pPr>
              <w:jc w:val="center"/>
              <w:rPr>
                <w:rFonts w:hint="eastAsia" w:ascii="宋体" w:hAnsi="宋体" w:eastAsia="宋体" w:cs="宋体"/>
                <w:i w:val="0"/>
                <w:iCs w:val="0"/>
                <w:color w:val="000000"/>
                <w:sz w:val="20"/>
                <w:szCs w:val="20"/>
                <w:u w:val="none"/>
              </w:rPr>
            </w:pPr>
          </w:p>
        </w:tc>
        <w:tc>
          <w:tcPr>
            <w:tcW w:w="518" w:type="pct"/>
            <w:tcBorders>
              <w:top w:val="single" w:color="000000" w:sz="4" w:space="0"/>
              <w:left w:val="nil"/>
              <w:bottom w:val="single" w:color="000000" w:sz="4" w:space="0"/>
              <w:right w:val="single" w:color="000000" w:sz="4" w:space="0"/>
            </w:tcBorders>
            <w:shd w:val="clear" w:color="auto" w:fill="auto"/>
            <w:vAlign w:val="center"/>
          </w:tcPr>
          <w:p w14:paraId="4FD4C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21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对改善老年人文体生活的提升作用</w:t>
            </w:r>
          </w:p>
        </w:tc>
        <w:tc>
          <w:tcPr>
            <w:tcW w:w="651" w:type="pct"/>
            <w:tcBorders>
              <w:top w:val="nil"/>
              <w:left w:val="nil"/>
              <w:bottom w:val="nil"/>
              <w:right w:val="nil"/>
            </w:tcBorders>
            <w:shd w:val="clear" w:color="auto" w:fill="auto"/>
            <w:noWrap/>
            <w:vAlign w:val="top"/>
          </w:tcPr>
          <w:p w14:paraId="13E81CCE">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显著提升</w:t>
            </w:r>
          </w:p>
        </w:tc>
        <w:tc>
          <w:tcPr>
            <w:tcW w:w="643" w:type="pct"/>
            <w:tcBorders>
              <w:top w:val="nil"/>
              <w:left w:val="nil"/>
              <w:bottom w:val="nil"/>
              <w:right w:val="nil"/>
            </w:tcBorders>
            <w:shd w:val="clear" w:color="auto" w:fill="auto"/>
            <w:noWrap/>
            <w:vAlign w:val="top"/>
          </w:tcPr>
          <w:p w14:paraId="631184C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显著提升</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E71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DA4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7CAEFBBA">
            <w:pPr>
              <w:jc w:val="center"/>
              <w:rPr>
                <w:rFonts w:hint="eastAsia" w:ascii="宋体" w:hAnsi="宋体" w:eastAsia="宋体" w:cs="宋体"/>
                <w:i w:val="0"/>
                <w:iCs w:val="0"/>
                <w:color w:val="000000"/>
                <w:sz w:val="20"/>
                <w:szCs w:val="20"/>
                <w:u w:val="none"/>
              </w:rPr>
            </w:pP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F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18" w:type="pct"/>
            <w:tcBorders>
              <w:top w:val="single" w:color="000000" w:sz="4" w:space="0"/>
              <w:left w:val="nil"/>
              <w:bottom w:val="single" w:color="000000" w:sz="4" w:space="0"/>
              <w:right w:val="single" w:color="000000" w:sz="4" w:space="0"/>
            </w:tcBorders>
            <w:shd w:val="clear" w:color="auto" w:fill="auto"/>
            <w:vAlign w:val="center"/>
          </w:tcPr>
          <w:p w14:paraId="31701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39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651" w:type="pct"/>
            <w:tcBorders>
              <w:top w:val="single" w:color="000000" w:sz="4" w:space="0"/>
              <w:left w:val="single" w:color="000000" w:sz="4" w:space="0"/>
              <w:bottom w:val="nil"/>
              <w:right w:val="single" w:color="000000" w:sz="4" w:space="0"/>
            </w:tcBorders>
            <w:shd w:val="clear" w:color="auto" w:fill="auto"/>
            <w:vAlign w:val="center"/>
          </w:tcPr>
          <w:p w14:paraId="248625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56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081A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46FB9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57" w:type="pct"/>
            <w:vMerge w:val="continue"/>
            <w:tcBorders>
              <w:top w:val="single" w:color="000000" w:sz="4" w:space="0"/>
              <w:left w:val="single" w:color="000000" w:sz="4" w:space="0"/>
              <w:bottom w:val="single" w:color="000000" w:sz="4" w:space="0"/>
              <w:right w:val="nil"/>
            </w:tcBorders>
            <w:shd w:val="clear" w:color="auto" w:fill="auto"/>
            <w:vAlign w:val="center"/>
          </w:tcPr>
          <w:p w14:paraId="3020C26F">
            <w:pPr>
              <w:jc w:val="center"/>
              <w:rPr>
                <w:rFonts w:hint="eastAsia" w:ascii="宋体" w:hAnsi="宋体" w:eastAsia="宋体" w:cs="宋体"/>
                <w:i w:val="0"/>
                <w:iCs w:val="0"/>
                <w:color w:val="000000"/>
                <w:sz w:val="20"/>
                <w:szCs w:val="20"/>
                <w:u w:val="none"/>
              </w:rPr>
            </w:pPr>
          </w:p>
        </w:tc>
        <w:tc>
          <w:tcPr>
            <w:tcW w:w="382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B2A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262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r>
      <w:tr w14:paraId="70551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57" w:type="pct"/>
            <w:tcBorders>
              <w:top w:val="nil"/>
              <w:left w:val="single" w:color="000000" w:sz="4" w:space="0"/>
              <w:bottom w:val="single" w:color="000000" w:sz="4" w:space="0"/>
              <w:right w:val="single" w:color="000000" w:sz="4" w:space="0"/>
            </w:tcBorders>
            <w:shd w:val="clear" w:color="auto" w:fill="auto"/>
            <w:vAlign w:val="center"/>
          </w:tcPr>
          <w:p w14:paraId="257155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五、</w:t>
            </w:r>
            <w:r>
              <w:rPr>
                <w:rFonts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w:t>
            </w:r>
            <w:r>
              <w:rPr>
                <w:rFonts w:hint="eastAsia" w:ascii="宋体" w:hAnsi="宋体" w:eastAsia="宋体" w:cs="宋体"/>
                <w:i w:val="0"/>
                <w:iCs w:val="0"/>
                <w:color w:val="000000"/>
                <w:kern w:val="0"/>
                <w:sz w:val="20"/>
                <w:szCs w:val="20"/>
                <w:u w:val="none"/>
                <w:lang w:val="en-US" w:eastAsia="zh-CN" w:bidi="ar"/>
              </w:rPr>
              <w:t>施</w:t>
            </w:r>
          </w:p>
        </w:tc>
        <w:tc>
          <w:tcPr>
            <w:tcW w:w="434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4D0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bookmarkStart w:id="0" w:name="_GoBack"/>
            <w:bookmarkEnd w:id="0"/>
            <w:r>
              <w:rPr>
                <w:rFonts w:hint="eastAsia" w:ascii="宋体" w:hAnsi="宋体" w:eastAsia="宋体" w:cs="宋体"/>
                <w:i w:val="0"/>
                <w:iCs w:val="0"/>
                <w:color w:val="000000"/>
                <w:kern w:val="0"/>
                <w:sz w:val="20"/>
                <w:szCs w:val="20"/>
                <w:u w:val="none"/>
                <w:lang w:val="en-US" w:eastAsia="zh-CN" w:bidi="ar"/>
              </w:rPr>
              <w:t>无</w:t>
            </w:r>
          </w:p>
        </w:tc>
      </w:tr>
    </w:tbl>
    <w:p w14:paraId="028F024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color w:val="auto"/>
          <w:sz w:val="32"/>
          <w:szCs w:val="32"/>
          <w:highlight w:val="none"/>
        </w:rPr>
      </w:pPr>
    </w:p>
    <w:p w14:paraId="698ED7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DA43A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无</w:t>
      </w:r>
    </w:p>
    <w:p w14:paraId="44D2473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3E065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31D7E7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8FB435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D3E0E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D7878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FFF2E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ED5DD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ABD67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DDA44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F65FD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C2D47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EF319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A0750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01216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7969ED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351D9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79786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E00EA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EBB0F0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3D88E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27348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5F88364-20F6-42F6-95D9-C615D098AE70}"/>
  </w:font>
  <w:font w:name="黑体">
    <w:panose1 w:val="02010609060101010101"/>
    <w:charset w:val="86"/>
    <w:family w:val="auto"/>
    <w:pitch w:val="default"/>
    <w:sig w:usb0="800002BF" w:usb1="38CF7CFA" w:usb2="00000016" w:usb3="00000000" w:csb0="00040001" w:csb1="00000000"/>
    <w:embedRegular r:id="rId2" w:fontKey="{F13C8273-2C2A-4043-8305-C335A0FDF89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DCCC4937-BF5E-4C02-BABB-ED035600F5F2}"/>
  </w:font>
  <w:font w:name="仿宋">
    <w:panose1 w:val="02010609060101010101"/>
    <w:charset w:val="86"/>
    <w:family w:val="modern"/>
    <w:pitch w:val="default"/>
    <w:sig w:usb0="800002BF" w:usb1="38CF7CFA" w:usb2="00000016" w:usb3="00000000" w:csb0="00040001" w:csb1="00000000"/>
    <w:embedRegular r:id="rId4" w:fontKey="{82FDB0FA-EFDD-448B-BE7E-3651D4D5F32F}"/>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E9DEFF6-6843-4A7A-8B78-3C83AA410C0E}"/>
  </w:font>
  <w:font w:name="楷体_GB2312">
    <w:panose1 w:val="02010609030101010101"/>
    <w:charset w:val="86"/>
    <w:family w:val="auto"/>
    <w:pitch w:val="default"/>
    <w:sig w:usb0="00000001" w:usb1="080E0000" w:usb2="00000000" w:usb3="00000000" w:csb0="00040000" w:csb1="00000000"/>
    <w:embedRegular r:id="rId6" w:fontKey="{F9A9A209-F9DF-485D-9706-6FB1BB58E9E7}"/>
  </w:font>
  <w:font w:name="微软雅黑">
    <w:panose1 w:val="020B0503020204020204"/>
    <w:charset w:val="86"/>
    <w:family w:val="auto"/>
    <w:pitch w:val="default"/>
    <w:sig w:usb0="80000287" w:usb1="280F3C52" w:usb2="00000016" w:usb3="00000000" w:csb0="0004001F" w:csb1="00000000"/>
    <w:embedRegular r:id="rId7" w:fontKey="{907D3EAF-425D-4AD5-81F5-D1E7CED232B1}"/>
  </w:font>
  <w:font w:name="方正小标宋_GBK">
    <w:panose1 w:val="02000000000000000000"/>
    <w:charset w:val="86"/>
    <w:family w:val="script"/>
    <w:pitch w:val="default"/>
    <w:sig w:usb0="A00002BF" w:usb1="38CF7CFA" w:usb2="00082016" w:usb3="00000000" w:csb0="00040001" w:csb1="00000000"/>
    <w:embedRegular r:id="rId8" w:fontKey="{163B1481-CB74-45CE-8509-BCF6915FAAC6}"/>
  </w:font>
  <w:font w:name="仿宋_GB2312">
    <w:panose1 w:val="02010609030101010101"/>
    <w:charset w:val="86"/>
    <w:family w:val="auto"/>
    <w:pitch w:val="default"/>
    <w:sig w:usb0="00000001" w:usb1="080E0000" w:usb2="00000000" w:usb3="00000000" w:csb0="00040000" w:csb1="00000000"/>
    <w:embedRegular r:id="rId9" w:fontKey="{9B45FAFE-C2F7-45A4-8E22-BE85DC869D25}"/>
  </w:font>
  <w:font w:name="ArialUnicodeMS">
    <w:altName w:val="Malgun Gothic"/>
    <w:panose1 w:val="00000000000000000000"/>
    <w:charset w:val="81"/>
    <w:family w:val="auto"/>
    <w:pitch w:val="default"/>
    <w:sig w:usb0="00000000" w:usb1="00000000" w:usb2="00000010" w:usb3="00000000" w:csb0="00080001" w:csb1="00000000"/>
    <w:embedRegular r:id="rId10" w:fontKey="{5B99DEC4-5E8D-41C1-8512-586AB46223F0}"/>
  </w:font>
  <w:font w:name="Malgun Gothic">
    <w:panose1 w:val="020B0503020000020004"/>
    <w:charset w:val="81"/>
    <w:family w:val="auto"/>
    <w:pitch w:val="default"/>
    <w:sig w:usb0="900002AF" w:usb1="01D77CFB" w:usb2="00000012" w:usb3="00000000" w:csb0="00080001"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CE3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CE3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CE3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CE3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06993"/>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2A451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CD4D3F"/>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55C74"/>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146.54</c:v>
                </c:pt>
                <c:pt idx="1">
                  <c:v>138.85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1465374.31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1365374.31</c:v>
                </c:pt>
                <c:pt idx="1">
                  <c:v>100000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138.85</c:v>
                </c:pt>
                <c:pt idx="1">
                  <c:v>138.85</c:v>
                </c:pt>
                <c:pt idx="2">
                  <c:v>136.85</c:v>
                </c:pt>
                <c:pt idx="3">
                  <c:v>136.85</c:v>
                </c:pt>
                <c:pt idx="4">
                  <c:v>2</c:v>
                </c:pt>
                <c:pt idx="5">
                  <c:v>2</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146.54</c:v>
                </c:pt>
                <c:pt idx="1">
                  <c:v>146.54</c:v>
                </c:pt>
                <c:pt idx="2">
                  <c:v>146.54</c:v>
                </c:pt>
                <c:pt idx="3">
                  <c:v>146.54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141.7</c:v>
                </c:pt>
                <c:pt idx="1">
                  <c:v>141.7</c:v>
                </c:pt>
                <c:pt idx="2">
                  <c:v>141.7</c:v>
                </c:pt>
                <c:pt idx="3">
                  <c:v>141.7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146.54</c:v>
                </c:pt>
                <c:pt idx="1">
                  <c:v>146.54</c:v>
                </c:pt>
                <c:pt idx="2">
                  <c:v>146.54</c:v>
                </c:pt>
                <c:pt idx="3">
                  <c:v>146.54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24</Words>
  <Characters>29</Characters>
  <Lines>86</Lines>
  <Paragraphs>24</Paragraphs>
  <TotalTime>3</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川</cp:lastModifiedBy>
  <cp:lastPrinted>2023-08-04T01:00:00Z</cp:lastPrinted>
  <dcterms:modified xsi:type="dcterms:W3CDTF">2026-10-10T08:42:21Z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eyJoZGlkIjoiNjQxNDkwYjY4YmQxOGFkMmM4YWIwODNjZjBiZDVhMmEiLCJ1c2VySWQiOiI0MjY5NDI4MzgifQ==</vt:lpwstr>
  </property>
</Properties>
</file>