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正定县图书馆</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357004</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bookmarkStart w:id="0" w:name="_GoBack"/>
    </w:p>
    <w:bookmarkEnd w:id="0"/>
    <w:p w14:paraId="2509B2C8">
      <w:pPr>
        <w:rPr>
          <w:rFonts w:hint="eastAsia" w:ascii="黑体" w:hAnsi="黑体" w:eastAsia="黑体" w:cs="黑体"/>
          <w:b/>
          <w:bCs/>
          <w:sz w:val="32"/>
          <w:szCs w:val="36"/>
          <w:highlight w:val="yellow"/>
        </w:rPr>
      </w:pPr>
    </w:p>
    <w:p w14:paraId="0106CC7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正定县图书馆</w:t>
      </w:r>
    </w:p>
    <w:p w14:paraId="61367F9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326C1E0B">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正定县图书馆</w:t>
      </w:r>
    </w:p>
    <w:p w14:paraId="4E886CB8">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C42C33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39A10E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78E35E0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11DE1A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5D6DF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18D1D40">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08BF2F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E310B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174AD2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496B9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F8332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0401D4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3F62EF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6877ED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62DE13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4E2C86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37F78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399BB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46102B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6C6CD7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0CA00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2DABE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DBC49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74592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F0CFF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86286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5ACFD17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CBD730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6CB5086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445696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加强图书管理，不断满足全县人民群众图书借阅要求。加强图书馆的设施建设和增加馆藏图书。采用现代化管理手段，开展图书借阅和阅览，搜集整理与保存文化典籍、资料和地方文献，加强县乡村三级图书馆网络建设，文化信息资源共享工程建设及业务指导。</w:t>
      </w:r>
    </w:p>
    <w:p w14:paraId="331041A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044A4F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正定县图书馆</w:t>
            </w:r>
          </w:p>
        </w:tc>
        <w:tc>
          <w:tcPr>
            <w:tcW w:w="2445" w:type="dxa"/>
          </w:tcPr>
          <w:p w14:paraId="2E443189">
            <w:pPr>
              <w:spacing w:line="560" w:lineRule="exact"/>
              <w:jc w:val="center"/>
              <w:rPr>
                <w:rFonts w:ascii="仿宋_GB2312" w:hAnsi="Calibri" w:eastAsia="仿宋_GB2312" w:cs="ArialUnicodeMS"/>
                <w:kern w:val="0"/>
                <w:sz w:val="28"/>
                <w:szCs w:val="28"/>
              </w:rPr>
            </w:pP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C8BE48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部门（单位）：正定县图书馆</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部门（单位）：正定县图书馆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215.29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E64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54D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48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A1A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225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197.29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44E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9B5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CB4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EBE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5A8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67D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E1B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DC2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图书馆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489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607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53D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21B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F32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4EB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210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D5A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352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3939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其他文化和旅游支出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A6E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649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3C1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3B4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2D0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5B7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761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46A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C7B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898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F60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A2C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CAB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D99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500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BBC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33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16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60A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0E8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961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678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B62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273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0E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8C0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FD8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部门（单位）：正定县图书馆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191.00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5043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B18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E15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209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352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34F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BCD3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E934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635DE">
            <w:pPr>
              <w:jc w:val="right"/>
              <w:rPr>
                <w:rFonts w:hint="default" w:ascii="Times New Roman" w:hAnsi="Times New Roman" w:eastAsia="宋体" w:cs="Times New Roman"/>
                <w:i w:val="0"/>
                <w:iCs w:val="0"/>
                <w:color w:val="000000"/>
                <w:sz w:val="20"/>
                <w:szCs w:val="20"/>
                <w:highlight w:val="none"/>
                <w:u w:val="none"/>
              </w:rPr>
            </w:pPr>
          </w:p>
        </w:tc>
      </w:tr>
      <w:tr w14:paraId="671E7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18B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DF2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图书馆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F4F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0ED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CCD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CE69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03C5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86F8E">
            <w:pPr>
              <w:jc w:val="right"/>
              <w:rPr>
                <w:rFonts w:hint="default" w:ascii="Times New Roman" w:hAnsi="Times New Roman" w:eastAsia="宋体" w:cs="Times New Roman"/>
                <w:i w:val="0"/>
                <w:iCs w:val="0"/>
                <w:color w:val="000000"/>
                <w:sz w:val="20"/>
                <w:szCs w:val="20"/>
                <w:highlight w:val="none"/>
                <w:u w:val="none"/>
              </w:rPr>
            </w:pPr>
          </w:p>
        </w:tc>
      </w:tr>
      <w:tr w14:paraId="5023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ED4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FBB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6F9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2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F32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F30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8478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C8264">
            <w:pPr>
              <w:jc w:val="right"/>
              <w:rPr>
                <w:rFonts w:hint="default" w:ascii="Times New Roman" w:hAnsi="Times New Roman" w:eastAsia="宋体" w:cs="Times New Roman"/>
                <w:i w:val="0"/>
                <w:iCs w:val="0"/>
                <w:color w:val="000000"/>
                <w:sz w:val="20"/>
                <w:szCs w:val="20"/>
                <w:highlight w:val="none"/>
                <w:u w:val="none"/>
              </w:rPr>
            </w:pPr>
          </w:p>
        </w:tc>
      </w:tr>
      <w:tr w14:paraId="5E47F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AB4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23A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59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E15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E71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1F4D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F679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81768">
            <w:pPr>
              <w:jc w:val="right"/>
              <w:rPr>
                <w:rFonts w:hint="default" w:ascii="Times New Roman" w:hAnsi="Times New Roman" w:eastAsia="宋体" w:cs="Times New Roman"/>
                <w:i w:val="0"/>
                <w:iCs w:val="0"/>
                <w:color w:val="000000"/>
                <w:sz w:val="20"/>
                <w:szCs w:val="20"/>
                <w:highlight w:val="none"/>
                <w:u w:val="none"/>
              </w:rPr>
            </w:pPr>
          </w:p>
        </w:tc>
      </w:tr>
      <w:tr w14:paraId="430F5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2E2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B9B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384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4EE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CB1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497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8B5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88D7A">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部门（单位）：正定县图书馆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215.29</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8"/>
        <w:gridCol w:w="2816"/>
        <w:gridCol w:w="447"/>
        <w:gridCol w:w="1043"/>
        <w:gridCol w:w="1103"/>
        <w:gridCol w:w="388"/>
        <w:gridCol w:w="184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部门（单位）：正定县图书馆</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215.29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191.00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24.29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24.29</w:t>
            </w:r>
          </w:p>
        </w:tc>
      </w:tr>
      <w:tr w14:paraId="2A825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849B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978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61F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37D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A16A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w:t>
            </w:r>
          </w:p>
        </w:tc>
      </w:tr>
      <w:tr w14:paraId="44380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7AE7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60D8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图书馆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B53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B65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C31C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r>
      <w:tr w14:paraId="4E3B5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E1D7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8DC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EC5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8DAE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3557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w:t>
            </w:r>
          </w:p>
        </w:tc>
      </w:tr>
      <w:tr w14:paraId="6E8D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FC0C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AC7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310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42C2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697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r>
      <w:tr w14:paraId="2AACD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27CB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432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E5D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502A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2DA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18.00</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部门（单位）：正定县图书馆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157.02</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8.80</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46.98</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3.84</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7.75</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61.65</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14.21</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2.65</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4.65</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2.36</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0.80</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6.87</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25.18</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24.14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1.46</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182.20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8.80</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部门（单位）：正定县图书馆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部门（单位）：正定县图书馆</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部门（单位）：正定县图书馆</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01C05B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468AE3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ADC52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本单位2025年度收、支总计（含结转和结余）均为215.29万元。与2024年度决算相比，收支各增加25.95万元，增长13.7%，主要原因是人员经费增加。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D7894F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1483A0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215.29万元，其中：财政拨款收入215.29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D05ED8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8EABD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本单位2025年度本年支出合计215.29万元，其中：基本支出191.00万元，占88.7%；项目支出24.29万元，占11.3%；经营支出0.00万元，占0.0%；上缴上级支出0.00万元，占0.0%；对附属单位补助支出0.00万元，占0.0%。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D3E619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77077B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7D955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本单位2025年度财政拨款收、支总计（含结转和结余）均为215.29万元。与2024年度相比，财政拨款收支各增加25.95万元，增长13.7%，主要原因是人员经费增加。</w:t>
      </w:r>
    </w:p>
    <w:p w14:paraId="06EF58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本单位2025年度财政拨款本年收入215.29万元,比上年增加25.95万元，增长13.7%，主要原因是人员经费增加；本年支出215.29万元，比上年增加25.95万元，增长13.7%，主要原因是人员经费增加。具体情况如下：</w:t>
      </w:r>
    </w:p>
    <w:p w14:paraId="48452C5E">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一般公共预算财政拨款本年收入215.29万元,比上年增加25.95万元，增长13.7%，主要原因是人员经费增加；本年支出215.29万元，比上年增加25.95万元，增长13.7%，主要原因是人员经费增加。</w:t>
      </w:r>
    </w:p>
    <w:p w14:paraId="2A7B43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度无政府性基金预算项目；本年支出0.00万元，比上年增加0.00万元，增长0.00%，主要原因是本年度无政府性基金预算项目。</w:t>
      </w:r>
    </w:p>
    <w:p w14:paraId="037F39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无国有资本经营预算财政拨款收入；本年支出0.00万元，比上年增加0.00万元，增长0.00%，主要原因是本年无国有资本经营预算财政拨款收入。</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0A524B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DDDBE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215.29万元，完成年初预算的105.4%，比年初预算增加11.11万元，决算数大于预算数主要原因是人员经费增加；本年支出215.29万元，完成年初预算的105.4%，比年初预算增加11.11万元，决算数大于预算数主要原因是人员经费增加。具体情况如下：</w:t>
      </w:r>
    </w:p>
    <w:p w14:paraId="1D9280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一般公共预算财政拨款本年收入完成年初预算的105.4%，比年初预算增加11.11万元，主要原因是人员经费增加；支出完成年初预算的105.4%，比年初预算增加11.11万元，主要原因是人员经费增加。</w:t>
      </w:r>
    </w:p>
    <w:p w14:paraId="4626F2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本年度无政府性基金预算财政拨款收入；支出完成年初预算的0.0%，比年初预算增加0.00万元，主要原因是本年度无政府性基金预算财政拨款收入。</w:t>
      </w:r>
    </w:p>
    <w:p w14:paraId="5EA74F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年度无国有资本经营预算财政拨款收入；支出完成年初预算的0.0%，比年初预算增加0.00万元，主要原因是本年度无国有资本经营预算财政拨款收入。</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6E1BF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A4654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2025年度财政拨款支出215.29万元，主要用于以下方面：</w:t>
      </w:r>
    </w:p>
    <w:p w14:paraId="7F16C49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5D9E1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215.29万元，占100.0%，主要用于</w:t>
      </w:r>
      <w:r>
        <w:rPr>
          <w:rFonts w:hint="eastAsia" w:ascii="Times New Roman" w:eastAsia="仿宋_GB2312"/>
          <w:b w:val="0"/>
          <w:sz w:val="32"/>
          <w:szCs w:val="32"/>
          <w:lang w:val="en-US" w:eastAsia="zh-CN"/>
        </w:rPr>
        <w:t>我单位人员经费和维持图书馆免费开放</w:t>
      </w:r>
      <w:r>
        <w:rPr>
          <w:rFonts w:ascii="Times New Roman" w:eastAsia="仿宋_GB2312"/>
          <w:b w:val="0"/>
          <w:sz w:val="32"/>
          <w:szCs w:val="32"/>
        </w:rPr>
        <w:t>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250A83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5802C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1F6791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88595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74B5812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480A5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2025年度财政拨款基本支出191.00万元，其中：</w:t>
      </w:r>
    </w:p>
    <w:p w14:paraId="76ADD8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182.20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22B755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8.80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0D455F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7951A8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AD4F3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0.00万元，支出决算为0.00万元，完成预算的0.0%，较预算增加0.00万元，增长0.0%，主要原因是本单位无三公经费预算支出；较2024年度决算增加0.00万元，增长0.00%，主要原因是本单位无三公经费预算支出。</w:t>
      </w:r>
    </w:p>
    <w:p w14:paraId="014D818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BDE0D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无因公出国（境）费支出；较上年增加0.00万元，增长0.00%,主要原因是无因公出国（境）费支出。因公出国（境）团组0个、共0人、参加其他单位组织的因公出国（境）团组0个、共0人/无本部门组织的出国（境）团组。</w:t>
      </w:r>
    </w:p>
    <w:p w14:paraId="5B42556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本单位无公务用车；较上年增加0.00万元，增长0.00%,主要原因是本单位无公务用车。其中：</w:t>
      </w:r>
    </w:p>
    <w:p w14:paraId="740ABB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14:paraId="49E4FBB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本单位无公务用车；较上年增加0.00万元，增长0.00%，主要原因是本单位无公务用车。</w:t>
      </w:r>
    </w:p>
    <w:p w14:paraId="274404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本年未发生公务接待支出；较上年度增加0.00万元，增长0.00%,主要原因是本年未发生公务接待支出。本年度共发生公务接待0批次、0人次。</w:t>
      </w:r>
    </w:p>
    <w:p w14:paraId="6975AEE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1EE3FB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本单位2025年度机关运行经费支出0.00万元，较2024年度增加0.00万元，增长0.00%。主要原因是本单位属于财政补助事业单位，不涉及机关运行经费支出。</w:t>
      </w:r>
    </w:p>
    <w:p w14:paraId="2A731BB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91B63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132E568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02A10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无车辆购买。其中，副部（省）级及以上领导用车0辆，主要负责人用车0辆，机要通信用车0辆，应急保障用车0辆，执法执勤用车0辆，特种专业技术用车0辆，离退休干部用车0辆，其他用车1辆，其他用车主要是业务用车流动图书车。单位价值100万元（含）以上设备（不含车辆）0台（套）。</w:t>
      </w:r>
    </w:p>
    <w:p w14:paraId="4513F3F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616031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43BD9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根据预算绩效管理要求，本单位组织对2025年度本级预算项目支出全面开展绩效自评，共涉及资金24.</w:t>
      </w:r>
      <w:r>
        <w:rPr>
          <w:rFonts w:hint="eastAsia" w:ascii="Times New Roman" w:eastAsia="仿宋_GB2312"/>
          <w:b w:val="0"/>
          <w:sz w:val="32"/>
          <w:szCs w:val="32"/>
          <w:lang w:val="en-US" w:eastAsia="zh-CN"/>
        </w:rPr>
        <w:t>2</w:t>
      </w:r>
      <w:r>
        <w:rPr>
          <w:rFonts w:ascii="Times New Roman" w:eastAsia="仿宋_GB2312"/>
          <w:b w:val="0"/>
          <w:sz w:val="32"/>
          <w:szCs w:val="32"/>
        </w:rPr>
        <w:t>9万元（决算金额）。其中，一般公共预算项目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24.29万元，占一般公共预算项目支出总额的100%；政府性基金预算项目0个，涉及资金0万元，占政府性基金预算项目支出总额的0%；国有资本经营预算项目0个，涉及资金0万元，占国有资本经营预算项目支出总额的0%。</w:t>
      </w:r>
    </w:p>
    <w:p w14:paraId="7DE0536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组织对免费开放等</w:t>
      </w:r>
      <w:r>
        <w:rPr>
          <w:rFonts w:hint="eastAsia" w:ascii="Times New Roman" w:eastAsia="仿宋_GB2312"/>
          <w:b w:val="0"/>
          <w:sz w:val="32"/>
          <w:szCs w:val="32"/>
          <w:lang w:val="en-US" w:eastAsia="zh-CN"/>
        </w:rPr>
        <w:t>3</w:t>
      </w:r>
      <w:r>
        <w:rPr>
          <w:rFonts w:ascii="Times New Roman" w:eastAsia="仿宋_GB2312"/>
          <w:b w:val="0"/>
          <w:sz w:val="32"/>
          <w:szCs w:val="32"/>
        </w:rPr>
        <w:t>个项目开展了部门重点评价，涉及一般公共预算支出24.29万元，政府性基金预算支出0万元，国有资本经营预算支出0万元，从评价情况来看，各项目目标明确，管理到位，资金使用规范，相关资料完善，产出效果良好，达到了预期目标，评价等级为优秀。</w:t>
      </w:r>
    </w:p>
    <w:p w14:paraId="636CD8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396B1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本单位在今年部门决算公开中反映图书馆免费开放等</w:t>
      </w:r>
      <w:r>
        <w:rPr>
          <w:rFonts w:hint="eastAsia" w:ascii="Times New Roman" w:eastAsia="仿宋_GB2312"/>
          <w:b w:val="0"/>
          <w:sz w:val="32"/>
          <w:szCs w:val="32"/>
          <w:lang w:val="en-US" w:eastAsia="zh-CN"/>
        </w:rPr>
        <w:t>3</w:t>
      </w:r>
      <w:r>
        <w:rPr>
          <w:rFonts w:ascii="Times New Roman" w:eastAsia="仿宋_GB2312"/>
          <w:b w:val="0"/>
          <w:sz w:val="32"/>
          <w:szCs w:val="32"/>
        </w:rPr>
        <w:t>个项目绩效自评结果。</w:t>
      </w:r>
    </w:p>
    <w:p w14:paraId="41396EA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图书馆免费开放项目绩效自评情况：根据年初设定的绩效目标，图书馆免费开放项目绩效自评得分为100分（绩效自评表附后）。全年预算数为2</w:t>
      </w:r>
      <w:r>
        <w:rPr>
          <w:rFonts w:hint="eastAsia" w:ascii="Times New Roman" w:eastAsia="仿宋_GB2312"/>
          <w:b w:val="0"/>
          <w:sz w:val="32"/>
          <w:szCs w:val="32"/>
          <w:lang w:val="en-US" w:eastAsia="zh-CN"/>
        </w:rPr>
        <w:t>0</w:t>
      </w:r>
      <w:r>
        <w:rPr>
          <w:rFonts w:ascii="Times New Roman" w:eastAsia="仿宋_GB2312"/>
          <w:b w:val="0"/>
          <w:sz w:val="32"/>
          <w:szCs w:val="32"/>
        </w:rPr>
        <w:t>万元，执行数为2</w:t>
      </w:r>
      <w:r>
        <w:rPr>
          <w:rFonts w:hint="eastAsia" w:ascii="Times New Roman" w:eastAsia="仿宋_GB2312"/>
          <w:b w:val="0"/>
          <w:sz w:val="32"/>
          <w:szCs w:val="32"/>
          <w:lang w:val="en-US" w:eastAsia="zh-CN"/>
        </w:rPr>
        <w:t>0</w:t>
      </w:r>
      <w:r>
        <w:rPr>
          <w:rFonts w:ascii="Times New Roman" w:eastAsia="仿宋_GB2312"/>
          <w:b w:val="0"/>
          <w:sz w:val="32"/>
          <w:szCs w:val="32"/>
        </w:rPr>
        <w:t>万元，完成预算的100%。项目绩效目标完成情况：一是通过实施该项目，本单位组织举办各类展览培训讲座等公共文化活动十多余次，免费开放服务水平稳步提升，受益群众对免费开放场馆服务的满意度提升，满意度达95%。项目实施中未发现问题</w:t>
      </w:r>
      <w:r>
        <w:rPr>
          <w:rFonts w:hint="eastAsia" w:ascii="Times New Roman" w:eastAsia="仿宋_GB2312"/>
          <w:b w:val="0"/>
          <w:sz w:val="32"/>
          <w:szCs w:val="32"/>
          <w:lang w:eastAsia="zh-CN"/>
        </w:rPr>
        <w:t>。</w:t>
      </w:r>
    </w:p>
    <w:p w14:paraId="208B8810">
      <w:pPr>
        <w:widowControl/>
        <w:spacing w:before="0" w:beforeLines="0" w:beforeAutospacing="0" w:after="0" w:afterLines="0" w:afterAutospacing="0" w:line="360" w:lineRule="auto"/>
        <w:ind w:firstLine="640" w:firstLineChars="200"/>
        <w:jc w:val="left"/>
        <w:rPr>
          <w:rFonts w:hint="eastAsia" w:ascii="Times New Roman" w:eastAsia="仿宋_GB2312"/>
          <w:b/>
          <w:bCs/>
          <w:sz w:val="32"/>
          <w:szCs w:val="32"/>
          <w:lang w:eastAsia="zh-CN"/>
        </w:rPr>
      </w:pPr>
      <w:r>
        <w:rPr>
          <w:rFonts w:ascii="Times New Roman" w:eastAsia="仿宋_GB2312"/>
          <w:b w:val="0"/>
          <w:sz w:val="32"/>
          <w:szCs w:val="32"/>
        </w:rPr>
        <w:object>
          <v:shape id="_x0000_i1025" o:spt="75" alt="" type="#_x0000_t75" style="height:448.65pt;width:453.35pt;" o:ole="t" filled="f" o:preferrelative="t" stroked="f" coordsize="21600,21600">
            <v:path/>
            <v:fill on="f" focussize="0,0"/>
            <v:stroke on="f"/>
            <v:imagedata r:id="rId20" o:title=""/>
            <o:lock v:ext="edit" aspectratio="f"/>
            <w10:wrap type="none"/>
            <w10:anchorlock/>
          </v:shape>
          <o:OLEObject Type="Embed" ProgID="Excel.Sheet.8" ShapeID="_x0000_i1025" DrawAspect="Content" ObjectID="_1468075725" r:id="rId19">
            <o:LockedField>false</o:LockedField>
          </o:OLEObject>
        </w:object>
      </w:r>
    </w:p>
    <w:p w14:paraId="15F817F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图书馆免费开放工作经费及图书购置费项目绩效自评情况：根据年初设定的绩效目标，该项目绩效自评得分为100分（绩效自评表附后）。全年预算数为2万元，执行数为2万元，完成预算的100%。项目绩效目标完成情况：项目的实施，为群众阅读提供了更好更精美图书，满足了更多读者需求，推动了我县文化服务水平、全民阅读率提升。项目实施中未发现问题。</w:t>
      </w:r>
    </w:p>
    <w:p w14:paraId="4E052380">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ascii="Times New Roman" w:eastAsia="仿宋_GB2312"/>
          <w:b w:val="0"/>
          <w:sz w:val="32"/>
          <w:szCs w:val="32"/>
        </w:rPr>
        <w:object>
          <v:shape id="_x0000_i1026" o:spt="75" alt="" type="#_x0000_t75" style="height:385.6pt;width:453.25pt;" o:ole="t" filled="f" o:preferrelative="t" stroked="f" coordsize="21600,21600">
            <v:path/>
            <v:fill on="f" focussize="0,0"/>
            <v:stroke on="f"/>
            <v:imagedata r:id="rId22" o:title=""/>
            <o:lock v:ext="edit" aspectratio="f"/>
            <w10:wrap type="none"/>
            <w10:anchorlock/>
          </v:shape>
          <o:OLEObject Type="Embed" ProgID="Excel.Sheet.8" ShapeID="_x0000_i1026" DrawAspect="Content" ObjectID="_1468075726" r:id="rId21">
            <o:LockedField>false</o:LockedField>
          </o:OLEObject>
        </w:object>
      </w:r>
      <w:r>
        <w:rPr>
          <w:rFonts w:hint="eastAsia" w:ascii="Times New Roman" w:eastAsia="仿宋_GB2312"/>
          <w:b w:val="0"/>
          <w:sz w:val="32"/>
          <w:szCs w:val="32"/>
          <w:lang w:val="en-US" w:eastAsia="zh-CN"/>
        </w:rPr>
        <w:t xml:space="preserve">  </w:t>
      </w:r>
    </w:p>
    <w:p w14:paraId="42E0EC5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市级免费开放</w:t>
      </w: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val="en-US" w:eastAsia="zh-CN"/>
        </w:rPr>
        <w:t>该项</w:t>
      </w:r>
      <w:r>
        <w:rPr>
          <w:rFonts w:ascii="Times New Roman" w:eastAsia="仿宋_GB2312"/>
          <w:b w:val="0"/>
          <w:sz w:val="32"/>
          <w:szCs w:val="32"/>
        </w:rPr>
        <w:t>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2.29</w:t>
      </w:r>
      <w:r>
        <w:rPr>
          <w:rFonts w:ascii="Times New Roman" w:eastAsia="仿宋_GB2312"/>
          <w:b w:val="0"/>
          <w:sz w:val="32"/>
          <w:szCs w:val="32"/>
        </w:rPr>
        <w:t>万元，执行数为</w:t>
      </w:r>
      <w:r>
        <w:rPr>
          <w:rFonts w:hint="eastAsia" w:ascii="Times New Roman" w:eastAsia="仿宋_GB2312"/>
          <w:b w:val="0"/>
          <w:sz w:val="32"/>
          <w:szCs w:val="32"/>
          <w:lang w:val="en-US" w:eastAsia="zh-CN"/>
        </w:rPr>
        <w:t>2.29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通过该项目的实施，逐步提升了我馆的硬件和软件条件，为广大读者提供了更加舒适的阅读环境。</w:t>
      </w:r>
      <w:r>
        <w:rPr>
          <w:rFonts w:ascii="Times New Roman" w:eastAsia="仿宋_GB2312"/>
          <w:b w:val="0"/>
          <w:sz w:val="32"/>
          <w:szCs w:val="32"/>
        </w:rPr>
        <w:t>项目实施中未发现问题。</w:t>
      </w:r>
    </w:p>
    <w:p w14:paraId="1AA318F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default" w:ascii="Times New Roman" w:eastAsia="仿宋_GB2312"/>
          <w:b w:val="0"/>
          <w:sz w:val="32"/>
          <w:szCs w:val="32"/>
          <w:lang w:val="en-US" w:eastAsia="zh-CN"/>
        </w:rPr>
        <w:object>
          <v:shape id="_x0000_i1028" o:spt="75" alt="" type="#_x0000_t75" style="height:367.8pt;width:453.25pt;" o:ole="t" filled="f" o:preferrelative="t" stroked="f" coordsize="21600,21600">
            <v:path/>
            <v:fill on="f" focussize="0,0"/>
            <v:stroke on="f"/>
            <v:imagedata r:id="rId24" o:title=""/>
            <o:lock v:ext="edit" aspectratio="f"/>
            <w10:wrap type="none"/>
            <w10:anchorlock/>
          </v:shape>
          <o:OLEObject Type="Embed" ProgID="Excel.Sheet.8" ShapeID="_x0000_i1028" DrawAspect="Content" ObjectID="_1468075727" r:id="rId23">
            <o:LockedField>false</o:LockedField>
          </o:OLEObject>
        </w:object>
      </w:r>
    </w:p>
    <w:p w14:paraId="1007BB8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137099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AECF2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5A3619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7EE9E84A">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4BB29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E5864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7633AB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CCCEA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6CD826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C18F2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701C209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24AFE02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BA27CB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15F4F7F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29198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C8AA1A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78DA49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A2EDB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CAA10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250104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F6AFF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46049C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65713D9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01F1BC7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B79202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F7DE5FA-7B34-4F19-869D-B1A6271E9BF3}"/>
  </w:font>
  <w:font w:name="黑体">
    <w:panose1 w:val="02010609060101010101"/>
    <w:charset w:val="86"/>
    <w:family w:val="auto"/>
    <w:pitch w:val="default"/>
    <w:sig w:usb0="800002BF" w:usb1="38CF7CFA" w:usb2="00000016" w:usb3="00000000" w:csb0="00040001" w:csb1="00000000"/>
    <w:embedRegular r:id="rId2" w:fontKey="{B327E507-930C-4E30-B3C8-7614C2F931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78FBEEC-7A0C-4593-875B-062B17AA768F}"/>
  </w:font>
  <w:font w:name="仿宋">
    <w:panose1 w:val="02010609060101010101"/>
    <w:charset w:val="86"/>
    <w:family w:val="modern"/>
    <w:pitch w:val="default"/>
    <w:sig w:usb0="800002BF" w:usb1="38CF7CFA" w:usb2="00000016" w:usb3="00000000" w:csb0="00040001" w:csb1="00000000"/>
    <w:embedRegular r:id="rId4" w:fontKey="{B18B7B15-EB9C-43DA-9E81-4363F127691E}"/>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1860C5DA-853D-4498-92EA-438A07ED5B74}"/>
  </w:font>
  <w:font w:name="楷体_GB2312">
    <w:panose1 w:val="02010609030101010101"/>
    <w:charset w:val="86"/>
    <w:family w:val="auto"/>
    <w:pitch w:val="default"/>
    <w:sig w:usb0="00000001" w:usb1="080E0000" w:usb2="00000000" w:usb3="00000000" w:csb0="00040000" w:csb1="00000000"/>
    <w:embedRegular r:id="rId6" w:fontKey="{AFC2598A-1BFC-4BA3-9C53-101CA8C9D0CA}"/>
  </w:font>
  <w:font w:name="微软雅黑">
    <w:panose1 w:val="020B0503020204020204"/>
    <w:charset w:val="86"/>
    <w:family w:val="auto"/>
    <w:pitch w:val="default"/>
    <w:sig w:usb0="80000287" w:usb1="2ACF3C50" w:usb2="00000016" w:usb3="00000000" w:csb0="0004001F" w:csb1="00000000"/>
    <w:embedRegular r:id="rId7" w:fontKey="{15509225-8060-40A2-97A2-C7074C9AA775}"/>
  </w:font>
  <w:font w:name="方正小标宋_GBK">
    <w:panose1 w:val="02000000000000000000"/>
    <w:charset w:val="86"/>
    <w:family w:val="script"/>
    <w:pitch w:val="default"/>
    <w:sig w:usb0="A00002BF" w:usb1="38CF7CFA" w:usb2="00082016" w:usb3="00000000" w:csb0="00040001" w:csb1="00000000"/>
    <w:embedRegular r:id="rId8" w:fontKey="{DD7BAB18-8F64-4E4B-A571-1BEACE742495}"/>
  </w:font>
  <w:font w:name="仿宋_GB2312">
    <w:panose1 w:val="02010609030101010101"/>
    <w:charset w:val="86"/>
    <w:family w:val="auto"/>
    <w:pitch w:val="default"/>
    <w:sig w:usb0="00000001" w:usb1="080E0000" w:usb2="00000000" w:usb3="00000000" w:csb0="00040000" w:csb1="00000000"/>
    <w:embedRegular r:id="rId9" w:fontKey="{22EB46B6-DB2B-4AC3-9F53-BDF5AE0CA046}"/>
  </w:font>
  <w:font w:name="ArialUnicodeMS">
    <w:altName w:val="Malgun Gothic"/>
    <w:panose1 w:val="00000000000000000000"/>
    <w:charset w:val="81"/>
    <w:family w:val="auto"/>
    <w:pitch w:val="default"/>
    <w:sig w:usb0="00000000" w:usb1="00000000" w:usb2="00000010" w:usb3="00000000" w:csb0="00080001" w:csb1="00000000"/>
    <w:embedRegular r:id="rId10" w:fontKey="{D8684163-EFAC-4363-8AE0-047D29011D00}"/>
  </w:font>
  <w:font w:name="Malgun Gothic">
    <w:panose1 w:val="020B0503020000020004"/>
    <w:charset w:val="81"/>
    <w:family w:val="auto"/>
    <w:pitch w:val="default"/>
    <w:sig w:usb0="9000002F" w:usb1="29D77CFB" w:usb2="00000012" w:usb3="00000000" w:csb0="00080001" w:csb1="00000000"/>
  </w:font>
  <w:font w:name="WPSEMBED11">
    <w:panose1 w:val="02010609030101010101"/>
    <w:charset w:val="86"/>
    <w:family w:val="auto"/>
    <w:pitch w:val="default"/>
    <w:sig w:usb0="00000001" w:usb1="080E0000" w:usb2="00000000" w:usb3="00000000" w:csb0="00040000" w:csb1="00000000"/>
  </w:font>
  <w:font w:name="WPSEMBED12">
    <w:panose1 w:val="02000000000000000000"/>
    <w:charset w:val="86"/>
    <w:family w:val="auto"/>
    <w:pitch w:val="default"/>
    <w:sig w:usb0="A00002BF" w:usb1="38CF7CFA" w:usb2="00082016" w:usb3="00000000" w:csb0="00040001" w:csb1="00000000"/>
  </w:font>
  <w:font w:name="WPSEMBED10">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BA01E">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BA01E">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BA01E">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BA01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ED61C40"/>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E617B0"/>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A31DC1"/>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8506F0"/>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4.emf"/><Relationship Id="rId23" Type="http://schemas.openxmlformats.org/officeDocument/2006/relationships/oleObject" Target="embeddings/oleObject3.bin"/><Relationship Id="rId22" Type="http://schemas.openxmlformats.org/officeDocument/2006/relationships/image" Target="media/image3.emf"/><Relationship Id="rId21" Type="http://schemas.openxmlformats.org/officeDocument/2006/relationships/oleObject" Target="embeddings/oleObject2.bin"/><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215.29</c:v>
                </c:pt>
                <c:pt idx="1">
                  <c:v>189.33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2152851.51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1910001.51</c:v>
                </c:pt>
                <c:pt idx="1">
                  <c:v>242850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189.33</c:v>
                </c:pt>
                <c:pt idx="1">
                  <c:v>189.33</c:v>
                </c:pt>
                <c:pt idx="2">
                  <c:v>189.33</c:v>
                </c:pt>
                <c:pt idx="3">
                  <c:v>189.33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215.29</c:v>
                </c:pt>
                <c:pt idx="1">
                  <c:v>215.29</c:v>
                </c:pt>
                <c:pt idx="2">
                  <c:v>215.29</c:v>
                </c:pt>
                <c:pt idx="3">
                  <c:v>215.29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204.18</c:v>
                </c:pt>
                <c:pt idx="1">
                  <c:v>204.18</c:v>
                </c:pt>
                <c:pt idx="2">
                  <c:v>204.18</c:v>
                </c:pt>
                <c:pt idx="3">
                  <c:v>204.18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215.29</c:v>
                </c:pt>
                <c:pt idx="1">
                  <c:v>215.29</c:v>
                </c:pt>
                <c:pt idx="2">
                  <c:v>215.29</c:v>
                </c:pt>
                <c:pt idx="3">
                  <c:v>215.29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3014</Words>
  <Characters>3926</Characters>
  <Lines>86</Lines>
  <Paragraphs>24</Paragraphs>
  <TotalTime>18</TotalTime>
  <ScaleCrop>false</ScaleCrop>
  <LinksUpToDate>false</LinksUpToDate>
  <CharactersWithSpaces>4336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微信用户</cp:lastModifiedBy>
  <cp:lastPrinted>2023-08-04T01:00:00Z</cp:lastPrinted>
  <dcterms:modified xsi:type="dcterms:W3CDTF">2026-10-13T07:15:18Z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EA6ABA83866D4FECA6C75BA4E1E0213F_13</vt:lpwstr>
  </property>
  <property fmtid="{D5CDD505-2E9C-101B-9397-08002B2CF9AE}" pid="4" name="KSOTemplateUUID">
    <vt:lpwstr>v1.0_mb_S7ajbG3IpAnL1wSthNCxfw==</vt:lpwstr>
  </property>
  <property fmtid="{D5CDD505-2E9C-101B-9397-08002B2CF9AE}" pid="5" name="KSOTemplateDocerSaveRecord">
    <vt:lpwstr>eyJoZGlkIjoiZWYxNjgxODM4NjdmMWZiZmI0ZTA2NzAxOGM5ZWFmMzgiLCJ1c2VySWQiOiIxMjc1NDExNzY2In0=</vt:lpwstr>
  </property>
</Properties>
</file>