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正定县技工学校</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317005</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正定县技工学校</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b w:val="0"/>
          <w:sz w:val="44"/>
          <w:szCs w:val="44"/>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正定县技工学校</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keepNext w:val="0"/>
        <w:keepLines w:val="0"/>
        <w:pageBreakBefore w:val="0"/>
        <w:widowControl/>
        <w:numPr>
          <w:numId w:val="0"/>
        </w:numPr>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1、招手初、高中毕业生，开展中级技术工人全日制学历教育。</w:t>
      </w:r>
    </w:p>
    <w:p>
      <w:pPr>
        <w:keepNext w:val="0"/>
        <w:keepLines w:val="0"/>
        <w:pageBreakBefore w:val="0"/>
        <w:widowControl/>
        <w:numPr>
          <w:numId w:val="0"/>
        </w:numPr>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hint="eastAsia" w:ascii="仿宋" w:hAnsi="仿宋" w:eastAsia="仿宋" w:cs="仿宋"/>
          <w:b w:val="0"/>
          <w:sz w:val="32"/>
          <w:szCs w:val="32"/>
          <w:lang w:val="en-US" w:eastAsia="zh-CN"/>
        </w:rPr>
      </w:pPr>
      <w:r>
        <w:rPr>
          <w:rFonts w:hint="eastAsia" w:ascii="仿宋" w:hAnsi="仿宋" w:eastAsia="仿宋" w:cs="仿宋"/>
          <w:b w:val="0"/>
          <w:sz w:val="32"/>
          <w:szCs w:val="32"/>
          <w:lang w:val="en-US" w:eastAsia="zh-CN"/>
        </w:rPr>
        <w:t>2、接受委托、为企事业单位开展专业技能培训。</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仿宋_GB2312"/>
          <w:sz w:val="32"/>
          <w:szCs w:val="32"/>
        </w:rPr>
      </w:pPr>
      <w:r>
        <w:rPr>
          <w:rFonts w:hint="eastAsia" w:ascii="仿宋" w:hAnsi="仿宋" w:eastAsia="仿宋" w:cs="仿宋"/>
          <w:b w:val="0"/>
          <w:sz w:val="32"/>
          <w:szCs w:val="32"/>
          <w:lang w:val="en-US" w:eastAsia="zh-CN"/>
        </w:rPr>
        <w:t>3、负责县内各类用人单位及个体从业人员的职业技术鉴定工作</w:t>
      </w:r>
      <w:r>
        <w:rPr>
          <w:rFonts w:hint="eastAsia" w:ascii="Times New Roman" w:eastAsia="黑体"/>
          <w:b w:val="0"/>
          <w:sz w:val="32"/>
          <w:szCs w:val="32"/>
          <w:lang w:val="en-US" w:eastAsia="zh-CN"/>
        </w:rPr>
        <w:t>。</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2638"/>
        <w:gridCol w:w="3292"/>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2638"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3292"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2638"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正定县技工学校</w:t>
            </w:r>
          </w:p>
        </w:tc>
        <w:tc>
          <w:tcPr>
            <w:tcW w:w="3292"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财政补助事业单位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widowControl/>
        <w:spacing w:before="0" w:beforeLines="0" w:beforeAutospacing="0" w:after="0" w:afterLines="0" w:afterAutospacing="0" w:line="360" w:lineRule="auto"/>
        <w:jc w:val="center"/>
        <w:outlineLvl w:val="0"/>
        <w:rPr>
          <w:rFonts w:hint="default"/>
          <w:lang w:val="en-US" w:eastAsia="zh-CN"/>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部门（单位）：正定县技工学校</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部门（单位）：正定县技工学校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212.34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212.34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职业教育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技校教育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人力资源和社会保障管理事务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部门（单位）：正定县技工学校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职业教育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技校教育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人力资源和社会保障管理事务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82.41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部门（单位）：正定县技工学校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212.34</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部门（单位）：正定县技工学校</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212.34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职业教育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技校教育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人力资源和社会保障管理事务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70.31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部门（单位）：正定县技工学校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128.55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40.99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73.80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202.35</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部门（单位）：正定县技工学校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部门（单位）：正定县技工学校</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部门（单位）：正定县技工学校</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center"/>
        <w:textAlignment w:val="auto"/>
        <w:outlineLvl w:val="1"/>
        <w:rPr>
          <w:rFonts w:hint="eastAsia" w:ascii="黑体" w:hAnsi="黑体" w:eastAsia="黑体" w:cs="黑体"/>
          <w:b w:val="0"/>
          <w:sz w:val="44"/>
          <w:szCs w:val="44"/>
          <w:lang w:val="en-US" w:eastAsia="zh-CN"/>
        </w:rPr>
      </w:pPr>
      <w:r>
        <w:rPr>
          <w:rFonts w:hint="eastAsia" w:ascii="黑体" w:hAnsi="黑体" w:eastAsia="黑体" w:cs="黑体"/>
          <w:b w:val="0"/>
          <w:sz w:val="44"/>
          <w:szCs w:val="44"/>
          <w:lang w:eastAsia="zh-CN"/>
        </w:rPr>
        <w:t>第三部分</w:t>
      </w:r>
      <w:r>
        <w:rPr>
          <w:rFonts w:hint="eastAsia" w:ascii="黑体" w:hAnsi="黑体" w:eastAsia="黑体" w:cs="黑体"/>
          <w:b w:val="0"/>
          <w:sz w:val="44"/>
          <w:szCs w:val="44"/>
          <w:lang w:val="en-US" w:eastAsia="zh-CN"/>
        </w:rPr>
        <w:t>2025年度部门决算情况说明</w:t>
      </w: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left"/>
        <w:textAlignment w:val="auto"/>
        <w:outlineLvl w:val="1"/>
        <w:rPr>
          <w:rFonts w:ascii="Times New Roman" w:eastAsia="黑体"/>
          <w:b w:val="0"/>
          <w:sz w:val="32"/>
          <w:szCs w:val="32"/>
        </w:rPr>
      </w:pPr>
    </w:p>
    <w:p>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jc w:val="left"/>
        <w:textAlignment w:val="auto"/>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本单位2025年度收、支总计（含结转和结余）均为212.34万元。与2024年度决算相比，收支各增加37.51万元，增长21.5%，主要原因是</w:t>
      </w:r>
      <w:r>
        <w:rPr>
          <w:rFonts w:hint="eastAsia" w:ascii="Times New Roman" w:eastAsia="仿宋_GB2312"/>
          <w:b w:val="0"/>
          <w:sz w:val="32"/>
          <w:szCs w:val="32"/>
          <w:lang w:eastAsia="zh-CN"/>
        </w:rPr>
        <w:t>人员经费支出增多</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212.34万元，其中：财政拨款收入212.34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本单位2025年度本年支出合计212.34万元，其中：基本支出212.34万元，占100.0%；项目支出0.00万元，占0.0%；经营支出0.00万元，占0.0%；上缴上级支出0.00万元，占0.0%；对附属单位补助支出0.00万元，占0.0%。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本单位2025年度财政拨款收、支总计（含结转和结余）均为212.34万元。与2024年度相比，财政拨款收支各增加37.51万元，增长21.5%，主要原因是</w:t>
      </w:r>
      <w:r>
        <w:rPr>
          <w:rFonts w:hint="eastAsia" w:ascii="Times New Roman" w:eastAsia="仿宋_GB2312"/>
          <w:b w:val="0"/>
          <w:sz w:val="32"/>
          <w:szCs w:val="32"/>
          <w:lang w:eastAsia="zh-CN"/>
        </w:rPr>
        <w:t>人员经费增多</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本单位2025年度财政拨款本年收入212.34万元,比上年增加37.51万元，增长21.5%，主要原因是</w:t>
      </w:r>
      <w:r>
        <w:rPr>
          <w:rFonts w:hint="eastAsia" w:ascii="Times New Roman" w:eastAsia="仿宋_GB2312"/>
          <w:b w:val="0"/>
          <w:sz w:val="32"/>
          <w:szCs w:val="32"/>
          <w:lang w:eastAsia="zh-CN"/>
        </w:rPr>
        <w:t>人员经费增多</w:t>
      </w:r>
      <w:r>
        <w:rPr>
          <w:rFonts w:ascii="Times New Roman" w:eastAsia="仿宋_GB2312"/>
          <w:b w:val="0"/>
          <w:sz w:val="32"/>
          <w:szCs w:val="32"/>
        </w:rPr>
        <w:t>；本年支出212.34万元，比上年增加37.51万元，增长21.5%，主要原因是</w:t>
      </w:r>
      <w:r>
        <w:rPr>
          <w:rFonts w:hint="eastAsia" w:ascii="Times New Roman" w:eastAsia="仿宋_GB2312"/>
          <w:b w:val="0"/>
          <w:sz w:val="32"/>
          <w:szCs w:val="32"/>
          <w:lang w:eastAsia="zh-CN"/>
        </w:rPr>
        <w:t>人员经费增多</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一般公共预算财政拨款本年收入212.34万元,比上年增加37.51万元，增长21.5%，主要原因是</w:t>
      </w:r>
      <w:r>
        <w:rPr>
          <w:rFonts w:hint="eastAsia" w:ascii="Times New Roman" w:eastAsia="仿宋_GB2312"/>
          <w:b w:val="0"/>
          <w:sz w:val="32"/>
          <w:szCs w:val="32"/>
          <w:lang w:eastAsia="zh-CN"/>
        </w:rPr>
        <w:t>人员经费增多</w:t>
      </w:r>
      <w:r>
        <w:rPr>
          <w:rFonts w:ascii="Times New Roman" w:eastAsia="仿宋_GB2312"/>
          <w:b w:val="0"/>
          <w:sz w:val="32"/>
          <w:szCs w:val="32"/>
        </w:rPr>
        <w:t>；本年支出212.34万元，比上年增加37.51万元，增长21.5%，主要原因是</w:t>
      </w:r>
      <w:r>
        <w:rPr>
          <w:rFonts w:hint="eastAsia" w:ascii="Times New Roman" w:eastAsia="仿宋_GB2312"/>
          <w:b w:val="0"/>
          <w:sz w:val="32"/>
          <w:szCs w:val="32"/>
          <w:lang w:eastAsia="zh-CN"/>
        </w:rPr>
        <w:t>人员经费增多</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w:t>
      </w:r>
      <w:r>
        <w:rPr>
          <w:rFonts w:hint="eastAsia" w:ascii="Times New Roman" w:eastAsia="仿宋_GB2312"/>
          <w:b w:val="0"/>
          <w:sz w:val="32"/>
          <w:szCs w:val="32"/>
          <w:lang w:eastAsia="zh-CN"/>
        </w:rPr>
        <w:t>与上年持平；</w:t>
      </w:r>
      <w:r>
        <w:rPr>
          <w:rFonts w:ascii="Times New Roman" w:eastAsia="仿宋_GB2312"/>
          <w:b w:val="0"/>
          <w:sz w:val="32"/>
          <w:szCs w:val="32"/>
        </w:rPr>
        <w:t>本年支出0.00万元，</w:t>
      </w:r>
      <w:r>
        <w:rPr>
          <w:rFonts w:hint="eastAsia" w:ascii="Times New Roman" w:eastAsia="仿宋_GB2312"/>
          <w:b w:val="0"/>
          <w:sz w:val="32"/>
          <w:szCs w:val="32"/>
          <w:lang w:eastAsia="zh-CN"/>
        </w:rPr>
        <w:t>与与上年持平</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w:t>
      </w:r>
      <w:r>
        <w:rPr>
          <w:rFonts w:hint="eastAsia" w:ascii="Times New Roman" w:eastAsia="仿宋_GB2312"/>
          <w:b w:val="0"/>
          <w:sz w:val="32"/>
          <w:szCs w:val="32"/>
          <w:lang w:eastAsia="zh-CN"/>
        </w:rPr>
        <w:t>与上年持平</w:t>
      </w:r>
      <w:r>
        <w:rPr>
          <w:rFonts w:ascii="Times New Roman" w:eastAsia="仿宋_GB2312"/>
          <w:b w:val="0"/>
          <w:sz w:val="32"/>
          <w:szCs w:val="32"/>
        </w:rPr>
        <w:t>；本年支出0.00万元，</w:t>
      </w:r>
      <w:r>
        <w:rPr>
          <w:rFonts w:hint="eastAsia" w:ascii="Times New Roman" w:eastAsia="仿宋_GB2312"/>
          <w:b w:val="0"/>
          <w:sz w:val="32"/>
          <w:szCs w:val="32"/>
          <w:lang w:eastAsia="zh-CN"/>
        </w:rPr>
        <w:t>与上年持平</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本单位2025年度财政拨款本年收入212.34万元，完成年初预算的102.0%，比年初预算增加4.17万元，决算数大于预算数主要原因是</w:t>
      </w:r>
      <w:r>
        <w:rPr>
          <w:rFonts w:hint="eastAsia" w:ascii="Times New Roman" w:eastAsia="仿宋_GB2312"/>
          <w:b w:val="0"/>
          <w:sz w:val="32"/>
          <w:szCs w:val="32"/>
          <w:lang w:eastAsia="zh-CN"/>
        </w:rPr>
        <w:t>薪级调整，人员经费支出增多</w:t>
      </w:r>
      <w:r>
        <w:rPr>
          <w:rFonts w:ascii="Times New Roman" w:eastAsia="仿宋_GB2312"/>
          <w:b w:val="0"/>
          <w:sz w:val="32"/>
          <w:szCs w:val="32"/>
        </w:rPr>
        <w:t>；本年支出212.34万元，完成年初预算的102.0%，比年初预算增加4.17万元，决算数大于预算数主要原因是</w:t>
      </w:r>
      <w:r>
        <w:rPr>
          <w:rFonts w:hint="eastAsia" w:ascii="Times New Roman" w:eastAsia="仿宋_GB2312"/>
          <w:b w:val="0"/>
          <w:sz w:val="32"/>
          <w:szCs w:val="32"/>
          <w:lang w:eastAsia="zh-CN"/>
        </w:rPr>
        <w:t>薪级调整，人员经费支出增多</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一般公共预算财政拨款本年收入完成年初预算的102.0%，比年初预算增加4.17万元，主要原因是</w:t>
      </w:r>
      <w:r>
        <w:rPr>
          <w:rFonts w:hint="eastAsia" w:ascii="Times New Roman" w:eastAsia="仿宋_GB2312"/>
          <w:b w:val="0"/>
          <w:sz w:val="32"/>
          <w:szCs w:val="32"/>
          <w:lang w:eastAsia="zh-CN"/>
        </w:rPr>
        <w:t>薪级调整，人员经费支出增多</w:t>
      </w:r>
      <w:r>
        <w:rPr>
          <w:rFonts w:ascii="Times New Roman" w:eastAsia="仿宋_GB2312"/>
          <w:b w:val="0"/>
          <w:sz w:val="32"/>
          <w:szCs w:val="32"/>
        </w:rPr>
        <w:t>；支出完成年初预算的102.0%，比年初预算增加4.17万元，主要原因是</w:t>
      </w:r>
      <w:r>
        <w:rPr>
          <w:rFonts w:hint="eastAsia" w:ascii="Times New Roman" w:eastAsia="仿宋_GB2312"/>
          <w:b w:val="0"/>
          <w:sz w:val="32"/>
          <w:szCs w:val="32"/>
          <w:lang w:eastAsia="zh-CN"/>
        </w:rPr>
        <w:t>薪级调整，人员经费支出增多</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w:t>
      </w:r>
      <w:r>
        <w:rPr>
          <w:rFonts w:hint="eastAsia" w:ascii="Times New Roman" w:eastAsia="仿宋_GB2312"/>
          <w:b w:val="0"/>
          <w:sz w:val="32"/>
          <w:szCs w:val="32"/>
          <w:lang w:eastAsia="zh-CN"/>
        </w:rPr>
        <w:t>与年初预算持平</w:t>
      </w:r>
      <w:r>
        <w:rPr>
          <w:rFonts w:ascii="Times New Roman" w:eastAsia="仿宋_GB2312"/>
          <w:b w:val="0"/>
          <w:sz w:val="32"/>
          <w:szCs w:val="32"/>
        </w:rPr>
        <w:t>；支出完成年初预算的0.0%，</w:t>
      </w:r>
      <w:r>
        <w:rPr>
          <w:rFonts w:hint="eastAsia" w:ascii="Times New Roman" w:eastAsia="仿宋_GB2312"/>
          <w:b w:val="0"/>
          <w:sz w:val="32"/>
          <w:szCs w:val="32"/>
          <w:lang w:eastAsia="zh-CN"/>
        </w:rPr>
        <w:t>与年初预算持平</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w:t>
      </w:r>
      <w:r>
        <w:rPr>
          <w:rFonts w:hint="eastAsia" w:ascii="Times New Roman" w:eastAsia="仿宋_GB2312"/>
          <w:b w:val="0"/>
          <w:sz w:val="32"/>
          <w:szCs w:val="32"/>
          <w:lang w:eastAsia="zh-CN"/>
        </w:rPr>
        <w:t>与年初预算持平</w:t>
      </w:r>
      <w:r>
        <w:rPr>
          <w:rFonts w:ascii="Times New Roman" w:eastAsia="仿宋_GB2312"/>
          <w:b w:val="0"/>
          <w:sz w:val="32"/>
          <w:szCs w:val="32"/>
        </w:rPr>
        <w:t>；支出完成年初预算的0.0%，</w:t>
      </w:r>
      <w:r>
        <w:rPr>
          <w:rFonts w:hint="eastAsia" w:ascii="Times New Roman" w:eastAsia="仿宋_GB2312"/>
          <w:b w:val="0"/>
          <w:sz w:val="32"/>
          <w:szCs w:val="32"/>
          <w:lang w:eastAsia="zh-CN"/>
        </w:rPr>
        <w:t>与年初预算持平</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2025年度财政拨款支出212.34万元，主要用于以下方面：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教育（类）支出110.96万元，占52.3%，主要用于等</w:t>
      </w:r>
      <w:r>
        <w:rPr>
          <w:rFonts w:hint="eastAsia" w:ascii="Times New Roman" w:eastAsia="仿宋_GB2312"/>
          <w:b w:val="0"/>
          <w:sz w:val="32"/>
          <w:szCs w:val="32"/>
          <w:lang w:eastAsia="zh-CN"/>
        </w:rPr>
        <w:t>在职人员基本</w:t>
      </w:r>
      <w:r>
        <w:rPr>
          <w:rFonts w:ascii="Times New Roman" w:eastAsia="仿宋_GB2312"/>
          <w:b w:val="0"/>
          <w:sz w:val="32"/>
          <w:szCs w:val="32"/>
        </w:rPr>
        <w:t>支出；社会保障和就业 （类）支出85.13万元，占40.1%，主要用于</w:t>
      </w:r>
      <w:r>
        <w:rPr>
          <w:rFonts w:hint="eastAsia" w:ascii="Times New Roman" w:eastAsia="仿宋_GB2312"/>
          <w:b w:val="0"/>
          <w:sz w:val="32"/>
          <w:szCs w:val="32"/>
          <w:lang w:eastAsia="zh-CN"/>
        </w:rPr>
        <w:t>单位职工保险</w:t>
      </w:r>
      <w:r>
        <w:rPr>
          <w:rFonts w:ascii="Times New Roman" w:eastAsia="仿宋_GB2312"/>
          <w:b w:val="0"/>
          <w:sz w:val="32"/>
          <w:szCs w:val="32"/>
        </w:rPr>
        <w:t>支出；卫生健康（类）支出6.00万元，占2.8%，主要用于等</w:t>
      </w:r>
      <w:r>
        <w:rPr>
          <w:rFonts w:hint="eastAsia" w:ascii="Times New Roman" w:eastAsia="仿宋_GB2312"/>
          <w:b w:val="0"/>
          <w:sz w:val="32"/>
          <w:szCs w:val="32"/>
          <w:lang w:eastAsia="zh-CN"/>
        </w:rPr>
        <w:t>单位职工医疗保险</w:t>
      </w:r>
      <w:r>
        <w:rPr>
          <w:rFonts w:ascii="Times New Roman" w:eastAsia="仿宋_GB2312"/>
          <w:b w:val="0"/>
          <w:sz w:val="32"/>
          <w:szCs w:val="32"/>
        </w:rPr>
        <w:t>支出；住房保障（类）支出10.25万元，占4.8%，主要用于</w:t>
      </w:r>
      <w:r>
        <w:rPr>
          <w:rFonts w:hint="eastAsia" w:ascii="Times New Roman" w:eastAsia="仿宋_GB2312"/>
          <w:b w:val="0"/>
          <w:sz w:val="32"/>
          <w:szCs w:val="32"/>
          <w:lang w:eastAsia="zh-CN"/>
        </w:rPr>
        <w:t>单位职工住房公积金缴纳</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仿宋_GB2312"/>
          <w:b/>
          <w:sz w:val="32"/>
          <w:szCs w:val="32"/>
        </w:rPr>
        <w:t>政府性基金预算财政拨款支出：</w:t>
      </w:r>
      <w:r>
        <w:rPr>
          <w:rFonts w:hint="eastAsia" w:ascii="Times New Roman" w:eastAsia="仿宋_GB2312"/>
          <w:b/>
          <w:sz w:val="32"/>
          <w:szCs w:val="32"/>
          <w:lang w:eastAsia="zh-CN"/>
        </w:rPr>
        <w:t>无</w:t>
      </w:r>
    </w:p>
    <w:p>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仿宋_GB2312"/>
          <w:b/>
          <w:sz w:val="32"/>
          <w:szCs w:val="32"/>
        </w:rPr>
        <w:t>国有资本经营预算财政拨款支出：</w:t>
      </w:r>
      <w:r>
        <w:rPr>
          <w:rFonts w:hint="eastAsia" w:ascii="Times New Roman" w:eastAsia="仿宋_GB2312"/>
          <w:b/>
          <w:sz w:val="32"/>
          <w:szCs w:val="32"/>
          <w:lang w:eastAsia="zh-CN"/>
        </w:rPr>
        <w:t>无</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2025年度财政拨款基本支出212.34万元，其中：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202.35万元，主要包括基本工资、津贴补贴、奖金、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公用经费9.99万元，主要包括办公费、印刷费、取暖费、福利费、其他商品和服务支出。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本单位2025年度“三公”经费财政拨款支出预算为0.00万元</w:t>
      </w:r>
      <w:r>
        <w:rPr>
          <w:rFonts w:hint="eastAsia" w:ascii="Times New Roman" w:eastAsia="仿宋_GB2312"/>
          <w:b w:val="0"/>
          <w:sz w:val="32"/>
          <w:szCs w:val="32"/>
          <w:lang w:eastAsia="zh-CN"/>
        </w:rPr>
        <w:t>。与上年度持平。</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w:t>
      </w:r>
      <w:r>
        <w:rPr>
          <w:rFonts w:hint="eastAsia" w:ascii="Times New Roman" w:eastAsia="仿宋_GB2312"/>
          <w:b w:val="0"/>
          <w:sz w:val="32"/>
          <w:szCs w:val="32"/>
          <w:lang w:eastAsia="zh-CN"/>
        </w:rPr>
        <w:t>与上年度持平。</w:t>
      </w:r>
    </w:p>
    <w:p>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w:t>
      </w:r>
      <w:r>
        <w:rPr>
          <w:rFonts w:hint="eastAsia" w:ascii="Times New Roman" w:eastAsia="仿宋_GB2312"/>
          <w:b w:val="0"/>
          <w:sz w:val="32"/>
          <w:szCs w:val="32"/>
          <w:lang w:eastAsia="zh-CN"/>
        </w:rPr>
        <w:t>。与上年度持平。</w:t>
      </w:r>
    </w:p>
    <w:p>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w:t>
      </w:r>
      <w:r>
        <w:rPr>
          <w:rFonts w:hint="eastAsia" w:ascii="Times New Roman" w:eastAsia="仿宋_GB2312"/>
          <w:b w:val="0"/>
          <w:sz w:val="32"/>
          <w:szCs w:val="32"/>
          <w:lang w:eastAsia="zh-CN"/>
        </w:rPr>
        <w:t>，与上年持平。</w:t>
      </w:r>
    </w:p>
    <w:p>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w:t>
      </w:r>
      <w:r>
        <w:rPr>
          <w:rFonts w:hint="eastAsia" w:ascii="Times New Roman" w:eastAsia="仿宋_GB2312"/>
          <w:b w:val="0"/>
          <w:sz w:val="32"/>
          <w:szCs w:val="32"/>
          <w:lang w:eastAsia="zh-CN"/>
        </w:rPr>
        <w:t>与上年持平。</w:t>
      </w:r>
    </w:p>
    <w:p>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w:t>
      </w:r>
      <w:r>
        <w:rPr>
          <w:rFonts w:hint="eastAsia" w:ascii="Times New Roman" w:eastAsia="仿宋_GB2312"/>
          <w:b w:val="0"/>
          <w:sz w:val="32"/>
          <w:szCs w:val="32"/>
          <w:lang w:eastAsia="zh-CN"/>
        </w:rPr>
        <w:t>与上年持平</w:t>
      </w:r>
    </w:p>
    <w:p>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pPr>
        <w:widowControl/>
        <w:numPr>
          <w:ilvl w:val="0"/>
          <w:numId w:val="2"/>
        </w:numPr>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r>
        <w:rPr>
          <w:rFonts w:ascii="Times New Roman" w:eastAsia="黑体"/>
          <w:b w:val="0"/>
          <w:sz w:val="32"/>
          <w:szCs w:val="32"/>
        </w:rPr>
        <w:t>机关运行经费支出说明</w:t>
      </w:r>
    </w:p>
    <w:p>
      <w:pPr>
        <w:widowControl/>
        <w:numPr>
          <w:numId w:val="0"/>
        </w:numPr>
        <w:spacing w:before="0" w:beforeLines="0" w:beforeAutospacing="0" w:after="0" w:afterLines="0" w:afterAutospacing="0" w:line="360" w:lineRule="auto"/>
        <w:jc w:val="left"/>
        <w:outlineLvl w:val="1"/>
        <w:rPr>
          <w:rFonts w:hint="default" w:ascii="Times New Roman" w:eastAsia="黑体"/>
          <w:b w:val="0"/>
          <w:sz w:val="32"/>
          <w:szCs w:val="32"/>
          <w:lang w:val="en-US" w:eastAsia="zh-CN"/>
        </w:rPr>
      </w:pPr>
      <w:r>
        <w:rPr>
          <w:rFonts w:hint="eastAsia" w:ascii="Times New Roman" w:eastAsia="黑体"/>
          <w:b w:val="0"/>
          <w:sz w:val="32"/>
          <w:szCs w:val="32"/>
          <w:lang w:val="en-US" w:eastAsia="zh-CN"/>
        </w:rPr>
        <w:t xml:space="preserve">        无</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w:t>
      </w:r>
      <w:r>
        <w:rPr>
          <w:rFonts w:hint="eastAsia" w:ascii="Times New Roman" w:eastAsia="仿宋_GB2312"/>
          <w:b w:val="0"/>
          <w:sz w:val="32"/>
          <w:szCs w:val="32"/>
          <w:lang w:eastAsia="zh-CN"/>
        </w:rPr>
        <w:t>，与上年持平</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hint="eastAsia" w:ascii="Times New Roman" w:eastAsia="黑体"/>
          <w:b w:val="0"/>
          <w:sz w:val="32"/>
          <w:szCs w:val="32"/>
          <w:lang w:eastAsia="zh-CN"/>
        </w:rPr>
        <w:t>九</w:t>
      </w:r>
      <w:r>
        <w:rPr>
          <w:rFonts w:ascii="Times New Roman" w:eastAsia="黑体"/>
          <w:b w:val="0"/>
          <w:sz w:val="32"/>
          <w:szCs w:val="32"/>
        </w:rPr>
        <w:t>、其他需要说明的情况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eastAsia="黑体"/>
          <w:b w:val="0"/>
          <w:sz w:val="44"/>
          <w:szCs w:val="44"/>
        </w:rPr>
        <w:t>第四部分 名词解释</w:t>
      </w:r>
      <w:bookmarkStart w:id="0" w:name="_GoBack"/>
      <w:bookmarkEnd w:id="0"/>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129F7C4-295D-440C-B416-AB27C2B2A842}"/>
  </w:font>
  <w:font w:name="黑体">
    <w:panose1 w:val="02010609060101010101"/>
    <w:charset w:val="86"/>
    <w:family w:val="auto"/>
    <w:pitch w:val="default"/>
    <w:sig w:usb0="800002BF" w:usb1="38CF7CFA" w:usb2="00000016" w:usb3="00000000" w:csb0="00040001" w:csb1="00000000"/>
    <w:embedRegular r:id="rId2" w:fontKey="{C3D1D1F0-95FA-4743-9A83-48422DA4992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F8FA6E44-73BA-48FE-A396-7AD86759CAD3}"/>
  </w:font>
  <w:font w:name="仿宋">
    <w:panose1 w:val="02010609060101010101"/>
    <w:charset w:val="86"/>
    <w:family w:val="modern"/>
    <w:pitch w:val="default"/>
    <w:sig w:usb0="800002BF" w:usb1="38CF7CFA" w:usb2="00000016" w:usb3="00000000" w:csb0="00040001" w:csb1="00000000"/>
    <w:embedRegular r:id="rId4" w:fontKey="{2044689E-0508-43BC-8602-825DAEDFF43E}"/>
  </w:font>
  <w:font w:name="Calibri Light">
    <w:altName w:val="Calibri"/>
    <w:panose1 w:val="020F0302020204030204"/>
    <w:charset w:val="00"/>
    <w:family w:val="auto"/>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9FFE31F6-F2C0-4122-AD62-D488BDB20C1D}"/>
  </w:font>
  <w:font w:name="楷体_GB2312">
    <w:panose1 w:val="02010609030101010101"/>
    <w:charset w:val="86"/>
    <w:family w:val="auto"/>
    <w:pitch w:val="default"/>
    <w:sig w:usb0="00000000" w:usb1="00000000" w:usb2="00000000" w:usb3="00000000" w:csb0="00000000" w:csb1="00000000"/>
    <w:embedRegular r:id="rId6" w:fontKey="{90AB1DBB-E93F-4A38-9801-23427CD70855}"/>
  </w:font>
  <w:font w:name="微软雅黑">
    <w:panose1 w:val="020B0503020204020204"/>
    <w:charset w:val="86"/>
    <w:family w:val="auto"/>
    <w:pitch w:val="default"/>
    <w:sig w:usb0="80000287" w:usb1="280F3C52" w:usb2="00000016" w:usb3="00000000" w:csb0="0004001F" w:csb1="00000000"/>
    <w:embedRegular r:id="rId7" w:fontKey="{1FFB88DC-A2AB-446A-B9B3-9E8D4EFB8678}"/>
  </w:font>
  <w:font w:name="方正小标宋_GBK">
    <w:panose1 w:val="02000000000000000000"/>
    <w:charset w:val="86"/>
    <w:family w:val="script"/>
    <w:pitch w:val="default"/>
    <w:sig w:usb0="00000000" w:usb1="00000000" w:usb2="00000000" w:usb3="00000000" w:csb0="00000000" w:csb1="00000000"/>
    <w:embedRegular r:id="rId8" w:fontKey="{A599AA98-388E-432C-BEAB-E2B650199EAC}"/>
  </w:font>
  <w:font w:name="仿宋_GB2312">
    <w:panose1 w:val="02010609030101010101"/>
    <w:charset w:val="86"/>
    <w:family w:val="auto"/>
    <w:pitch w:val="default"/>
    <w:sig w:usb0="00000000" w:usb1="00000000" w:usb2="00000000" w:usb3="00000000" w:csb0="00000000" w:csb1="00000000"/>
    <w:embedRegular r:id="rId9" w:fontKey="{704B6334-711A-424B-8F23-8681D10DF62E}"/>
  </w:font>
  <w:font w:name="ArialUnicodeMS">
    <w:altName w:val="Malgun Gothic"/>
    <w:panose1 w:val="00000000000000000000"/>
    <w:charset w:val="81"/>
    <w:family w:val="auto"/>
    <w:pitch w:val="default"/>
    <w:sig w:usb0="00000000" w:usb1="00000000" w:usb2="00000010" w:usb3="00000000" w:csb0="00080001" w:csb1="00000000"/>
    <w:embedRegular r:id="rId10" w:fontKey="{157628B2-C0C7-4717-8F77-E5A3F16762FD}"/>
  </w:font>
  <w:font w:name="Malgun Gothic">
    <w:panose1 w:val="020B0503020000020004"/>
    <w:charset w:val="81"/>
    <w:family w:val="auto"/>
    <w:pitch w:val="default"/>
    <w:sig w:usb0="900002AF" w:usb1="01D77CFB" w:usb2="00000012" w:usb3="00000000" w:csb0="00080001" w:csb1="00000000"/>
  </w:font>
  <w:font w:name="华文彩云">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仿宋_GB2312">
    <w:panose1 w:val="0201060903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800F"/>
    <w:multiLevelType w:val="singleLevel"/>
    <w:tmpl w:val="00FE800F"/>
    <w:lvl w:ilvl="0" w:tentative="0">
      <w:start w:val="6"/>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0DB5963"/>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810A4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065B2E"/>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A17A2A"/>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13154E"/>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2E8784E"/>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9C44C9"/>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212.34</c:v>
                </c:pt>
                <c:pt idx="1">
                  <c:v>174.83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2123415.46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2123415.46</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174.83</c:v>
                </c:pt>
                <c:pt idx="1">
                  <c:v>174.83</c:v>
                </c:pt>
                <c:pt idx="2">
                  <c:v>174.83</c:v>
                </c:pt>
                <c:pt idx="3">
                  <c:v>174.83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212.34</c:v>
                </c:pt>
                <c:pt idx="1">
                  <c:v>212.34</c:v>
                </c:pt>
                <c:pt idx="2">
                  <c:v>212.34</c:v>
                </c:pt>
                <c:pt idx="3">
                  <c:v>212.34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208.17</c:v>
                </c:pt>
                <c:pt idx="1">
                  <c:v>208.17</c:v>
                </c:pt>
                <c:pt idx="2">
                  <c:v>208.17</c:v>
                </c:pt>
                <c:pt idx="3">
                  <c:v>208.17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212.34</c:v>
                </c:pt>
                <c:pt idx="1">
                  <c:v>212.34</c:v>
                </c:pt>
                <c:pt idx="2">
                  <c:v>212.34</c:v>
                </c:pt>
                <c:pt idx="3">
                  <c:v>212.34</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20</TotalTime>
  <ScaleCrop>false</ScaleCrop>
  <LinksUpToDate>false</LinksUpToDate>
  <CharactersWithSpaces>6550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2026-10-15T02:02:23Z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