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楷体_GB2312" w:eastAsia="楷体_GB2312" w:cs="楷体_GB2312" w:hAnsi="楷体_GB2312" w:hint="eastAsia"/>
          <w:b/>
          <w:bCs/>
          <w:color w:val="0D0D0D"/>
          <w:kern w:val="2"/>
          <w:sz w:val="48"/>
          <w:szCs w:val="56"/>
          <w14:textFill>
            <w14:solidFill>
              <w14:srgbClr w14:val="0D0D0D"/>
            </w14:solidFill>
          </w14:textFill>
        </w:rPr>
      </w:pPr>
      <w:bookmarkStart w:id="0" w:name="_GoBack"/>
      <w:bookmarkEnd w:id="0"/>
      <w:r>
        <w:rPr>
          <w:rFonts w:hint="eastAsia"/>
        </w:rPr>
        <w:drawing>
          <wp:anchor distT="0" distB="0" distL="114300" distR="114300" simplePos="0" relativeHeight="2" behindDoc="1" locked="0" layoutInCell="1" hidden="0" allowOverlap="1">
            <wp:simplePos x="0" y="0"/>
            <wp:positionH relativeFrom="column">
              <wp:posOffset>-927100</wp:posOffset>
            </wp:positionH>
            <wp:positionV relativeFrom="page">
              <wp:posOffset>-344805</wp:posOffset>
            </wp:positionV>
            <wp:extent cx="7569835" cy="10692130"/>
            <wp:effectExtent l="0" t="0" r="0" b="0"/>
            <wp:wrapNone/>
            <wp:docPr id="1" name="图片 4" descr="H:\稻壳儿相关资料\封面-非模\01.jpg01"/>
            <wp:cNvGraphicFramePr>
              <a:graphicFrameLocks noChangeAspect="1"/>
            </wp:cNvGraphicFramePr>
            <a:graphic>
              <a:graphicData uri="http://schemas.openxmlformats.org/drawingml/2006/picture">
                <pic:pic>
                  <pic:nvPicPr>
                    <pic:cNvPr id="3" name="图片 4 3"/>
                    <pic:cNvPicPr/>
                  </pic:nvPicPr>
                  <pic:blipFill>
                    <a:blip r:embed="rId3"/>
                    <a:stretch>
                      <a:fillRect/>
                    </a:stretch>
                  </pic:blipFill>
                  <pic:spPr>
                    <a:xfrm rot="0">
                      <a:off x="0" y="0"/>
                      <a:ext cx="7569835" cy="10692130"/>
                    </a:xfrm>
                    <a:prstGeom prst="rect"/>
                    <a:noFill/>
                    <a:ln w="9525" cmpd="sng" cap="flat">
                      <a:noFill/>
                      <a:prstDash val="solid"/>
                      <a:miter/>
                    </a:ln>
                  </pic:spPr>
                </pic:pic>
              </a:graphicData>
            </a:graphic>
          </wp:anchor>
        </w:drawing>
      </w:r>
      <w:r>
        <mc:AlternateContent>
          <mc:Choice Requires="wps">
            <w:drawing>
              <wp:anchor distT="0" distB="0" distL="114298" distR="114298" simplePos="0" relativeHeight="28" behindDoc="0" locked="0" layoutInCell="1" hidden="0" allowOverlap="1">
                <wp:simplePos x="0" y="0"/>
                <wp:positionH relativeFrom="column">
                  <wp:posOffset>-472440</wp:posOffset>
                </wp:positionH>
                <wp:positionV relativeFrom="paragraph">
                  <wp:posOffset>-17145</wp:posOffset>
                </wp:positionV>
                <wp:extent cx="6431279" cy="2862579"/>
                <wp:effectExtent l="0" t="0" r="0" b="0"/>
                <wp:wrapNone/>
                <wp:docPr id="4" name="文本框 1" descr="7b0a2020202022776f7264617274223a20227b5c2269645c223a32353030323136362c5c227469645c223a5c225c227d220a7d0a"/>
                <wp:cNvGraphicFramePr>
                  <a:graphicFrameLocks noChangeAspect="0"/>
                </wp:cNvGraphicFramePr>
                <a:graphic>
                  <a:graphicData uri="http://schemas.microsoft.com/office/word/2010/wordprocessingShape">
                    <wps:wsp>
                      <wps:cNvSpPr/>
                      <wps:spPr>
                        <a:xfrm rot="0">
                          <a:off x="0" y="0"/>
                          <a:ext cx="6431279" cy="2862579"/>
                        </a:xfrm>
                        <a:prstGeom prst="rect"/>
                        <a:noFill/>
                        <a:ln w="9525" cmpd="sng" cap="flat">
                          <a:noFill/>
                          <a:prstDash val="solid"/>
                          <a:round/>
                        </a:ln>
                      </wps:spPr>
                      <wps:txbx id="5">
                        <w:txbxContent>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202</w:t>
                            </w:r>
                            <w:r>
                              <w:rPr>
                                <w:rFonts w:ascii="微软雅黑" w:eastAsia="微软雅黑" w:cs="微软雅黑" w:hAnsi="微软雅黑" w:hint="eastAsia"/>
                                <w:b/>
                                <w:color w:val="FFFFFF"/>
                                <w:kern w:val="2"/>
                                <w:sz w:val="96"/>
                                <w:szCs w:val="96"/>
                                <w14:textFill>
                                  <w14:solidFill>
                                    <w14:srgbClr w14:val="FFFFFF"/>
                                  </w14:solidFill>
                                </w14:textFill>
                                <w:lang w:val="en-US" w:eastAsia="zh-CN" w:bidi="ar-SA"/>
                              </w:rPr>
                              <w:t>5</w:t>
                            </w:r>
                            <w:r>
                              <w:rPr>
                                <w:rFonts w:ascii="微软雅黑" w:eastAsia="微软雅黑" w:cs="微软雅黑" w:hAnsi="微软雅黑" w:hint="eastAsia"/>
                                <w:b/>
                                <w:color w:val="FFFFFF"/>
                                <w:kern w:val="2"/>
                                <w:sz w:val="96"/>
                                <w:szCs w:val="96"/>
                                <w14:textFill>
                                  <w14:solidFill>
                                    <w14:srgbClr w14:val="FFFFFF"/>
                                  </w14:solidFill>
                                </w14:textFill>
                                <w:lang w:bidi="ar-SA"/>
                              </w:rPr>
                              <w:t>年度</w:t>
                            </w:r>
                          </w:p>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部门决算公开文本</w:t>
                            </w:r>
                          </w:p>
                        </w:txbxContent>
                      </wps:txbx>
                      <wps:bodyPr vert="horz" wrap="square" lIns="91440" tIns="45720" rIns="91440" bIns="45720" anchor="t" anchorCtr="0" upright="1">
                        <a:noAutofit/>
                      </wps:bodyPr>
                    </wps:wsp>
                  </a:graphicData>
                </a:graphic>
              </wp:anchor>
            </w:drawing>
          </mc:Choice>
          <mc:Fallback>
            <w:pict>
              <v:shape type="#_x0000_t202" id="文本框 1 6" o:spid="_x0000_s6" filled="f" stroked="f" alt="7b0a2020202022776f7264617274223a20227b5c2269645c223a32353030323136362c5c227469645c223a5c225c227d220a7d0a" style="position:absolute;margin-left:-37.2pt;margin-top:-1.35pt;width:506.4pt;height:225.4pt;z-index:28;mso-position-horizontal:absolute;mso-position-vertical:absolute;mso-wrap-distance-left:8.999863pt;mso-wrap-distance-right:8.999863pt;mso-wrap-style:square;">
                <v:stroke color="#000000"/>
                <v:textbox id="849" inset="2.54mm,1.27mm,2.54mm,1.27mm" o:insetmode="custom" style="layout-flow:horizontal;v-text-anchor:top;">
                  <w:txbxContent>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202</w:t>
                      </w:r>
                      <w:r>
                        <w:rPr>
                          <w:rFonts w:ascii="微软雅黑" w:eastAsia="微软雅黑" w:cs="微软雅黑" w:hAnsi="微软雅黑" w:hint="eastAsia"/>
                          <w:b/>
                          <w:color w:val="FFFFFF"/>
                          <w:kern w:val="2"/>
                          <w:sz w:val="96"/>
                          <w:szCs w:val="96"/>
                          <w14:textFill>
                            <w14:solidFill>
                              <w14:srgbClr w14:val="FFFFFF"/>
                            </w14:solidFill>
                          </w14:textFill>
                          <w:lang w:val="en-US" w:eastAsia="zh-CN" w:bidi="ar-SA"/>
                        </w:rPr>
                        <w:t>5</w:t>
                      </w:r>
                      <w:r>
                        <w:rPr>
                          <w:rFonts w:ascii="微软雅黑" w:eastAsia="微软雅黑" w:cs="微软雅黑" w:hAnsi="微软雅黑" w:hint="eastAsia"/>
                          <w:b/>
                          <w:color w:val="FFFFFF"/>
                          <w:kern w:val="2"/>
                          <w:sz w:val="96"/>
                          <w:szCs w:val="96"/>
                          <w14:textFill>
                            <w14:solidFill>
                              <w14:srgbClr w14:val="FFFFFF"/>
                            </w14:solidFill>
                          </w14:textFill>
                          <w:lang w:bidi="ar-SA"/>
                        </w:rPr>
                        <w:t>年度</w:t>
                      </w:r>
                    </w:p>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部门决算公开文本</w:t>
                      </w:r>
                    </w:p>
                  </w:txbxContent>
                </v:textbox>
              </v:shape>
            </w:pict>
          </mc:Fallback>
        </mc:AlternateContent>
      </w: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both"/>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ascii="楷体_GB2312" w:eastAsia="楷体_GB2312" w:cs="楷体_GB2312" w:hAnsi="楷体_GB2312" w:hint="eastAsia"/>
          <w:b/>
          <w:bCs/>
          <w:color w:val="0D0D0D"/>
          <w:kern w:val="2"/>
          <w:sz w:val="48"/>
          <w:szCs w:val="56"/>
          <w14:textFill>
            <w14:solidFill>
              <w14:srgbClr w14:val="0D0D0D"/>
            </w14:solidFill>
          </w14:textFill>
        </w:rPr>
        <w:t>正定县老干部活动中心</w:t>
      </w: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ascii="楷体_GB2312" w:eastAsia="楷体_GB2312" w:cs="楷体_GB2312" w:hAnsi="楷体_GB2312" w:hint="eastAsia"/>
          <w:b/>
          <w:bCs/>
          <w:color w:val="0D0D0D"/>
          <w:kern w:val="2"/>
          <w:sz w:val="48"/>
          <w:szCs w:val="56"/>
          <w14:textFill>
            <w14:solidFill>
              <w14:srgbClr w14:val="0D0D0D"/>
            </w14:solidFill>
          </w14:textFill>
        </w:rPr>
        <w:t>预算代码：</w:t>
      </w:r>
      <w:r>
        <w:rPr>
          <w:rFonts w:ascii="楷体_GB2312" w:eastAsia="楷体_GB2312" w:cs="楷体_GB2312" w:hAnsi="楷体_GB2312" w:hint="eastAsia"/>
          <w:b/>
          <w:bCs/>
          <w:color w:val="0D0D0D"/>
          <w:kern w:val="2"/>
          <w:sz w:val="48"/>
          <w:szCs w:val="56"/>
          <w14:textFill>
            <w14:solidFill>
              <w14:srgbClr w14:val="0D0D0D"/>
            </w14:solidFill>
          </w14:textFill>
          <w:lang w:val="en-US" w:eastAsia="zh-CN"/>
        </w:rPr>
        <w:t>287003</w:t>
      </w:r>
    </w:p>
    <w:p>
      <w:pPr>
        <w:jc w:val="center"/>
        <w:rPr>
          <w:rFonts w:ascii="楷体_GB2312" w:eastAsia="楷体_GB2312" w:cs="楷体_GB2312" w:hAnsi="楷体_GB2312"/>
          <w:b/>
          <w:bCs/>
          <w:color w:val="0D0D0D"/>
          <w:sz w:val="48"/>
          <w:szCs w:val="56"/>
          <w14:textFill>
            <w14:solidFill>
              <w14:srgbClr w14:val="0D0D0D"/>
            </w14:solidFill>
          </w14:textFill>
        </w:rPr>
      </w:pPr>
    </w:p>
    <w:p>
      <w:pPr>
        <w:jc w:val="center"/>
        <w:rPr>
          <w:rFonts w:ascii="楷体_GB2312" w:eastAsia="楷体_GB2312" w:cs="楷体_GB2312" w:hAnsi="楷体_GB2312"/>
          <w:b/>
          <w:bCs/>
          <w:color w:val="0D0D0D"/>
          <w:sz w:val="48"/>
          <w:szCs w:val="56"/>
          <w14:textFill>
            <w14:solidFill>
              <w14:srgbClr w14:val="0D0D0D"/>
            </w14:solidFill>
          </w14:textFill>
        </w:rPr>
      </w:pPr>
      <w:r>
        <w:rPr>
          <w:rFonts w:ascii="楷体_GB2312" w:eastAsia="楷体_GB2312" w:cs="楷体_GB2312" w:hAnsi="楷体_GB2312" w:hint="eastAsia"/>
          <w:b/>
          <w:bCs/>
          <w:color w:val="0D0D0D"/>
          <w:sz w:val="48"/>
          <w:szCs w:val="56"/>
          <w14:textFill>
            <w14:solidFill>
              <w14:srgbClr w14:val="0D0D0D"/>
            </w14:solidFill>
          </w14:textFill>
        </w:rPr>
        <w:t>二〇二六年</w:t>
      </w:r>
      <w:r>
        <w:rPr>
          <w:rFonts w:ascii="楷体_GB2312" w:eastAsia="楷体_GB2312" w:cs="楷体_GB2312" w:hAnsi="楷体_GB2312" w:hint="eastAsia"/>
          <w:b/>
          <w:bCs/>
          <w:color w:val="0D0D0D"/>
          <w:sz w:val="48"/>
          <w:szCs w:val="56"/>
          <w14:textFill>
            <w14:solidFill>
              <w14:srgbClr w14:val="0D0D0D"/>
            </w14:solidFill>
          </w14:textFill>
          <w:lang w:eastAsia="zh-CN"/>
        </w:rPr>
        <w:t>十</w:t>
      </w:r>
      <w:r>
        <w:rPr>
          <w:rFonts w:ascii="楷体_GB2312" w:eastAsia="楷体_GB2312" w:cs="楷体_GB2312" w:hAnsi="楷体_GB2312" w:hint="eastAsia"/>
          <w:b/>
          <w:bCs/>
          <w:color w:val="0D0D0D"/>
          <w:sz w:val="48"/>
          <w:szCs w:val="56"/>
          <w14:textFill>
            <w14:solidFill>
              <w14:srgbClr w14:val="0D0D0D"/>
            </w14:solidFill>
          </w14:textFill>
        </w:rPr>
        <w:t>月</w:t>
      </w:r>
    </w:p>
    <w:p>
      <w:pPr>
        <w:spacing w:line="600" w:lineRule="auto"/>
        <w:jc w:val="both"/>
        <w:rPr>
          <w:rFonts w:ascii="楷体_GB2312" w:eastAsia="楷体_GB2312" w:cs="楷体_GB2312" w:hAnsi="楷体_GB2312" w:hint="eastAsia"/>
          <w:color w:val="000000"/>
          <w:sz w:val="40"/>
          <w:szCs w:val="40"/>
        </w:rPr>
        <w:sectPr>
          <w:footerReference w:type="default" r:id="rId2"/>
          <w:pgSz w:w="11906" w:h="16838"/>
          <w:pgMar w:top="2098" w:right="1417" w:bottom="1871" w:left="1417" w:header="851" w:footer="992" w:gutter="0"/>
          <w:docGrid w:type="lines" w:linePitch="312" w:charSpace="0"/>
        </w:sectPr>
      </w:pPr>
    </w:p>
    <w:p>
      <w:pPr>
        <w:spacing w:line="600" w:lineRule="auto"/>
        <w:jc w:val="center"/>
        <w:rPr>
          <w:rFonts w:ascii="楷体_GB2312" w:eastAsia="楷体_GB2312" w:cs="楷体_GB2312" w:hAnsi="楷体_GB2312" w:hint="eastAsia"/>
          <w:color w:val="000000"/>
          <w:sz w:val="40"/>
          <w:szCs w:val="40"/>
        </w:rPr>
      </w:pPr>
    </w:p>
    <w:p>
      <w:pPr>
        <w:rPr>
          <w:rFonts w:ascii="黑体" w:eastAsia="黑体" w:cs="黑体" w:hAnsi="黑体" w:hint="eastAsia"/>
          <w:b/>
          <w:bCs/>
          <w:sz w:val="32"/>
          <w:szCs w:val="36"/>
          <w:highlight w:val="yellow"/>
        </w:rPr>
      </w:pP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方正小标宋_GBK" w:hAnsi="Times New Roman"/>
          <w:b w:val="0"/>
          <w:sz w:val="72"/>
          <w:szCs w:val="72"/>
        </w:rPr>
        <w:t>正定县老干部活动中心</w:t>
      </w: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仿宋_GB2312" w:hAnsi="Times New Roman"/>
          <w:b w:val="0"/>
          <w:sz w:val="72"/>
          <w:szCs w:val="72"/>
        </w:rPr>
        <w:t>2025</w:t>
      </w:r>
      <w:r>
        <w:rPr>
          <w:rFonts w:ascii="Times New Roman" w:eastAsia="方正小标宋_GBK" w:hAnsi="Times New Roman"/>
          <w:b w:val="0"/>
          <w:sz w:val="72"/>
          <w:szCs w:val="72"/>
        </w:rPr>
        <w:t>年度部门决算公开文本</w:t>
      </w:r>
    </w:p>
    <w:p>
      <w:pPr>
        <w:spacing w:line="360" w:lineRule="auto"/>
        <w:jc w:val="center"/>
        <w:rPr>
          <w:rFonts w:ascii="黑体" w:eastAsia="黑体" w:cs="黑体" w:hAnsi="黑体"/>
          <w:sz w:val="56"/>
          <w:szCs w:val="72"/>
        </w:rPr>
      </w:pPr>
    </w:p>
    <w:p>
      <w:pPr>
        <w:spacing w:line="480" w:lineRule="auto"/>
        <w:jc w:val="both"/>
        <w:rPr>
          <w:rFonts w:ascii="黑体" w:eastAsia="黑体" w:cs="黑体" w:hAnsi="黑体"/>
          <w:sz w:val="56"/>
          <w:szCs w:val="72"/>
        </w:rPr>
      </w:pP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正定县老干部活动中心</w:t>
      </w:r>
    </w:p>
    <w:p>
      <w:pPr>
        <w:widowControl/>
        <w:spacing w:before="0" w:beforeAutospacing="0" w:after="0" w:afterAutospacing="0" w:line="240" w:lineRule="auto"/>
        <w:jc w:val="center"/>
        <w:rPr>
          <w:rFonts w:ascii="Times New Roman" w:eastAsia="楷体_GB2312" w:hAnsi="Times New Roman"/>
          <w:sz w:val="44"/>
          <w:szCs w:val="44"/>
        </w:rPr>
      </w:pP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二〇二六年</w:t>
      </w:r>
      <w:r>
        <w:rPr>
          <w:rFonts w:ascii="Times New Roman" w:eastAsia="楷体_GB2312" w:hAnsi="Times New Roman" w:hint="eastAsia"/>
          <w:b w:val="0"/>
          <w:sz w:val="44"/>
          <w:szCs w:val="44"/>
          <w:lang w:eastAsia="zh-CN"/>
        </w:rPr>
        <w:t>十</w:t>
      </w:r>
      <w:r>
        <w:rPr>
          <w:rFonts w:ascii="Times New Roman" w:eastAsia="楷体_GB2312" w:hAnsi="Times New Roman"/>
          <w:b w:val="0"/>
          <w:sz w:val="44"/>
          <w:szCs w:val="44"/>
        </w:rPr>
        <w:t>月</w:t>
      </w:r>
    </w:p>
    <w:p>
      <w:pPr>
        <w:rPr>
          <w:rFonts w:ascii="楷体_GB2312" w:eastAsia="楷体_GB2312" w:cs="楷体_GB2312" w:hAnsi="楷体_GB2312" w:hint="eastAsia"/>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pPr>
      <w:r>
        <w:rPr>
          <w:rFonts w:ascii="楷体_GB2312" w:eastAsia="楷体_GB2312" w:cs="楷体_GB2312" w:hAnsi="楷体_GB2312"/>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br w:type="page"/>
      </w:r>
    </w:p>
    <w:p>
      <w:pPr>
        <w:snapToGrid w:val="0"/>
        <w:jc w:val="left"/>
        <w:rPr>
          <w:rFonts w:ascii="楷体_GB2312" w:eastAsia="楷体_GB2312" w:cs="楷体_GB2312" w:hAnsi="楷体_GB2312"/>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sectPr>
          <w:footerReference w:type="default" r:id="rId4"/>
          <w:pgSz w:w="11906" w:h="16838"/>
          <w:pgMar w:top="1531" w:right="1984" w:bottom="1531" w:left="2098" w:header="851" w:footer="992" w:gutter="0"/>
          <w:pgNumType w:start="1"/>
          <w:docGrid w:type="lines" w:linePitch="312" w:charSpace="0"/>
        </w:sect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目  录</w:t>
      </w:r>
    </w:p>
    <w:p>
      <w:pPr>
        <w:widowControl/>
        <w:spacing w:after="160" w:line="580" w:lineRule="exact"/>
        <w:ind w:firstLineChars="200" w:firstLine="640"/>
        <w:rPr>
          <w:rFonts w:ascii="Times New Roman" w:eastAsia="黑体" w:cs="Times New Roman" w:hAnsi="Times New Roman"/>
          <w:sz w:val="32"/>
          <w:szCs w:val="32"/>
        </w:rPr>
      </w:pP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第一部分单位概况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一、单位职责</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二、机构设置</w:t>
      </w:r>
    </w:p>
    <w:p>
      <w:pPr>
        <w:widowControl/>
        <w:spacing w:before="0" w:beforeAutospacing="0" w:after="0" w:afterAutospacing="0" w:line="360" w:lineRule="auto"/>
        <w:jc w:val="left"/>
        <w:outlineLvl w:val="0"/>
        <w:rPr>
          <w:rFonts w:ascii="Times New Roman" w:eastAsia="黑体" w:hAnsi="Times New Roman"/>
          <w:sz w:val="32"/>
          <w:szCs w:val="32"/>
        </w:rPr>
      </w:pPr>
      <w:r>
        <w:rPr>
          <w:rFonts w:ascii="Times New Roman" w:eastAsia="黑体" w:hAnsi="Times New Roman"/>
          <w:b w:val="0"/>
          <w:sz w:val="32"/>
          <w:szCs w:val="32"/>
        </w:rPr>
        <w:t>第二部分 2025年度部门决算报表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五、一般公共预算财政拨款支出决算表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六、一般公共预算财政拨款基本支出决算明细表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七、政府性基金预算财政拨款收入支出决算表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八、国有资本经营预算财政拨款支出决算表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九、财政拨款“三公”经费支出决算表</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第三部分 2025年度部门决算情况说明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五、财政拨款“三公”经费支出决算情况说明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九、关于2025年度绩效评价情况的说明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十、其他需要说明的情况</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第四部分 名词解释</w:t>
      </w:r>
    </w:p>
    <w:p>
      <w:pPr>
        <w:widowControl/>
        <w:spacing w:after="160" w:line="580" w:lineRule="exact"/>
        <w:rPr>
          <w:rFonts w:ascii="Times New Roman" w:eastAsia="黑体" w:cs="Times New Roman" w:hAnsi="Times New Roman" w:hint="eastAsia"/>
          <w:sz w:val="32"/>
          <w:szCs w:val="32"/>
          <w:lang w:val="en-US" w:eastAsia="zh-CN"/>
        </w:rPr>
        <w:sectPr>
          <w:headerReference w:type="default" r:id="rId5"/>
          <w:headerReference w:type="first" r:id="rId6"/>
          <w:footerReference w:type="default" r:id="rId7"/>
          <w:footerReference w:type="first" r:id="rId8"/>
          <w:pgSz w:w="11906" w:h="16838"/>
          <w:pgMar w:top="1474" w:right="1531" w:bottom="1474" w:left="1531" w:header="851" w:footer="992" w:gutter="0"/>
          <w:titlePg/>
          <w:docGrid w:type="lines" w:linePitch="312" w:charSpace="0"/>
        </w:sect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第一部分单位概况</w:t>
      </w: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outlineLvl w:val="1"/>
        <w:rPr>
          <w:rFonts w:ascii="黑体" w:eastAsia="黑体" w:cs="黑体" w:hAnsi="宋体" w:hint="eastAsia"/>
          <w:i w:val="0"/>
          <w:iCs w:val="0"/>
          <w:caps w:val="0"/>
          <w:smallCaps w:val="0"/>
          <w:color w:val="000000"/>
          <w:spacing w:val="0"/>
          <w:sz w:val="32"/>
          <w:szCs w:val="32"/>
          <w:shd w:val="clear" w:color="auto" w:fill="FFFFFF"/>
          <w:lang w:val="en-US" w:eastAsia="zh-CN"/>
          <w:highlight w:val="auto"/>
        </w:r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一、单位职责</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仿宋" w:eastAsia="仿宋" w:cs="Times New Roman" w:hAnsi="仿宋" w:hint="eastAsia"/>
          <w:b w:val="0"/>
          <w:bCs/>
          <w:sz w:val="32"/>
          <w:szCs w:val="32"/>
          <w:lang w:val="en-US" w:eastAsia="zh-CN"/>
        </w:rPr>
        <w:t>(一）、为老干部政治学习、文化娱乐提供服务。开展多种形式的文艺体育活动。</w:t>
      </w:r>
      <w:r>
        <w:rPr>
          <w:rFonts w:ascii="仿宋" w:eastAsia="仿宋" w:cs="Times New Roman" w:hAnsi="仿宋" w:hint="eastAsia"/>
          <w:b w:val="0"/>
          <w:bCs/>
          <w:sz w:val="32"/>
          <w:szCs w:val="32"/>
          <w:lang w:eastAsia="zh-CN"/>
        </w:rPr>
        <w:t>（二）、</w:t>
      </w:r>
      <w:r>
        <w:rPr>
          <w:rFonts w:ascii="仿宋" w:eastAsia="仿宋" w:cs="Times New Roman" w:hAnsi="仿宋" w:hint="eastAsia"/>
          <w:b w:val="0"/>
          <w:bCs/>
          <w:sz w:val="32"/>
          <w:szCs w:val="32"/>
        </w:rPr>
        <w:t>负责老干部活动中心的日常</w:t>
      </w:r>
      <w:r>
        <w:rPr>
          <w:rFonts w:ascii="仿宋" w:eastAsia="仿宋" w:cs="Times New Roman" w:hAnsi="仿宋" w:hint="eastAsia"/>
          <w:b w:val="0"/>
          <w:bCs/>
          <w:sz w:val="32"/>
          <w:szCs w:val="32"/>
          <w:lang w:eastAsia="zh-CN"/>
        </w:rPr>
        <w:t>管理</w:t>
      </w:r>
      <w:r>
        <w:rPr>
          <w:rFonts w:ascii="仿宋" w:eastAsia="仿宋" w:cs="Times New Roman" w:hAnsi="仿宋" w:hint="eastAsia"/>
          <w:b w:val="0"/>
          <w:bCs/>
          <w:sz w:val="32"/>
          <w:szCs w:val="32"/>
        </w:rPr>
        <w:t>服务工作</w:t>
      </w:r>
      <w:r>
        <w:rPr>
          <w:rFonts w:ascii="仿宋" w:eastAsia="仿宋" w:cs="Times New Roman" w:hAnsi="仿宋" w:hint="eastAsia"/>
          <w:b w:val="0"/>
          <w:bCs/>
          <w:sz w:val="32"/>
          <w:szCs w:val="32"/>
          <w:lang w:eastAsia="zh-CN"/>
        </w:rPr>
        <w:t>。</w:t>
      </w:r>
      <w:r>
        <w:rPr>
          <w:rFonts w:ascii="仿宋" w:eastAsia="仿宋" w:cs="Times New Roman" w:hAnsi="仿宋" w:hint="eastAsia"/>
          <w:b w:val="0"/>
          <w:bCs/>
          <w:sz w:val="32"/>
          <w:szCs w:val="32"/>
        </w:rPr>
        <w:t>密切与老干部联系，加强老干部的思想政治工作。 </w:t>
      </w:r>
      <w:r>
        <w:rPr>
          <w:rFonts w:ascii="仿宋" w:eastAsia="仿宋" w:cs="Times New Roman" w:hAnsi="仿宋" w:hint="eastAsia"/>
          <w:b w:val="0"/>
          <w:bCs/>
          <w:sz w:val="32"/>
          <w:szCs w:val="32"/>
          <w:lang w:eastAsia="zh-CN"/>
        </w:rPr>
        <w:t>（三）、</w:t>
      </w:r>
      <w:r>
        <w:rPr>
          <w:rFonts w:ascii="仿宋" w:eastAsia="仿宋" w:cs="Times New Roman" w:hAnsi="仿宋" w:hint="eastAsia"/>
          <w:b w:val="0"/>
          <w:bCs/>
          <w:sz w:val="32"/>
          <w:szCs w:val="32"/>
        </w:rPr>
        <w:t>负责活动中心固定资产的管理、保养、维护和活动室卫生保洁工作。 </w:t>
      </w:r>
      <w:r>
        <w:rPr>
          <w:rFonts w:ascii="仿宋" w:eastAsia="仿宋" w:cs="Times New Roman" w:hAnsi="仿宋" w:hint="eastAsia"/>
          <w:b w:val="0"/>
          <w:bCs/>
          <w:sz w:val="32"/>
          <w:szCs w:val="32"/>
          <w:lang w:eastAsia="zh-CN"/>
        </w:rPr>
        <w:t>（四）、</w:t>
      </w:r>
      <w:r>
        <w:rPr>
          <w:rFonts w:ascii="仿宋" w:eastAsia="仿宋" w:cs="Times New Roman" w:hAnsi="仿宋" w:hint="eastAsia"/>
          <w:b w:val="0"/>
          <w:bCs/>
          <w:sz w:val="32"/>
          <w:szCs w:val="32"/>
        </w:rPr>
        <w:t>指导、协调各单位、各老年组织在中心开展各项有益身心的活动。 </w:t>
      </w:r>
      <w:r>
        <w:rPr>
          <w:rFonts w:ascii="仿宋" w:eastAsia="仿宋" w:cs="Times New Roman" w:hAnsi="仿宋" w:hint="eastAsia"/>
          <w:b w:val="0"/>
          <w:bCs/>
          <w:sz w:val="32"/>
          <w:szCs w:val="32"/>
          <w:lang w:eastAsia="zh-CN"/>
        </w:rPr>
        <w:t>（五）、</w:t>
      </w:r>
      <w:r>
        <w:rPr>
          <w:rFonts w:ascii="仿宋" w:eastAsia="仿宋" w:cs="Times New Roman" w:hAnsi="仿宋" w:hint="eastAsia"/>
          <w:b w:val="0"/>
          <w:bCs/>
          <w:sz w:val="32"/>
          <w:szCs w:val="32"/>
        </w:rPr>
        <w:t>承办上级交给的其他工作任务。</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二、机构设置</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从决算编报单位构成看，纳入2025年度本部门决算汇编范围的独立核算单位（以下简称“单位”）共</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个，具体情况如下：</w:t>
      </w:r>
    </w:p>
    <w:tbl>
      <w:tblPr>
        <w:tblpPr w:leftFromText="180" w:rightFromText="180" w:vertAnchor="text" w:horzAnchor="page" w:tblpXSpec="center" w:tblpY="10"/>
        <w:tblOverlap w:val="neve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5"/>
        <w:gridCol w:w="3485"/>
        <w:gridCol w:w="2445"/>
        <w:gridCol w:w="2665"/>
      </w:tblGrid>
      <w:tr>
        <w:trPr>
          <w:trHeight w:val="811"/>
        </w:trPr>
        <w:tc>
          <w:tcPr>
            <w:tcW w:w="9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序号</w:t>
            </w:r>
          </w:p>
        </w:tc>
        <w:tc>
          <w:tcPr>
            <w:tcW w:w="34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单位名称</w:t>
            </w:r>
          </w:p>
        </w:tc>
        <w:tc>
          <w:tcPr>
            <w:tcW w:w="244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单位基本性质</w:t>
            </w:r>
          </w:p>
        </w:tc>
        <w:tc>
          <w:tcPr>
            <w:tcW w:w="266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经费形式</w:t>
            </w:r>
          </w:p>
        </w:tc>
      </w:tr>
      <w:tr>
        <w:trPr>
          <w:trHeight w:val="596"/>
        </w:trPr>
        <w:tc>
          <w:tcPr>
            <w:tcW w:w="9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1</w:t>
            </w:r>
          </w:p>
        </w:tc>
        <w:tc>
          <w:tcPr>
            <w:tcW w:w="34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正定县老干部活动中心</w:t>
            </w:r>
          </w:p>
        </w:tc>
        <w:tc>
          <w:tcPr>
            <w:tcW w:w="244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4"/>
                <w:szCs w:val="24"/>
              </w:rPr>
              <w:t>财政补助事业单位</w:t>
            </w:r>
          </w:p>
        </w:tc>
        <w:tc>
          <w:tcPr>
            <w:tcW w:w="266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全额</w:t>
            </w:r>
          </w:p>
        </w:tc>
      </w:tr>
    </w:tbl>
    <w:p>
      <w:pPr>
        <w:rPr>
          <w:rFonts w:ascii="Times New Roman" w:eastAsia="黑体" w:cs="Times New Roman" w:hAnsi="Times New Roman" w:hint="eastAsia"/>
          <w:sz w:val="32"/>
          <w:szCs w:val="32"/>
          <w:highlight w:val="yellow"/>
        </w:rPr>
      </w:pPr>
      <w:r>
        <w:rPr>
          <w:rFonts w:ascii="Times New Roman" w:eastAsia="黑体" w:cs="Times New Roman" w:hAnsi="Times New Roman" w:hint="eastAsia"/>
          <w:sz w:val="32"/>
          <w:szCs w:val="32"/>
          <w:highlight w:val="yellow"/>
        </w:rPr>
        <w:br w:type="page"/>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第二部分</w:t>
      </w:r>
      <w:r>
        <w:rPr>
          <w:rFonts w:ascii="Times New Roman" w:eastAsia="仿宋_GB2312" w:hAnsi="Times New Roman"/>
          <w:b w:val="0"/>
          <w:sz w:val="44"/>
          <w:szCs w:val="44"/>
        </w:rPr>
        <w:t>2025</w:t>
      </w:r>
      <w:r>
        <w:rPr>
          <w:rFonts w:ascii="Times New Roman" w:eastAsia="黑体" w:hAnsi="Times New Roman"/>
          <w:b w:val="0"/>
          <w:sz w:val="44"/>
          <w:szCs w:val="44"/>
        </w:rPr>
        <w:t>年度部门决算表</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bidi w:val="0"/>
        <w:rPr>
          <w:lang w:val="en-US" w:eastAsia="zh-CN"/>
        </w:rPr>
      </w:pPr>
    </w:p>
    <w:p>
      <w:pPr>
        <w:bidi w:val="0"/>
        <w:rPr>
          <w:lang w:val="en-US" w:eastAsia="zh-CN"/>
        </w:rPr>
      </w:pPr>
    </w:p>
    <w:tbl>
      <w:tblPr>
        <w:jc w:val="left"/>
        <w:tblInd w:w="-1817" w:type="dxa"/>
        <w:tblW w:w="1165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rPr>
          <w:trHeight w:val="361"/>
          <w:gridAfter w:val="1"/>
          <w:wAfter w:w="34" w:type="dxa"/>
        </w:trPr>
        <w:tc>
          <w:tcPr>
            <w:tcW w:w="11625" w:type="dxa"/>
            <w:gridSpan w:val="8"/>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收入支出决算总表</w:t>
            </w:r>
          </w:p>
        </w:tc>
      </w:tr>
      <w:tr>
        <w:trPr>
          <w:trHeight w:val="357"/>
          <w:gridAfter w:val="1"/>
          <w:wAfter w:w="34" w:type="dxa"/>
        </w:trPr>
        <w:tc>
          <w:tcPr>
            <w:tcW w:w="11625" w:type="dxa"/>
            <w:gridSpan w:val="8"/>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公开</w:t>
            </w:r>
            <w:r>
              <w:rPr>
                <w:rFonts w:ascii="Times New Roman" w:eastAsia="宋体" w:cs="Times New Roman" w:hAnsi="Times New Roman" w:hint="eastAsia"/>
                <w:i w:val="0"/>
                <w:iCs w:val="0"/>
                <w:color w:val="000000"/>
                <w:sz w:val="20"/>
                <w:szCs w:val="20"/>
                <w:u w:val="none"/>
                <w:lang w:val="en-US" w:eastAsia="zh-CN"/>
                <w:highlight w:val="auto"/>
              </w:rPr>
              <w:t>01</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51"/>
          <w:gridAfter w:val="1"/>
          <w:wAfter w:w="34" w:type="dxa"/>
        </w:trPr>
        <w:tc>
          <w:tcPr>
            <w:tcW w:w="4581" w:type="dxa"/>
            <w:gridSpan w:val="3"/>
            <w:tcBorders>
              <w:top w:val="nil"/>
              <w:left w:val="nil"/>
              <w:bottom w:val="single" w:sz="8" w:space="0" w:color="000000"/>
              <w:right w:val="nil"/>
            </w:tcBorders>
            <w:vAlign w:val="bottom"/>
          </w:tcPr>
          <w:p>
            <w:pPr>
              <w:jc w:val="both"/>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部门（单位）：正定县老干部活动中心</w:t>
            </w:r>
          </w:p>
        </w:tc>
        <w:tc>
          <w:tcPr>
            <w:tcW w:w="2945" w:type="dxa"/>
            <w:gridSpan w:val="2"/>
            <w:tcBorders>
              <w:top w:val="nil"/>
              <w:left w:val="nil"/>
              <w:bottom w:val="single" w:sz="8" w:space="0" w:color="000000"/>
              <w:right w:val="nil"/>
            </w:tcBorders>
            <w:vAlign w:val="bottom"/>
          </w:tcPr>
          <w:p>
            <w:pPr>
              <w:jc w:val="center"/>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hint="eastAsia"/>
                <w:i w:val="0"/>
                <w:iCs w:val="0"/>
                <w:color w:val="000000"/>
                <w:sz w:val="20"/>
                <w:szCs w:val="20"/>
                <w:u w:val="none"/>
                <w:lang w:val="en-US" w:eastAsia="zh-CN"/>
                <w:highlight w:val="auto"/>
              </w:rPr>
              <w:t>2025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4099" w:type="dxa"/>
            <w:gridSpan w:val="3"/>
            <w:tcBorders>
              <w:top w:val="nil"/>
              <w:left w:val="nil"/>
              <w:bottom w:val="single" w:sz="8" w:space="0" w:color="000000"/>
              <w:right w:val="nil"/>
            </w:tcBorders>
            <w:vAlign w:val="bottom"/>
          </w:tcPr>
          <w:p>
            <w:pPr>
              <w:jc w:val="right"/>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44"/>
          <w:gridAfter w:val="1"/>
          <w:wAfter w:w="34" w:type="dxa"/>
        </w:trPr>
        <w:tc>
          <w:tcPr>
            <w:tcW w:w="5735"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收入</w:t>
            </w:r>
          </w:p>
        </w:tc>
        <w:tc>
          <w:tcPr>
            <w:tcW w:w="5890"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支出</w:t>
            </w:r>
          </w:p>
        </w:tc>
      </w:tr>
      <w:tr>
        <w:trPr>
          <w:trHeight w:val="308"/>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决算数</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21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决算数</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Times New Roman" w:eastAsia="宋体" w:cs="Times New Roman" w:hAnsi="Times New Roman" w:hint="eastAsia"/>
                <w:i w:val="0"/>
                <w:iCs w:val="0"/>
                <w:color w:val="000000"/>
                <w:sz w:val="20"/>
                <w:szCs w:val="20"/>
                <w:u w:val="none"/>
                <w:lang w:val="en-US" w:eastAsia="zh-CN"/>
                <w:highlight w:val="auto"/>
              </w:rPr>
              <w:t>1</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675"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21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Times New Roman" w:eastAsia="宋体" w:cs="Times New Roman" w:hAnsi="Times New Roman" w:hint="eastAsia"/>
                <w:i w:val="0"/>
                <w:iCs w:val="0"/>
                <w:color w:val="000000"/>
                <w:sz w:val="20"/>
                <w:szCs w:val="20"/>
                <w:u w:val="none"/>
                <w:lang w:val="en-US" w:eastAsia="zh-CN"/>
                <w:highlight w:val="auto"/>
              </w:rPr>
              <w:t>2</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宋体" w:eastAsia="宋体" w:cs="宋体" w:hAnsi="宋体"/>
                <w:i w:val="0"/>
                <w:iCs w:val="0"/>
                <w:color w:val="000000"/>
                <w:sz w:val="20"/>
                <w:szCs w:val="20"/>
                <w:u w:val="none"/>
                <w:lang w:val="en-US" w:eastAsia="zh-CN"/>
                <w:highlight w:val="auto"/>
              </w:rPr>
              <w:t>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一、一般公共服务支出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96.22</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二、外交支出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三、国防支出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四、上级补助收入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四、公共安全支出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五、事业收入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五、教育支出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六、经营收入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六、科学技术支出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七、附属单位上缴收入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七、文化旅游体育与传媒支出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八、其他收入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八、社会保障和就业支出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76.18</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九、卫生健康支出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40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4.51</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十、节能环保支出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十一、城乡社区支出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十二、农林水支出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539"/>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十三、交通运输支出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81"/>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十四、资源勘探工业信息等支出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780"/>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十五、商业服务业等支出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90"/>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十六、金融支出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十七、援助其他地区支出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539"/>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十八、自然资源海洋气象等支出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十九、住房保障支出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50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7.55</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二十、粮油物资储备支出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二十一、国有资本经营预算支出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二十二、灾害防治及应急管理支出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二十三、其他支出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二十四、债务还本支出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二十五、债务付息支出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二十六、抗疫特别国债安排的支出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本年收入合计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本年支出合计</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使用非财政拨款结余（含专用结余）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结余分配</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年末结转和结余</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60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30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pP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61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62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r>
      <w:tr>
        <w:trPr>
          <w:trHeight w:val="308"/>
        </w:trPr>
        <w:tc>
          <w:tcPr>
            <w:tcW w:w="11659" w:type="dxa"/>
            <w:gridSpan w:val="9"/>
            <w:tcBorders>
              <w:top w:val="nil"/>
              <w:left w:val="nil"/>
              <w:bottom w:val="nil"/>
              <w:right w:val="nil"/>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注：1.本表反映部门本年度的总收支和年末结转结余情况。</w:t>
            </w:r>
          </w:p>
          <w:p>
            <w:pPr>
              <w:keepNext w:val="0"/>
              <w:keepLines w:val="0"/>
              <w:widowControl/>
              <w:suppressLineNumbers w:val="0"/>
              <w:ind w:firstLineChars="200" w:firstLine="40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923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rPr>
          <w:trHeight w:val="550"/>
        </w:trPr>
        <w:tc>
          <w:tcPr>
            <w:tcW w:w="9230" w:type="dxa"/>
            <w:gridSpan w:val="10"/>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收入决算表</w:t>
            </w:r>
          </w:p>
        </w:tc>
      </w:tr>
      <w:tr>
        <w:trPr>
          <w:trHeight w:val="300"/>
        </w:trPr>
        <w:tc>
          <w:tcPr>
            <w:tcW w:w="9230" w:type="dxa"/>
            <w:gridSpan w:val="10"/>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hint="eastAsia"/>
                <w:i w:val="0"/>
                <w:iCs w:val="0"/>
                <w:color w:val="000000"/>
                <w:sz w:val="20"/>
                <w:szCs w:val="20"/>
                <w:u w:val="none"/>
                <w:lang w:val="en-US" w:eastAsia="zh-CN"/>
                <w:highlight w:val="auto"/>
              </w:rPr>
              <w:t>02</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237" w:type="dxa"/>
            <w:gridSpan w:val="3"/>
            <w:tcBorders>
              <w:top w:val="nil"/>
              <w:left w:val="nil"/>
              <w:bottom w:val="single" w:sz="8" w:space="0" w:color="000000"/>
              <w:right w:val="nil"/>
            </w:tcBorders>
            <w:vAlign w:val="bottom"/>
          </w:tcPr>
          <w:p>
            <w:pP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部门（单位）：正定县老干部活动中心                                                                                                         </w:t>
            </w:r>
          </w:p>
        </w:tc>
        <w:tc>
          <w:tcPr>
            <w:tcW w:w="3405" w:type="dxa"/>
            <w:gridSpan w:val="4"/>
            <w:tcBorders>
              <w:top w:val="nil"/>
              <w:left w:val="nil"/>
              <w:bottom w:val="single" w:sz="8" w:space="0" w:color="000000"/>
              <w:right w:val="nil"/>
            </w:tcBorders>
            <w:vAlign w:val="bottom"/>
          </w:tcPr>
          <w:p>
            <w:pPr>
              <w:jc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Times New Roman" w:eastAsia="方正仿宋_GB2312" w:cs="Times New Roman" w:hAnsi="Times New Roman"/>
                <w:i w:val="0"/>
                <w:iCs w:val="0"/>
                <w:color w:val="000000"/>
                <w:sz w:val="20"/>
                <w:szCs w:val="20"/>
                <w:u w:val="none"/>
                <w:lang w:val="en-US" w:eastAsia="zh-CN"/>
                <w:highlight w:val="auto"/>
              </w:rPr>
              <w:t>202</w:t>
            </w:r>
            <w:r>
              <w:rPr>
                <w:rFonts w:ascii="Times New Roman" w:eastAsia="方正仿宋_GB2312" w:cs="Times New Roman" w:hAnsi="Times New Roman" w:hint="eastAsia"/>
                <w:i w:val="0"/>
                <w:iCs w:val="0"/>
                <w:color w:val="00000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2588" w:type="dxa"/>
            <w:gridSpan w:val="3"/>
            <w:tcBorders>
              <w:top w:val="nil"/>
              <w:left w:val="nil"/>
              <w:bottom w:val="single" w:sz="8" w:space="0" w:color="000000"/>
              <w:right w:val="nil"/>
            </w:tcBorders>
            <w:vAlign w:val="bottom"/>
          </w:tcPr>
          <w:p>
            <w:pPr>
              <w:jc w:val="right"/>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10"/>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本年收入合计</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财政拨款收入</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上级补助收入</w:t>
            </w:r>
          </w:p>
        </w:tc>
        <w:tc>
          <w:tcPr>
            <w:tcW w:w="96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事业收入</w:t>
            </w:r>
          </w:p>
        </w:tc>
        <w:tc>
          <w:tcPr>
            <w:tcW w:w="964"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经营收入</w:t>
            </w:r>
          </w:p>
        </w:tc>
        <w:tc>
          <w:tcPr>
            <w:tcW w:w="10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附属单位上缴收入</w:t>
            </w:r>
          </w:p>
        </w:tc>
        <w:tc>
          <w:tcPr>
            <w:tcW w:w="96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其他收入</w:t>
            </w:r>
          </w:p>
        </w:tc>
      </w:tr>
      <w:tr>
        <w:trPr>
          <w:trHeight w:val="312"/>
        </w:trPr>
        <w:tc>
          <w:tcPr>
            <w:tcW w:w="1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16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60"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60"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454"/>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1</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2</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3</w:t>
            </w:r>
          </w:p>
        </w:tc>
        <w:tc>
          <w:tcPr>
            <w:tcW w:w="96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i w:val="0"/>
                <w:iCs w:val="0"/>
                <w:color w:val="000000"/>
                <w:sz w:val="20"/>
                <w:szCs w:val="20"/>
                <w:u w:val="none"/>
                <w:lang w:val="en-US" w:eastAsia="zh-CN"/>
                <w:highlight w:val="auto"/>
              </w:rPr>
            </w:pPr>
            <w:r>
              <w:rPr>
                <w:rFonts w:ascii="宋体" w:eastAsia="宋体" w:cs="宋体" w:hAnsi="宋体" w:hint="eastAsia"/>
                <w:i w:val="0"/>
                <w:iCs w:val="0"/>
                <w:color w:val="000000"/>
                <w:sz w:val="20"/>
                <w:szCs w:val="20"/>
                <w:u w:val="none"/>
                <w:lang w:val="en-US" w:eastAsia="zh-CN"/>
                <w:highlight w:val="auto"/>
              </w:rPr>
              <w:t>4</w:t>
            </w: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5</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6</w:t>
            </w:r>
          </w:p>
        </w:tc>
        <w:tc>
          <w:tcPr>
            <w:tcW w:w="96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7</w:t>
            </w:r>
          </w:p>
        </w:tc>
      </w:tr>
      <w:tr>
        <w:trPr>
          <w:trHeight w:val="567"/>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highlight w:val="auto"/>
              </w:rPr>
              <w:t>184.46</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highlight w:val="auto"/>
              </w:rPr>
              <w:t>184.46</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一般公共服务支出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96.22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96.22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其他共产党事务支出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96.22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96.22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2013650</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事业运行</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95.72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95.72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2013699</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其他共产党事务支出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0.50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0.50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社会保障和就业支出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76.18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76.18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行政事业单位养老支出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76.18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76.18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2080502</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事业单位离退休</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63.10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63.10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2080503</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离退休人员管理机构</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4.27</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4.27</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2080505</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机关事业单位基本养老保险缴费支出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8.81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8.81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卫生健康支出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4.51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4.51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行政事业单位医疗</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4.51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4.51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2101102</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事业单位医疗</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2.99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2.99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2101103</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公务员医疗补助</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1.52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1.52</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住房保障支出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22102</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住房改革支出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2210201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住房公积金</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7.55</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9230" w:type="dxa"/>
            <w:gridSpan w:val="10"/>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黑体" w:eastAsia="黑体" w:cs="宋体" w:hAnsi="黑体" w:hint="eastAsia"/>
          <w:bCs/>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934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rPr>
          <w:trHeight w:val="550"/>
        </w:trPr>
        <w:tc>
          <w:tcPr>
            <w:tcW w:w="9346" w:type="dxa"/>
            <w:gridSpan w:val="10"/>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br w:type="page"/>
              <w:t>支出决算表</w:t>
            </w:r>
          </w:p>
        </w:tc>
      </w:tr>
      <w:tr>
        <w:trPr>
          <w:trHeight w:val="300"/>
        </w:trPr>
        <w:tc>
          <w:tcPr>
            <w:tcW w:w="9346" w:type="dxa"/>
            <w:gridSpan w:val="10"/>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i w:val="0"/>
                <w:iCs w:val="0"/>
                <w:color w:val="000000"/>
                <w:kern w:val="0"/>
                <w:sz w:val="20"/>
                <w:szCs w:val="20"/>
                <w:u w:val="none"/>
                <w:lang w:val="en-US" w:eastAsia="zh-CN"/>
                <w:highlight w:val="auto"/>
              </w:rPr>
              <w:t>03</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481" w:type="dxa"/>
            <w:gridSpan w:val="4"/>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部门（单位）：正定县老干部活动中心 </w:t>
            </w:r>
            <w:r>
              <w:rPr>
                <w:rFonts w:ascii="宋体" w:eastAsia="宋体" w:cs="宋体" w:hint="eastAsia"/>
                <w:i w:val="0"/>
                <w:iCs w:val="0"/>
                <w:color w:val="000000"/>
                <w:kern w:val="0"/>
                <w:sz w:val="20"/>
                <w:szCs w:val="20"/>
                <w:u w:val="none"/>
                <w:lang w:val="en-US" w:eastAsia="zh-CN"/>
                <w:highlight w:val="auto"/>
              </w:rPr>
              <w:t xml:space="preserve">                                                                                                         </w:t>
            </w:r>
          </w:p>
        </w:tc>
        <w:tc>
          <w:tcPr>
            <w:tcW w:w="2623"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int="eastAsia"/>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242"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金额单位：万元</w:t>
            </w:r>
          </w:p>
        </w:tc>
      </w:tr>
      <w:tr>
        <w:trPr>
          <w:trHeight w:val="510"/>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128"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本年支出合计</w:t>
            </w:r>
          </w:p>
        </w:tc>
        <w:tc>
          <w:tcPr>
            <w:tcW w:w="1126"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11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c>
          <w:tcPr>
            <w:tcW w:w="1126"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上缴上级支出</w:t>
            </w:r>
          </w:p>
        </w:tc>
        <w:tc>
          <w:tcPr>
            <w:tcW w:w="11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经营支出</w:t>
            </w:r>
          </w:p>
        </w:tc>
        <w:tc>
          <w:tcPr>
            <w:tcW w:w="14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对附属单位补助支出</w:t>
            </w:r>
          </w:p>
        </w:tc>
      </w:tr>
      <w:tr>
        <w:trPr>
          <w:trHeight w:val="308"/>
        </w:trPr>
        <w:tc>
          <w:tcPr>
            <w:tcW w:w="1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1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87" w:type="dxa"/>
            <w:vMerge/>
            <w:tcBorders>
              <w:top w:val="single" w:sz="8" w:space="0" w:color="000000"/>
              <w:left w:val="single" w:sz="8" w:space="0" w:color="000000"/>
              <w:bottom w:val="single" w:sz="8" w:space="0" w:color="000000"/>
              <w:right w:val="single" w:sz="8" w:space="0" w:color="000000"/>
            </w:tcBorders>
            <w:vAlign w:val="center"/>
          </w:tcP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87" w:type="dxa"/>
            <w:vMerge/>
            <w:tcBorders>
              <w:top w:val="single" w:sz="8" w:space="0" w:color="000000"/>
              <w:left w:val="single" w:sz="8" w:space="0" w:color="000000"/>
              <w:bottom w:val="single" w:sz="8" w:space="0" w:color="000000"/>
              <w:right w:val="single" w:sz="8" w:space="0" w:color="000000"/>
            </w:tcBorders>
            <w:vAlign w:val="center"/>
          </w:tcP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454"/>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128"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1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1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4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r>
      <w:tr>
        <w:trPr>
          <w:trHeight w:val="308"/>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一般公共服务支出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96.22</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96.22</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96.22</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96.22</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2013650</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事业运行</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95.72</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95.72</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2013699</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0.50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0.50</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社会保障和就业支出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76.18</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76.18</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行政事业单位养老支出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76.18</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76.18</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2080502</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事业单位离退休</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63.10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63.10</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2080503</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离退休人员管理机构</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4.27</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4.27</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2080505</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机关事业单位基本养老保险缴费支出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8.81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8.81</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卫生健康支出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4.51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4.51</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行政事业单位医疗</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4.51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4.51</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2101102</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事业单位医疗</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2.99</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2.99</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2101103</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公务员医疗补助</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1.52</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1.52</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住房保障支出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住房改革支出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住房公积金</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9346" w:type="dxa"/>
            <w:gridSpan w:val="10"/>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857" w:type="dxa"/>
        <w:tblW w:w="1170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rPr>
          <w:trHeight w:val="550"/>
        </w:trPr>
        <w:tc>
          <w:tcPr>
            <w:tcW w:w="11709" w:type="dxa"/>
            <w:gridSpan w:val="11"/>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财政拨款收入支出决算总表</w:t>
            </w:r>
          </w:p>
        </w:tc>
      </w:tr>
      <w:tr>
        <w:trPr>
          <w:trHeight w:val="300"/>
        </w:trPr>
        <w:tc>
          <w:tcPr>
            <w:tcW w:w="11709" w:type="dxa"/>
            <w:gridSpan w:val="11"/>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5694" w:type="dxa"/>
            <w:gridSpan w:val="4"/>
            <w:tcBorders>
              <w:top w:val="nil"/>
              <w:left w:val="nil"/>
              <w:bottom w:val="single" w:sz="8" w:space="0" w:color="000000"/>
              <w:right w:val="nil"/>
            </w:tcBorders>
            <w:vAlign w:val="bottom"/>
          </w:tcPr>
          <w:p>
            <w:pPr>
              <w:rPr>
                <w:rFonts w:ascii="仿宋" w:eastAsia="仿宋" w:cs="仿宋" w:hAnsi="仿宋"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部门（单位）：正定县老干部活动中心 </w:t>
            </w:r>
            <w:r>
              <w:rPr>
                <w:rFonts w:ascii="宋体" w:eastAsia="宋体" w:cs="宋体" w:hint="eastAsia"/>
                <w:i w:val="0"/>
                <w:iCs w:val="0"/>
                <w:color w:val="000000"/>
                <w:kern w:val="0"/>
                <w:sz w:val="20"/>
                <w:szCs w:val="20"/>
                <w:u w:val="none"/>
                <w:lang w:val="en-US" w:eastAsia="zh-CN"/>
                <w:highlight w:val="auto"/>
              </w:rPr>
              <w:t xml:space="preserve">                                                                                                   </w:t>
            </w:r>
          </w:p>
        </w:tc>
        <w:tc>
          <w:tcPr>
            <w:tcW w:w="1521" w:type="dxa"/>
            <w:gridSpan w:val="3"/>
            <w:tcBorders>
              <w:top w:val="nil"/>
              <w:left w:val="nil"/>
              <w:bottom w:val="single" w:sz="8" w:space="0" w:color="000000"/>
              <w:right w:val="nil"/>
            </w:tcBorders>
            <w:vAlign w:val="bottom"/>
          </w:tcPr>
          <w:p>
            <w:pPr>
              <w:jc w:val="center"/>
              <w:rPr>
                <w:rFonts w:ascii="宋体" w:eastAsia="宋体" w:cs="宋体"/>
                <w:i w:val="0"/>
                <w:iCs w:val="0"/>
                <w:color w:val="000000"/>
                <w:kern w:val="0"/>
                <w:sz w:val="20"/>
                <w:szCs w:val="20"/>
                <w:u w:val="none"/>
                <w:lang w:val="en-US" w:eastAsia="zh-CN"/>
                <w:highlight w:val="auto"/>
              </w:rPr>
            </w:pPr>
            <w:r>
              <w:rPr>
                <w:rFonts w:ascii="Times New Roman"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4494" w:type="dxa"/>
            <w:gridSpan w:val="4"/>
            <w:tcBorders>
              <w:top w:val="nil"/>
              <w:left w:val="nil"/>
              <w:bottom w:val="single" w:sz="8" w:space="0" w:color="000000"/>
              <w:right w:val="nil"/>
            </w:tcBorders>
            <w:vAlign w:val="bottom"/>
          </w:tcPr>
          <w:p>
            <w:pPr>
              <w:jc w:val="right"/>
              <w:rPr>
                <w:rFonts w:ascii="宋体" w:eastAsia="宋体" w:cs="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08"/>
        </w:trPr>
        <w:tc>
          <w:tcPr>
            <w:tcW w:w="4035"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收入</w:t>
            </w:r>
          </w:p>
        </w:tc>
        <w:tc>
          <w:tcPr>
            <w:tcW w:w="7674" w:type="dxa"/>
            <w:gridSpan w:val="8"/>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支出</w:t>
            </w:r>
          </w:p>
        </w:tc>
      </w:tr>
      <w:tr>
        <w:trPr>
          <w:trHeight w:val="312"/>
        </w:trPr>
        <w:tc>
          <w:tcPr>
            <w:tcW w:w="198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    目</w:t>
            </w:r>
          </w:p>
        </w:tc>
        <w:tc>
          <w:tcPr>
            <w:tcW w:w="62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4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金额</w:t>
            </w:r>
          </w:p>
        </w:tc>
        <w:tc>
          <w:tcPr>
            <w:tcW w:w="2098"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295"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合计</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一般公共预算财政拨款</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政府性基金预算财政拨款</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国有资本经营预算财政拨款</w:t>
            </w:r>
          </w:p>
        </w:tc>
      </w:tr>
      <w:tr>
        <w:trPr>
          <w:trHeight w:val="312"/>
        </w:trPr>
        <w:tc>
          <w:tcPr>
            <w:tcW w:w="1984" w:type="dxa"/>
            <w:vMerge/>
            <w:tcBorders>
              <w:top w:val="single" w:sz="8" w:space="0" w:color="000000"/>
              <w:left w:val="single" w:sz="8" w:space="0" w:color="000000"/>
              <w:bottom w:val="single" w:sz="8" w:space="0" w:color="000000"/>
              <w:right w:val="single" w:sz="8" w:space="0" w:color="000000"/>
            </w:tcBorders>
            <w:vAlign w:val="center"/>
          </w:tcPr>
          <w:p/>
        </w:tc>
        <w:tc>
          <w:tcPr>
            <w:tcW w:w="624" w:type="dxa"/>
            <w:vMerge/>
            <w:tcBorders>
              <w:top w:val="single" w:sz="8" w:space="0" w:color="000000"/>
              <w:left w:val="single" w:sz="8" w:space="0" w:color="000000"/>
              <w:bottom w:val="single" w:sz="8" w:space="0" w:color="000000"/>
              <w:right w:val="single" w:sz="8" w:space="0" w:color="000000"/>
            </w:tcBorders>
            <w:vAlign w:val="center"/>
          </w:tcPr>
          <w:p/>
        </w:tc>
        <w:tc>
          <w:tcPr>
            <w:tcW w:w="1427" w:type="dxa"/>
            <w:vMerge/>
            <w:tcBorders>
              <w:top w:val="single" w:sz="8" w:space="0" w:color="000000"/>
              <w:left w:val="single" w:sz="8" w:space="0" w:color="000000"/>
              <w:bottom w:val="single" w:sz="8" w:space="0" w:color="000000"/>
              <w:right w:val="single" w:sz="8" w:space="0" w:color="000000"/>
            </w:tcBorders>
            <w:vAlign w:val="center"/>
          </w:tcPr>
          <w:p/>
        </w:tc>
        <w:tc>
          <w:tcPr>
            <w:tcW w:w="209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624" w:type="dxa"/>
            <w:vMerge/>
            <w:tcBorders>
              <w:top w:val="single" w:sz="8" w:space="0" w:color="000000"/>
              <w:left w:val="single" w:sz="8" w:space="0" w:color="000000"/>
              <w:bottom w:val="single" w:sz="8" w:space="0" w:color="000000"/>
              <w:right w:val="single" w:sz="8" w:space="0" w:color="000000"/>
            </w:tcBorders>
            <w:vAlign w:val="center"/>
          </w:tcPr>
          <w:p/>
        </w:tc>
        <w:tc>
          <w:tcPr>
            <w:tcW w:w="1295"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    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4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1</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    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2</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3</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4</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5</w:t>
            </w: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一、一般公共服务支出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96.22</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96.22</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二、外交支出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三、国防支出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四、公共安全支出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五、教育支出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六、科学技术支出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七、文化旅游体育与传媒支出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八、社会保障和就业支出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76.18</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76.18</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九、卫生健康支出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4.51</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4.51</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十、节能环保支出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十一、城乡社区支出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十二、农林水支出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十三、交通运输支出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十四、资源勘探工业信息等支出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十五、商业服务业等支出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6"/>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十六、金融支出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41"/>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十七、援助其他地区支出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十八、自然资源海洋气象等支出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十九、住房保障支出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7.55</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7.55</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二十、粮油物资储备支出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二十一、国有资本经营预算支出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二十二、灾害防治及应急管理支出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二十三、其他支出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二十四、债务还本支出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b/>
                <w:bCs/>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二十五、债务付息支出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二十六、抗疫特别国债安排的支出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本年收入合计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本年支出合计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年初财政拨款结转和结余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年末财政拨款结转和结余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both"/>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both"/>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cs="Times New Roman" w:hAnsi="Times New Roman"/>
                <w:sz w:val="20"/>
                <w:szCs w:val="20"/>
                <w:highlight w:val="auto"/>
              </w:rPr>
            </w:pPr>
          </w:p>
          <w:p>
            <w:pPr>
              <w:jc w:val="right"/>
              <w:rPr>
                <w:rFonts w:ascii="Times New Roman" w:cs="Times New Roman" w:hAnsi="Times New Roman"/>
                <w:sz w:val="20"/>
                <w:szCs w:val="20"/>
                <w:highlight w:val="auto"/>
              </w:rPr>
            </w:pPr>
            <w:r>
              <w:rPr>
                <w:rFonts w:ascii="Times New Roman" w:cs="Times New Roman" w:hAnsi="Times New Roman"/>
                <w:sz w:val="20"/>
                <w:szCs w:val="20"/>
                <w:highlight w:val="auto"/>
              </w:rPr>
              <w:t>184.46</w:t>
            </w:r>
          </w:p>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1709" w:type="dxa"/>
            <w:gridSpan w:val="11"/>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657" w:type="dxa"/>
        <w:tblW w:w="8697"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rPr>
          <w:trHeight w:val="657"/>
        </w:trPr>
        <w:tc>
          <w:tcPr>
            <w:tcW w:w="8697" w:type="dxa"/>
            <w:gridSpan w:val="7"/>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一般公共预算财政拨款支出决算表</w:t>
            </w:r>
          </w:p>
        </w:tc>
      </w:tr>
      <w:tr>
        <w:trPr>
          <w:trHeight w:val="329"/>
        </w:trPr>
        <w:tc>
          <w:tcPr>
            <w:tcW w:w="8697" w:type="dxa"/>
            <w:gridSpan w:val="7"/>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29"/>
        </w:trPr>
        <w:tc>
          <w:tcPr>
            <w:tcW w:w="3088" w:type="dxa"/>
            <w:gridSpan w:val="3"/>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部门（单位）：正定县老干部活动中心</w:t>
            </w:r>
          </w:p>
        </w:tc>
        <w:tc>
          <w:tcPr>
            <w:tcW w:w="2813" w:type="dxa"/>
            <w:gridSpan w:val="2"/>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i w:val="0"/>
                <w:iCs w:val="0"/>
                <w:color w:val="000000"/>
                <w:kern w:val="0"/>
                <w:sz w:val="20"/>
                <w:szCs w:val="20"/>
                <w:u w:val="none"/>
                <w:lang w:val="en-US" w:eastAsia="zh-CN"/>
                <w:highlight w:val="auto"/>
              </w:rPr>
            </w:pPr>
            <w:r>
              <w:rPr>
                <w:rFonts w:ascii="Times New Roman"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2796" w:type="dxa"/>
            <w:gridSpan w:val="2"/>
            <w:tcBorders>
              <w:top w:val="nil"/>
              <w:left w:val="nil"/>
              <w:bottom w:val="single" w:sz="8" w:space="0" w:color="000000"/>
              <w:right w:val="nil"/>
            </w:tcBorders>
            <w:vAlign w:val="bottom"/>
          </w:tcPr>
          <w:p>
            <w:pPr>
              <w:keepNext w:val="0"/>
              <w:keepLines w:val="0"/>
              <w:widowControl/>
              <w:suppressLineNumbers w:val="0"/>
              <w:jc w:val="right"/>
              <w:textAlignment w:val="bottom"/>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10"/>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352" w:type="dxa"/>
            <w:gridSpan w:val="5"/>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w:t>
            </w:r>
          </w:p>
        </w:tc>
      </w:tr>
      <w:tr>
        <w:trPr>
          <w:trHeight w:val="369"/>
        </w:trPr>
        <w:tc>
          <w:tcPr>
            <w:tcW w:w="993" w:type="dxa"/>
            <w:vMerge w:val="restart"/>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科目代码</w:t>
            </w:r>
          </w:p>
        </w:tc>
        <w:tc>
          <w:tcPr>
            <w:tcW w:w="1352"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2117"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小计</w:t>
            </w:r>
          </w:p>
        </w:tc>
        <w:tc>
          <w:tcPr>
            <w:tcW w:w="2118"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2117" w:type="dxa"/>
            <w:vMerge w:val="restart"/>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r>
      <w:tr>
        <w:trPr>
          <w:trHeight w:val="346"/>
        </w:trPr>
        <w:tc>
          <w:tcPr>
            <w:tcW w:w="993" w:type="dxa"/>
            <w:vMerge/>
            <w:tcBorders>
              <w:top w:val="single" w:sz="8" w:space="0" w:color="000000"/>
              <w:left w:val="single" w:sz="8" w:space="0" w:color="auto"/>
              <w:bottom w:val="single" w:sz="8" w:space="0" w:color="000000"/>
              <w:right w:val="single" w:sz="8" w:space="0" w:color="000000"/>
            </w:tcBorders>
            <w:vAlign w:val="center"/>
          </w:tcPr>
          <w:p/>
        </w:tc>
        <w:tc>
          <w:tcPr>
            <w:tcW w:w="1352" w:type="dxa"/>
            <w:vMerge/>
            <w:tcBorders>
              <w:top w:val="single" w:sz="8" w:space="0" w:color="000000"/>
              <w:left w:val="single" w:sz="8" w:space="0" w:color="000000"/>
              <w:bottom w:val="single" w:sz="8" w:space="0" w:color="000000"/>
              <w:right w:val="single" w:sz="8" w:space="0" w:color="000000"/>
            </w:tcBorders>
            <w:vAlign w:val="center"/>
          </w:tcPr>
          <w:p/>
        </w:tc>
        <w:tc>
          <w:tcPr>
            <w:tcW w:w="211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7" w:type="dxa"/>
            <w:vMerge/>
            <w:tcBorders>
              <w:top w:val="single" w:sz="8" w:space="0" w:color="000000"/>
              <w:left w:val="single" w:sz="8" w:space="0" w:color="000000"/>
              <w:bottom w:val="single" w:sz="8" w:space="0" w:color="000000"/>
              <w:right w:val="single" w:sz="8" w:space="0" w:color="auto"/>
            </w:tcBorders>
            <w:vAlign w:val="center"/>
          </w:tcPr>
          <w:p/>
        </w:tc>
      </w:tr>
      <w:tr>
        <w:trPr>
          <w:trHeight w:val="369"/>
        </w:trPr>
        <w:tc>
          <w:tcPr>
            <w:tcW w:w="993" w:type="dxa"/>
            <w:vMerge/>
            <w:tcBorders>
              <w:top w:val="single" w:sz="8" w:space="0" w:color="000000"/>
              <w:left w:val="single" w:sz="8" w:space="0" w:color="auto"/>
              <w:bottom w:val="single" w:sz="8" w:space="0" w:color="000000"/>
              <w:right w:val="single" w:sz="8" w:space="0" w:color="000000"/>
            </w:tcBorders>
            <w:vAlign w:val="center"/>
          </w:tcPr>
          <w:p/>
        </w:tc>
        <w:tc>
          <w:tcPr>
            <w:tcW w:w="1352" w:type="dxa"/>
            <w:vMerge/>
            <w:tcBorders>
              <w:top w:val="single" w:sz="8" w:space="0" w:color="000000"/>
              <w:left w:val="single" w:sz="8" w:space="0" w:color="000000"/>
              <w:bottom w:val="single" w:sz="8" w:space="0" w:color="000000"/>
              <w:right w:val="single" w:sz="8" w:space="0" w:color="000000"/>
            </w:tcBorders>
            <w:vAlign w:val="center"/>
          </w:tcPr>
          <w:p/>
        </w:tc>
        <w:tc>
          <w:tcPr>
            <w:tcW w:w="211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7" w:type="dxa"/>
            <w:vMerge/>
            <w:tcBorders>
              <w:top w:val="single" w:sz="8" w:space="0" w:color="000000"/>
              <w:left w:val="single" w:sz="8" w:space="0" w:color="000000"/>
              <w:bottom w:val="single" w:sz="8" w:space="0" w:color="000000"/>
              <w:right w:val="single" w:sz="8" w:space="0" w:color="auto"/>
            </w:tcBorders>
            <w:vAlign w:val="center"/>
          </w:tcPr>
          <w:p/>
        </w:tc>
      </w:tr>
      <w:tr>
        <w:trPr>
          <w:trHeight w:val="369"/>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2</w:t>
            </w:r>
          </w:p>
        </w:tc>
        <w:tc>
          <w:tcPr>
            <w:tcW w:w="2117" w:type="dxa"/>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3</w:t>
            </w:r>
          </w:p>
        </w:tc>
      </w:tr>
      <w:tr>
        <w:trPr>
          <w:trHeight w:val="369"/>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184.46</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一般公共服务支出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96.22</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96.22</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96.22</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96.22</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2013650</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事业运行</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95.72</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95.72</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2013699</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0.50</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0.50</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社会保障和就业支出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76.18</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76.18</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行政事业单位养老支出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76.18</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76.18</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2080502</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事业单位离退休</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63.10</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63.10</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2080503</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离退休人员管理机构</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4.27</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4.27</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2080505</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机关事业单位基本养老保险缴费支出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8.81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8.81</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卫生健康支出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4.51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4.51</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行政事业单位医疗</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4.51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4.51</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2101102</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事业单位医疗</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2.99</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2.99</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2101103</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公务员医疗补助</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1.52</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1.52</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住房保障支出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住房改革支出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住房公积金</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7.55</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8697" w:type="dxa"/>
            <w:gridSpan w:val="7"/>
            <w:tcBorders>
              <w:top w:val="single" w:sz="8" w:space="0" w:color="000000"/>
              <w:left w:val="nil"/>
              <w:bottom w:val="nil"/>
              <w:right w:val="nil"/>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11601"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center"/>
              <w:textAlignment w:val="bottom"/>
              <w:rPr>
                <w:rFonts w:ascii="方正仿宋_GB2312" w:eastAsia="方正仿宋_GB2312" w:cs="方正仿宋_GB2312" w:hAnsi="方正仿宋_GB2312"/>
                <w:i w:val="0"/>
                <w:iCs w:val="0"/>
                <w:color w:val="000000"/>
                <w:sz w:val="32"/>
                <w:szCs w:val="32"/>
                <w:u w:val="none"/>
              </w:rPr>
            </w:pPr>
            <w:r>
              <w:rPr>
                <w:rFonts w:ascii="方正仿宋_GB2312" w:eastAsia="方正仿宋_GB2312" w:cs="方正仿宋_GB2312" w:hAnsi="方正仿宋_GB2312" w:hint="eastAsia"/>
                <w:i w:val="0"/>
                <w:iCs w:val="0"/>
                <w:color w:val="000000"/>
                <w:kern w:val="0"/>
                <w:sz w:val="32"/>
                <w:szCs w:val="32"/>
                <w:u w:val="none"/>
                <w:lang w:val="en-US" w:eastAsia="zh-CN"/>
              </w:rPr>
              <w:t>一般公共预算财政拨款基本支出决算明细表</w:t>
            </w:r>
          </w:p>
        </w:tc>
      </w:tr>
      <w:t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right"/>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公开</w:t>
            </w:r>
            <w:r>
              <w:rPr>
                <w:rFonts w:ascii="Times New Roman" w:eastAsia="方正仿宋_GB2312" w:cs="Times New Roman" w:hAnsi="Times New Roman"/>
                <w:i w:val="0"/>
                <w:iCs w:val="0"/>
                <w:color w:val="000000"/>
                <w:kern w:val="0"/>
                <w:sz w:val="18"/>
                <w:szCs w:val="18"/>
                <w:u w:val="none"/>
                <w:lang w:val="en-US" w:eastAsia="zh-CN"/>
              </w:rPr>
              <w:t>06</w:t>
            </w:r>
            <w:r>
              <w:rPr>
                <w:rStyle w:val="27"/>
                <w:lang w:val="en-US" w:eastAsia="zh-CN"/>
              </w:rPr>
              <w:t>表</w:t>
            </w:r>
          </w:p>
        </w:tc>
      </w:tr>
      <w:tr>
        <w:tc>
          <w:tcPr>
            <w:tcW w:w="5615" w:type="dxa"/>
            <w:gridSpan w:val="6"/>
            <w:tcBorders>
              <w:top w:val="nil"/>
              <w:left w:val="nil"/>
              <w:bottom w:val="single" w:sz="8" w:space="0" w:color="000000"/>
              <w:right w:val="nil"/>
            </w:tcBorders>
            <w:shd w:val="clear" w:color="auto" w:fill="auto"/>
            <w:vAlign w:val="bottom"/>
          </w:tcPr>
          <w:p>
            <w:pPr>
              <w:keepNext w:val="0"/>
              <w:keepLines w:val="0"/>
              <w:widowControl/>
              <w:suppressLineNumbers w:val="0"/>
              <w:snapToGrid w:val="0"/>
              <w:jc w:val="both"/>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部门（单位）：正定县老干部活动中心 </w:t>
            </w:r>
            <w:r>
              <w:rPr>
                <w:rFonts w:ascii="宋体" w:eastAsia="宋体" w:cs="宋体" w:hAnsi="宋体" w:hint="eastAsia"/>
                <w:i w:val="0"/>
                <w:iCs w:val="0"/>
                <w:color w:val="000000"/>
                <w:kern w:val="0"/>
                <w:sz w:val="18"/>
                <w:szCs w:val="18"/>
                <w:u w:val="none"/>
                <w:lang w:val="en-US" w:eastAsia="zh-CN"/>
              </w:rPr>
              <w:t xml:space="preserve">                                                                   </w:t>
            </w:r>
          </w:p>
        </w:tc>
        <w:tc>
          <w:tcPr>
            <w:tcW w:w="1774" w:type="dxa"/>
            <w:tcBorders>
              <w:top w:val="nil"/>
              <w:left w:val="nil"/>
              <w:bottom w:val="single" w:sz="8" w:space="0" w:color="000000"/>
              <w:right w:val="nil"/>
            </w:tcBorders>
            <w:shd w:val="clear" w:color="auto" w:fill="auto"/>
            <w:vAlign w:val="bottom"/>
          </w:tcPr>
          <w:p>
            <w:pPr>
              <w:keepNext w:val="0"/>
              <w:keepLines w:val="0"/>
              <w:widowControl/>
              <w:suppressLineNumbers w:val="0"/>
              <w:snapToGrid w:val="0"/>
              <w:jc w:val="center"/>
              <w:textAlignment w:val="bottom"/>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2025</w:t>
            </w:r>
            <w:r>
              <w:rPr>
                <w:rStyle w:val="27"/>
                <w:lang w:val="en-US" w:eastAsia="zh-CN"/>
              </w:rPr>
              <w:t>年度</w:t>
            </w:r>
          </w:p>
        </w:tc>
        <w:tc>
          <w:tcPr>
            <w:tcW w:w="4212" w:type="dxa"/>
            <w:gridSpan w:val="3"/>
            <w:tcBorders>
              <w:top w:val="nil"/>
              <w:left w:val="nil"/>
              <w:bottom w:val="single" w:sz="8" w:space="0" w:color="000000"/>
              <w:right w:val="nil"/>
            </w:tcBorders>
            <w:shd w:val="clear" w:color="auto" w:fill="auto"/>
            <w:vAlign w:val="bottom"/>
          </w:tcPr>
          <w:p>
            <w:pPr>
              <w:keepNext w:val="0"/>
              <w:keepLines w:val="0"/>
              <w:widowControl/>
              <w:suppressLineNumbers w:val="0"/>
              <w:snapToGrid w:val="0"/>
              <w:jc w:val="right"/>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金额单位：万元</w:t>
            </w:r>
          </w:p>
        </w:tc>
      </w:tr>
      <w:tr>
        <w:tc>
          <w:tcPr>
            <w:tcW w:w="3894" w:type="dxa"/>
            <w:gridSpan w:val="3"/>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人员经费</w:t>
            </w:r>
          </w:p>
        </w:tc>
        <w:tc>
          <w:tcPr>
            <w:tcW w:w="7707" w:type="dxa"/>
            <w:gridSpan w:val="7"/>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公用经费</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89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055" w:type="dxa"/>
            <w:gridSpan w:val="2"/>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774"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650"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89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工资福利支出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100.71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商品和服务支出</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14.93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债务利息及费用支出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基本工资</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28.59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30201</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办公费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1.98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30701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国内债务付息</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津贴补贴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4.53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印刷费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30702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国外债务付息</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奖金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手续费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资本性支出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0.53</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30106</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伙食补助费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水费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0.74</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房屋建筑物购建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30107</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绩效工资</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41.53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电费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1.60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办公设备购置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0.53</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30108</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机关事业单位基本养老保险缴费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8.99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邮电费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0.30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31003</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专用设备购置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职业年金缴费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取暖费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7.28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31005</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基础设施建设</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30110</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职工基本医疗保险缴费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2.99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30209</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物业管理费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31006</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大型修缮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公务员医疗补助缴费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1.52</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30211</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差旅费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信息网络及软件购置更新</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其他社会保障缴费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0.50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因公出国（境）费用</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31008</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物资储备</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住房公积金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7.55</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30213</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维修（护）费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0.13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土地补偿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297"/>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30114</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医疗费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租赁费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安置补助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05"/>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30199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其他工资福利支出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4.51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会议费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地上附着物和青苗补偿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对个人和家庭的补助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68.30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培训费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拆迁补偿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离休费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31.90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公务接待费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31013</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公务用车购置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退休费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32.12</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专用材料费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其他交通工具购置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退职（役）费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被装购置费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31021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文物和陈列品购置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30304</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抚恤金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专用燃料费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31022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无形资产购置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530"/>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30305</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生活补助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4.27</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劳务费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其他资本性支出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05"/>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30306</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救济费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委托业务费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36"/>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30307</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医疗费补助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工会经费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0.49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国家赔偿费用支出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90"/>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30308</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助学金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30229</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福利费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1.31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39908</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对民间非营利组织和群众性自治组织补贴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奖励金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30231</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公务用车运行维护费</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1.10</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经常性赠与</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30310</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个人农业生产补贴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30239</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其他交通费用</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资本性赠与</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30311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代缴社会保险费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30240</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税金及附加费用</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30399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其他对个人和家庭的补助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30299</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其他商品和服务支出</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snapToGrid w:val="0"/>
              <w:jc w:val="center"/>
              <w:rPr>
                <w:rFonts w:ascii="Times New Roman" w:eastAsia="宋体" w:cs="Times New Roman" w:hAnsi="Times New Roman"/>
                <w:i w:val="0"/>
                <w:iCs w:val="0"/>
                <w:color w:val="000000"/>
                <w:sz w:val="18"/>
                <w:szCs w:val="18"/>
                <w:u w:val="none"/>
              </w:rPr>
            </w:pPr>
          </w:p>
        </w:tc>
        <w:tc>
          <w:tcPr>
            <w:tcW w:w="1650" w:type="dxa"/>
            <w:tcBorders>
              <w:top w:val="nil"/>
              <w:left w:val="nil"/>
              <w:bottom w:val="single" w:sz="8" w:space="0" w:color="000000"/>
              <w:right w:val="single" w:sz="8" w:space="0" w:color="000000"/>
            </w:tcBorders>
            <w:shd w:val="clear" w:color="auto" w:fill="auto"/>
            <w:vAlign w:val="center"/>
          </w:tcPr>
          <w:p>
            <w:pPr>
              <w:snapToGrid w:val="0"/>
              <w:jc w:val="left"/>
              <w:rPr>
                <w:rFonts w:ascii="方正仿宋_GB2312" w:eastAsia="方正仿宋_GB2312" w:cs="方正仿宋_GB2312" w:hAnsi="方正仿宋_GB2312" w:hint="eastAsia"/>
                <w:i w:val="0"/>
                <w:iCs w:val="0"/>
                <w:color w:val="000000"/>
                <w:sz w:val="18"/>
                <w:szCs w:val="18"/>
                <w:u w:val="none"/>
              </w:rPr>
            </w:pPr>
          </w:p>
        </w:tc>
        <w:tc>
          <w:tcPr>
            <w:tcW w:w="1896" w:type="dxa"/>
            <w:tcBorders>
              <w:top w:val="nil"/>
              <w:left w:val="nil"/>
              <w:bottom w:val="single" w:sz="8" w:space="0" w:color="000000"/>
              <w:right w:val="single" w:sz="8" w:space="0" w:color="000000"/>
            </w:tcBorders>
            <w:shd w:val="clear" w:color="auto" w:fill="auto"/>
            <w:vAlign w:val="center"/>
          </w:tcPr>
          <w:p>
            <w:pPr>
              <w:snapToGrid w:val="0"/>
              <w:jc w:val="right"/>
              <w:rPr>
                <w:rFonts w:ascii="Times New Roman" w:eastAsia="宋体" w:cs="Times New Roman" w:hAnsi="Times New Roman"/>
                <w:i w:val="0"/>
                <w:iCs w:val="0"/>
                <w:color w:val="000000"/>
                <w:sz w:val="18"/>
                <w:szCs w:val="18"/>
                <w:u w:val="none"/>
              </w:rPr>
            </w:pPr>
          </w:p>
        </w:tc>
      </w:tr>
      <w:tr>
        <w:tc>
          <w:tcPr>
            <w:tcW w:w="1998" w:type="dxa"/>
            <w:gridSpan w:val="2"/>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人员经费合计</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169.01</w:t>
            </w:r>
          </w:p>
        </w:tc>
        <w:tc>
          <w:tcPr>
            <w:tcW w:w="5811" w:type="dxa"/>
            <w:gridSpan w:val="6"/>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公用经费合计</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15.46</w:t>
            </w:r>
          </w:p>
        </w:tc>
      </w:tr>
      <w:tr>
        <w:tc>
          <w:tcPr>
            <w:tcW w:w="11601" w:type="dxa"/>
            <w:gridSpan w:val="10"/>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404" w:type="dxa"/>
        <w:tblW w:w="1048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rPr>
          <w:trHeight w:val="550"/>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政府性基金预算财政拨款收入支出决算表</w:t>
            </w:r>
          </w:p>
        </w:tc>
      </w:tr>
      <w:tr>
        <w:trPr>
          <w:trHeight w:val="90"/>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i w:val="0"/>
                <w:iCs w:val="0"/>
                <w:color w:val="000000"/>
                <w:kern w:val="0"/>
                <w:sz w:val="20"/>
                <w:szCs w:val="20"/>
                <w:u w:val="none"/>
                <w:lang w:val="en-US" w:eastAsia="zh-CN"/>
                <w:highlight w:val="auto"/>
              </w:rPr>
              <w:t>07</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4040" w:type="dxa"/>
            <w:gridSpan w:val="3"/>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部门（单位）：正定县老干部活动中心 </w:t>
            </w:r>
            <w:r>
              <w:rPr>
                <w:rFonts w:ascii="宋体" w:eastAsia="宋体" w:cs="宋体" w:hAnsi="宋体" w:hint="eastAsia"/>
                <w:i w:val="0"/>
                <w:iCs w:val="0"/>
                <w:color w:val="000000"/>
                <w:kern w:val="0"/>
                <w:sz w:val="20"/>
                <w:szCs w:val="20"/>
                <w:u w:val="none"/>
                <w:lang w:val="en-US" w:eastAsia="zh-CN"/>
                <w:highlight w:val="auto"/>
              </w:rPr>
              <w:t xml:space="preserve">                                                                                     </w:t>
            </w:r>
          </w:p>
        </w:tc>
        <w:tc>
          <w:tcPr>
            <w:tcW w:w="2552"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eastAsia="宋体"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888"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08"/>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30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年初结转和结余</w:t>
            </w:r>
          </w:p>
        </w:tc>
        <w:tc>
          <w:tcPr>
            <w:tcW w:w="10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本年收入</w:t>
            </w:r>
          </w:p>
        </w:tc>
        <w:tc>
          <w:tcPr>
            <w:tcW w:w="3373"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w:t>
            </w:r>
          </w:p>
        </w:tc>
        <w:tc>
          <w:tcPr>
            <w:tcW w:w="2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年末结转和结余</w:t>
            </w:r>
          </w:p>
        </w:tc>
      </w:tr>
      <w:tr>
        <w:trPr>
          <w:trHeight w:val="312"/>
        </w:trPr>
        <w:tc>
          <w:tcPr>
            <w:tcW w:w="126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47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小计</w:t>
            </w:r>
          </w:p>
        </w:tc>
        <w:tc>
          <w:tcPr>
            <w:tcW w:w="1120"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114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260" w:type="dxa"/>
            <w:vMerge/>
            <w:tcBorders>
              <w:top w:val="single" w:sz="8" w:space="0" w:color="000000"/>
              <w:left w:val="single" w:sz="8" w:space="0" w:color="000000"/>
              <w:bottom w:val="single" w:sz="8" w:space="0" w:color="000000"/>
              <w:right w:val="single" w:sz="8" w:space="0" w:color="000000"/>
            </w:tcBorders>
            <w:vAlign w:val="center"/>
          </w:tcPr>
          <w:p/>
        </w:tc>
        <w:tc>
          <w:tcPr>
            <w:tcW w:w="1474" w:type="dxa"/>
            <w:vMerge/>
            <w:tcBorders>
              <w:top w:val="single" w:sz="8" w:space="0" w:color="000000"/>
              <w:left w:val="single" w:sz="8" w:space="0" w:color="000000"/>
              <w:bottom w:val="single" w:sz="8" w:space="0" w:color="000000"/>
              <w:right w:val="single" w:sz="8" w:space="0" w:color="000000"/>
            </w:tcBorders>
            <w:vAlign w:val="center"/>
          </w:tcP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tcBorders>
              <w:top w:val="single" w:sz="8" w:space="0" w:color="000000"/>
              <w:left w:val="single" w:sz="8" w:space="0" w:color="000000"/>
              <w:bottom w:val="single" w:sz="8" w:space="0" w:color="000000"/>
              <w:right w:val="single" w:sz="8" w:space="0" w:color="000000"/>
            </w:tcBorders>
            <w:vAlign w:val="center"/>
          </w:tcPr>
          <w:p/>
        </w:tc>
        <w:tc>
          <w:tcPr>
            <w:tcW w:w="112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46" w:type="dxa"/>
            <w:vMerge/>
            <w:tcBorders>
              <w:top w:val="single" w:sz="8" w:space="0" w:color="000000"/>
              <w:left w:val="single" w:sz="8" w:space="0" w:color="000000"/>
              <w:bottom w:val="single" w:sz="8" w:space="0" w:color="000000"/>
              <w:right w:val="single" w:sz="8" w:space="0" w:color="000000"/>
            </w:tcBorders>
            <w:vAlign w:val="center"/>
          </w:tcP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260" w:type="dxa"/>
            <w:vMerge/>
            <w:tcBorders>
              <w:top w:val="single" w:sz="8" w:space="0" w:color="000000"/>
              <w:left w:val="single" w:sz="8" w:space="0" w:color="000000"/>
              <w:bottom w:val="single" w:sz="8" w:space="0" w:color="000000"/>
              <w:right w:val="single" w:sz="8" w:space="0" w:color="000000"/>
            </w:tcBorders>
            <w:vAlign w:val="center"/>
          </w:tcPr>
          <w:p/>
        </w:tc>
        <w:tc>
          <w:tcPr>
            <w:tcW w:w="1474" w:type="dxa"/>
            <w:vMerge/>
            <w:tcBorders>
              <w:top w:val="single" w:sz="8" w:space="0" w:color="000000"/>
              <w:left w:val="single" w:sz="8" w:space="0" w:color="000000"/>
              <w:bottom w:val="single" w:sz="8" w:space="0" w:color="000000"/>
              <w:right w:val="single" w:sz="8" w:space="0" w:color="000000"/>
            </w:tcBorders>
            <w:vAlign w:val="center"/>
          </w:tcP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tcBorders>
              <w:top w:val="single" w:sz="8" w:space="0" w:color="000000"/>
              <w:left w:val="single" w:sz="8" w:space="0" w:color="000000"/>
              <w:bottom w:val="single" w:sz="8" w:space="0" w:color="000000"/>
              <w:right w:val="single" w:sz="8" w:space="0" w:color="000000"/>
            </w:tcBorders>
            <w:vAlign w:val="center"/>
          </w:tcPr>
          <w:p/>
        </w:tc>
        <w:tc>
          <w:tcPr>
            <w:tcW w:w="112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46" w:type="dxa"/>
            <w:vMerge/>
            <w:tcBorders>
              <w:top w:val="single" w:sz="8" w:space="0" w:color="000000"/>
              <w:left w:val="single" w:sz="8" w:space="0" w:color="000000"/>
              <w:bottom w:val="single" w:sz="8" w:space="0" w:color="000000"/>
              <w:right w:val="single" w:sz="8" w:space="0" w:color="000000"/>
            </w:tcBorders>
            <w:vAlign w:val="center"/>
          </w:tcP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30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1</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2</w:t>
            </w:r>
          </w:p>
        </w:tc>
        <w:tc>
          <w:tcPr>
            <w:tcW w:w="110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3</w:t>
            </w:r>
          </w:p>
        </w:tc>
        <w:tc>
          <w:tcPr>
            <w:tcW w:w="112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4</w:t>
            </w:r>
          </w:p>
        </w:tc>
        <w:tc>
          <w:tcPr>
            <w:tcW w:w="11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5</w:t>
            </w:r>
          </w:p>
        </w:tc>
        <w:tc>
          <w:tcPr>
            <w:tcW w:w="20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lang w:val="en-US" w:eastAsia="zh-CN"/>
                <w:highlight w:val="auto"/>
              </w:rPr>
            </w:pPr>
            <w:r>
              <w:rPr>
                <w:rFonts w:ascii="Times New Roman" w:eastAsia="方正仿宋_GB2312" w:cs="Times New Roman" w:hAnsi="Times New Roman"/>
                <w:i w:val="0"/>
                <w:iCs w:val="0"/>
                <w:color w:val="000000"/>
                <w:sz w:val="20"/>
                <w:szCs w:val="20"/>
                <w:u w:val="none"/>
                <w:lang w:val="en-US" w:eastAsia="zh-CN"/>
                <w:highlight w:val="auto"/>
              </w:rPr>
              <w:t>6</w:t>
            </w:r>
          </w:p>
        </w:tc>
      </w:tr>
      <w:tr>
        <w:trPr>
          <w:trHeight w:val="869"/>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30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0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0"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40"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80" w:type="dxa"/>
            <w:gridSpan w:val="9"/>
            <w:tcBorders>
              <w:top w:val="single" w:sz="8" w:space="0" w:color="000000"/>
              <w:left w:val="nil"/>
              <w:bottom w:val="nil"/>
              <w:right w:val="nil"/>
            </w:tcBorders>
            <w:vAlign w:val="center"/>
          </w:tcPr>
          <w:p>
            <w:pP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注：本表反映部门本年度政府性基金预算财政拨款收入、支出及结转和结余情况。我单位本年度无相关数据，空表列示</w:t>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976" w:type="dxa"/>
        <w:tblW w:w="942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rPr>
          <w:trHeight w:val="550"/>
        </w:trPr>
        <w:tc>
          <w:tcPr>
            <w:tcW w:w="9428" w:type="dxa"/>
            <w:gridSpan w:val="9"/>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国有资本经营预算财政拨款支出决算表</w:t>
            </w:r>
          </w:p>
        </w:tc>
      </w:tr>
      <w:tr>
        <w:trPr>
          <w:trHeight w:val="300"/>
        </w:trPr>
        <w:tc>
          <w:tcPr>
            <w:tcW w:w="9428" w:type="dxa"/>
            <w:gridSpan w:val="9"/>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08</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724" w:type="dxa"/>
            <w:gridSpan w:val="2"/>
            <w:tcBorders>
              <w:top w:val="nil"/>
              <w:left w:val="nil"/>
              <w:bottom w:val="single" w:sz="8" w:space="0" w:color="000000"/>
              <w:right w:val="nil"/>
            </w:tcBorders>
            <w:vAlign w:val="bottom"/>
          </w:tcPr>
          <w:p>
            <w:pPr>
              <w:keepNext w:val="0"/>
              <w:keepLines w:val="0"/>
              <w:widowControl/>
              <w:suppressLineNumbers w:val="0"/>
              <w:jc w:val="both"/>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部门（单位）：正定县老干部活动中心</w:t>
            </w:r>
          </w:p>
        </w:tc>
        <w:tc>
          <w:tcPr>
            <w:tcW w:w="2680" w:type="dxa"/>
            <w:gridSpan w:val="4"/>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eastAsia="宋体"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024"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12"/>
        </w:trPr>
        <w:tc>
          <w:tcPr>
            <w:tcW w:w="5020" w:type="dxa"/>
            <w:gridSpan w:val="3"/>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项目</w:t>
            </w:r>
          </w:p>
        </w:tc>
        <w:tc>
          <w:tcPr>
            <w:tcW w:w="4408" w:type="dxa"/>
            <w:gridSpan w:val="6"/>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本年支出</w:t>
            </w:r>
          </w:p>
        </w:tc>
      </w:tr>
      <w:tr>
        <w:trPr>
          <w:trHeight w:val="312"/>
        </w:trPr>
        <w:tc>
          <w:tcPr>
            <w:tcW w:w="5020" w:type="dxa"/>
            <w:gridSpan w:val="3"/>
            <w:vMerge/>
            <w:tcBorders>
              <w:top w:val="single" w:sz="8" w:space="0" w:color="000000"/>
              <w:left w:val="single" w:sz="8" w:space="0" w:color="000000"/>
              <w:bottom w:val="single" w:sz="8" w:space="0" w:color="000000"/>
              <w:right w:val="single" w:sz="8" w:space="0" w:color="000000"/>
            </w:tcBorders>
            <w:vAlign w:val="center"/>
          </w:tcPr>
          <w:p/>
        </w:tc>
        <w:tc>
          <w:tcPr>
            <w:tcW w:w="4408" w:type="dxa"/>
            <w:gridSpan w:val="6"/>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2993" w:type="dxa"/>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2027" w:type="dxa"/>
            <w:gridSpan w:val="2"/>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科目名称</w:t>
            </w:r>
          </w:p>
        </w:tc>
        <w:tc>
          <w:tcPr>
            <w:tcW w:w="1337" w:type="dxa"/>
            <w:gridSpan w:val="2"/>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合计</w:t>
            </w:r>
          </w:p>
        </w:tc>
        <w:tc>
          <w:tcPr>
            <w:tcW w:w="1338" w:type="dxa"/>
            <w:gridSpan w:val="3"/>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基本支出</w:t>
            </w:r>
          </w:p>
        </w:tc>
        <w:tc>
          <w:tcPr>
            <w:tcW w:w="1733" w:type="dxa"/>
            <w:vMerge w:val="restart"/>
            <w:tcBorders>
              <w:top w:val="single" w:sz="8" w:space="0" w:color="000000"/>
              <w:left w:val="single" w:sz="8" w:space="0" w:color="000000"/>
              <w:bottom w:val="single" w:sz="8" w:space="0" w:color="000000"/>
              <w:right w:val="single" w:sz="4"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项目支出</w:t>
            </w:r>
          </w:p>
        </w:tc>
      </w:tr>
      <w:tr>
        <w:trPr>
          <w:trHeight w:val="312"/>
        </w:trPr>
        <w:tc>
          <w:tcPr>
            <w:tcW w:w="2993" w:type="dxa"/>
            <w:vMerge/>
            <w:tcBorders>
              <w:top w:val="single" w:sz="8" w:space="0" w:color="000000"/>
              <w:left w:val="single" w:sz="8" w:space="0" w:color="000000"/>
              <w:bottom w:val="single" w:sz="8" w:space="0" w:color="000000"/>
              <w:right w:val="single" w:sz="8" w:space="0" w:color="000000"/>
            </w:tcBorders>
            <w:vAlign w:val="center"/>
          </w:tcPr>
          <w:p/>
        </w:tc>
        <w:tc>
          <w:tcPr>
            <w:tcW w:w="202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33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338" w:type="dxa"/>
            <w:gridSpan w:val="3"/>
            <w:vMerge/>
            <w:tcBorders>
              <w:top w:val="single" w:sz="8" w:space="0" w:color="000000"/>
              <w:left w:val="single" w:sz="8" w:space="0" w:color="000000"/>
              <w:bottom w:val="single" w:sz="8" w:space="0" w:color="000000"/>
              <w:right w:val="single" w:sz="8" w:space="0" w:color="000000"/>
            </w:tcBorders>
            <w:vAlign w:val="center"/>
          </w:tcPr>
          <w:p/>
        </w:tc>
        <w:tc>
          <w:tcPr>
            <w:tcW w:w="1733" w:type="dxa"/>
            <w:vMerge/>
            <w:tcBorders>
              <w:top w:val="single" w:sz="8" w:space="0" w:color="000000"/>
              <w:left w:val="single" w:sz="8" w:space="0" w:color="000000"/>
              <w:bottom w:val="single" w:sz="8" w:space="0" w:color="000000"/>
              <w:right w:val="single" w:sz="4" w:space="0" w:color="000000"/>
            </w:tcBorders>
            <w:vAlign w:val="center"/>
          </w:tcPr>
          <w:p/>
        </w:tc>
      </w:tr>
      <w:tr>
        <w:trPr>
          <w:trHeight w:val="308"/>
        </w:trPr>
        <w:tc>
          <w:tcPr>
            <w:tcW w:w="5020"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栏次</w:t>
            </w:r>
          </w:p>
        </w:tc>
        <w:tc>
          <w:tcPr>
            <w:tcW w:w="1332"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1</w:t>
            </w:r>
          </w:p>
        </w:tc>
        <w:tc>
          <w:tcPr>
            <w:tcW w:w="1333"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2</w:t>
            </w:r>
          </w:p>
        </w:tc>
        <w:tc>
          <w:tcPr>
            <w:tcW w:w="1743" w:type="dxa"/>
            <w:gridSpan w:val="2"/>
            <w:tcBorders>
              <w:top w:val="single" w:sz="8" w:space="0" w:color="000000"/>
              <w:left w:val="single" w:sz="8" w:space="0" w:color="000000"/>
              <w:bottom w:val="single" w:sz="8" w:space="0" w:color="000000"/>
              <w:right w:val="single" w:sz="4"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3</w:t>
            </w:r>
          </w:p>
        </w:tc>
      </w:tr>
      <w:tr>
        <w:trPr>
          <w:trHeight w:val="308"/>
        </w:trPr>
        <w:tc>
          <w:tcPr>
            <w:tcW w:w="5020" w:type="dxa"/>
            <w:gridSpan w:val="3"/>
            <w:tcBorders>
              <w:top w:val="single" w:sz="8" w:space="0" w:color="000000"/>
              <w:left w:val="single" w:sz="8" w:space="0" w:color="000000"/>
              <w:bottom w:val="single" w:sz="8" w:space="0" w:color="000000"/>
              <w:right w:val="single" w:sz="8" w:space="0" w:color="000000"/>
            </w:tcBorders>
            <w:vAlign w:val="center"/>
          </w:tcPr>
          <w:p>
            <w:pPr>
              <w:jc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合计</w:t>
            </w:r>
          </w:p>
        </w:tc>
        <w:tc>
          <w:tcPr>
            <w:tcW w:w="1332"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333" w:type="dxa"/>
            <w:gridSpan w:val="3"/>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743" w:type="dxa"/>
            <w:gridSpan w:val="2"/>
            <w:tcBorders>
              <w:top w:val="single" w:sz="8" w:space="0" w:color="000000"/>
              <w:left w:val="single" w:sz="8" w:space="0" w:color="000000"/>
              <w:bottom w:val="single" w:sz="8" w:space="0" w:color="000000"/>
              <w:right w:val="single" w:sz="4"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9428" w:type="dxa"/>
            <w:gridSpan w:val="9"/>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注：本表反映部门本年度国有资本经营预算财政拨款支出情况。我单位本年度无相关数据，空表列示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tblpPr w:leftFromText="180" w:rightFromText="180" w:vertAnchor="text" w:horzAnchor="page" w:tblpX="282" w:tblpY="39"/>
        <w:tblOverlap w:val="never"/>
        <w:tblW w:w="1159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rPr>
          <w:trHeight w:val="550"/>
        </w:trPr>
        <w:tc>
          <w:tcPr>
            <w:tcW w:w="11596" w:type="dxa"/>
            <w:gridSpan w:val="14"/>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财政拨款“三公”经费支出决算表</w:t>
            </w:r>
          </w:p>
        </w:tc>
      </w:tr>
      <w:tr>
        <w:trPr>
          <w:trHeight w:val="260"/>
        </w:trPr>
        <w:tc>
          <w:tcPr>
            <w:tcW w:w="11596" w:type="dxa"/>
            <w:gridSpan w:val="14"/>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公开</w:t>
            </w:r>
            <w:r>
              <w:rPr>
                <w:rFonts w:ascii="Times New Roman" w:eastAsia="方正仿宋_GB2312" w:cs="Times New Roman" w:hAnsi="Times New Roman"/>
                <w:i w:val="0"/>
                <w:iCs w:val="0"/>
                <w:color w:val="000000"/>
                <w:kern w:val="0"/>
                <w:sz w:val="18"/>
                <w:szCs w:val="18"/>
                <w:u w:val="none"/>
                <w:lang w:val="en-US" w:eastAsia="zh-CN"/>
                <w:highlight w:val="auto"/>
              </w:rPr>
              <w:t>09</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表</w:t>
            </w:r>
          </w:p>
        </w:tc>
      </w:tr>
      <w:tr>
        <w:trPr>
          <w:trHeight w:val="260"/>
        </w:trPr>
        <w:tc>
          <w:tcPr>
            <w:tcW w:w="4492" w:type="dxa"/>
            <w:gridSpan w:val="5"/>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部门（单位）：正定县老干部活动中心</w:t>
            </w:r>
          </w:p>
        </w:tc>
        <w:tc>
          <w:tcPr>
            <w:tcW w:w="2166"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18"/>
                <w:szCs w:val="18"/>
                <w:u w:val="none"/>
                <w:lang w:val="en-US" w:eastAsia="zh-CN"/>
                <w:highlight w:val="auto"/>
              </w:rPr>
            </w:pPr>
            <w:r>
              <w:rPr>
                <w:rFonts w:ascii="Times New Roman" w:eastAsia="宋体" w:cs="Times New Roman" w:hAnsi="Times New Roman"/>
                <w:i w:val="0"/>
                <w:iCs w:val="0"/>
                <w:color w:val="000000"/>
                <w:kern w:val="0"/>
                <w:sz w:val="18"/>
                <w:szCs w:val="18"/>
                <w:u w:val="none"/>
                <w:lang w:val="en-US" w:eastAsia="zh-CN"/>
                <w:highlight w:val="auto"/>
              </w:rPr>
              <w:t>202</w:t>
            </w:r>
            <w:r>
              <w:rPr>
                <w:rFonts w:ascii="Times New Roman" w:eastAsia="宋体" w:cs="Times New Roman" w:hAnsi="Times New Roman" w:hint="eastAsia"/>
                <w:i w:val="0"/>
                <w:iCs w:val="0"/>
                <w:color w:val="000000"/>
                <w:kern w:val="0"/>
                <w:sz w:val="18"/>
                <w:szCs w:val="18"/>
                <w:u w:val="none"/>
                <w:lang w:val="en-US" w:eastAsia="zh-CN"/>
                <w:highlight w:val="auto"/>
              </w:rPr>
              <w:t>5</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年度</w:t>
            </w:r>
          </w:p>
        </w:tc>
        <w:tc>
          <w:tcPr>
            <w:tcW w:w="4938" w:type="dxa"/>
            <w:gridSpan w:val="6"/>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18"/>
                <w:szCs w:val="18"/>
                <w:u w:val="none"/>
                <w:lang w:val="en-US" w:eastAsia="zh-CN"/>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金额单位：万元</w:t>
            </w:r>
          </w:p>
        </w:tc>
      </w:tr>
      <w:tr>
        <w:trPr>
          <w:trHeight w:val="431"/>
        </w:trPr>
        <w:tc>
          <w:tcPr>
            <w:tcW w:w="5813" w:type="dxa"/>
            <w:gridSpan w:val="7"/>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预算数</w:t>
            </w:r>
          </w:p>
        </w:tc>
        <w:tc>
          <w:tcPr>
            <w:tcW w:w="5783" w:type="dxa"/>
            <w:gridSpan w:val="7"/>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决算数</w:t>
            </w:r>
          </w:p>
        </w:tc>
      </w:tr>
      <w:tr>
        <w:trPr>
          <w:trHeight w:val="431"/>
        </w:trPr>
        <w:tc>
          <w:tcPr>
            <w:tcW w:w="9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合计</w:t>
            </w:r>
          </w:p>
        </w:tc>
        <w:tc>
          <w:tcPr>
            <w:tcW w:w="12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w:t>
            </w:r>
          </w:p>
        </w:tc>
        <w:tc>
          <w:tcPr>
            <w:tcW w:w="2823"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公务用车购置及运行维护费</w:t>
            </w:r>
          </w:p>
        </w:tc>
        <w:tc>
          <w:tcPr>
            <w:tcW w:w="77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c>
          <w:tcPr>
            <w:tcW w:w="850"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合计</w:t>
            </w:r>
          </w:p>
        </w:tc>
        <w:tc>
          <w:tcPr>
            <w:tcW w:w="1133"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w:t>
            </w:r>
          </w:p>
        </w:tc>
        <w:tc>
          <w:tcPr>
            <w:tcW w:w="2613"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公务用车购置及运行维护费</w:t>
            </w:r>
          </w:p>
        </w:tc>
        <w:tc>
          <w:tcPr>
            <w:tcW w:w="11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r>
      <w:tr>
        <w:trPr>
          <w:trHeight w:val="431"/>
        </w:trPr>
        <w:tc>
          <w:tcPr>
            <w:tcW w:w="987" w:type="dxa"/>
            <w:vMerge/>
            <w:tcBorders>
              <w:top w:val="single" w:sz="8" w:space="0" w:color="000000"/>
              <w:left w:val="single" w:sz="8" w:space="0" w:color="000000"/>
              <w:bottom w:val="single" w:sz="8" w:space="0" w:color="000000"/>
              <w:right w:val="single" w:sz="8" w:space="0" w:color="000000"/>
            </w:tcBorders>
            <w:vAlign w:val="center"/>
          </w:tcPr>
          <w:p/>
        </w:tc>
        <w:tc>
          <w:tcPr>
            <w:tcW w:w="1226" w:type="dxa"/>
            <w:vMerge/>
            <w:tcBorders>
              <w:top w:val="single" w:sz="8" w:space="0" w:color="000000"/>
              <w:left w:val="single" w:sz="8" w:space="0" w:color="000000"/>
              <w:bottom w:val="single" w:sz="8" w:space="0" w:color="000000"/>
              <w:right w:val="single" w:sz="8" w:space="0" w:color="000000"/>
            </w:tcBorders>
            <w:vAlign w:val="center"/>
          </w:tcPr>
          <w:p/>
        </w:tc>
        <w:tc>
          <w:tcPr>
            <w:tcW w:w="81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小计</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公务用车购置费</w:t>
            </w: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777" w:type="dxa"/>
            <w:vMerge/>
            <w:tcBorders>
              <w:top w:val="single" w:sz="8" w:space="0" w:color="000000"/>
              <w:left w:val="single" w:sz="8" w:space="0" w:color="000000"/>
              <w:bottom w:val="single" w:sz="8" w:space="0" w:color="000000"/>
              <w:right w:val="single" w:sz="8" w:space="0" w:color="000000"/>
            </w:tcBorders>
            <w:vAlign w:val="center"/>
          </w:tcPr>
          <w:p/>
        </w:tc>
        <w:tc>
          <w:tcPr>
            <w:tcW w:w="85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33" w:type="dxa"/>
            <w:vMerge/>
            <w:tcBorders>
              <w:top w:val="single" w:sz="8" w:space="0" w:color="000000"/>
              <w:left w:val="single" w:sz="8" w:space="0" w:color="000000"/>
              <w:bottom w:val="single" w:sz="8" w:space="0" w:color="000000"/>
              <w:right w:val="single" w:sz="8" w:space="0" w:color="000000"/>
            </w:tcBorders>
            <w:vAlign w:val="center"/>
          </w:tcPr>
          <w:p/>
        </w:tc>
        <w:tc>
          <w:tcPr>
            <w:tcW w:w="6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小计</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公务用车购置费</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1187" w:type="dxa"/>
            <w:vMerge/>
            <w:tcBorders>
              <w:top w:val="single" w:sz="8" w:space="0" w:color="000000"/>
              <w:left w:val="single" w:sz="8" w:space="0" w:color="000000"/>
              <w:bottom w:val="single" w:sz="8" w:space="0" w:color="000000"/>
              <w:right w:val="single" w:sz="8" w:space="0" w:color="000000"/>
            </w:tcBorders>
            <w:vAlign w:val="center"/>
          </w:tcPr>
          <w:p/>
        </w:tc>
      </w:tr>
      <w:tr>
        <w:trPr>
          <w:trHeight w:val="431"/>
        </w:trPr>
        <w:tc>
          <w:tcPr>
            <w:tcW w:w="9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w:t>
            </w:r>
          </w:p>
        </w:tc>
        <w:tc>
          <w:tcPr>
            <w:tcW w:w="12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2</w:t>
            </w:r>
          </w:p>
        </w:tc>
        <w:tc>
          <w:tcPr>
            <w:tcW w:w="81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3</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4</w:t>
            </w: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5</w:t>
            </w:r>
          </w:p>
        </w:tc>
        <w:tc>
          <w:tcPr>
            <w:tcW w:w="77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6</w:t>
            </w: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7</w:t>
            </w:r>
          </w:p>
        </w:tc>
        <w:tc>
          <w:tcPr>
            <w:tcW w:w="1133"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8</w:t>
            </w:r>
          </w:p>
        </w:tc>
        <w:tc>
          <w:tcPr>
            <w:tcW w:w="6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9</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10</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11</w:t>
            </w:r>
          </w:p>
        </w:tc>
        <w:tc>
          <w:tcPr>
            <w:tcW w:w="11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12</w:t>
            </w:r>
          </w:p>
        </w:tc>
      </w:tr>
      <w:tr>
        <w:trPr>
          <w:trHeight w:val="431"/>
        </w:trPr>
        <w:tc>
          <w:tcPr>
            <w:tcW w:w="9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hint="eastAsia"/>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1.1</w:t>
            </w:r>
            <w:r>
              <w:rPr>
                <w:rFonts w:ascii="Times New Roman" w:eastAsia="方正仿宋_GB2312" w:cs="Times New Roman" w:hAnsi="Times New Roman" w:hint="eastAsia"/>
                <w:i w:val="0"/>
                <w:iCs w:val="0"/>
                <w:color w:val="000000"/>
                <w:sz w:val="18"/>
                <w:szCs w:val="18"/>
                <w:u w:val="none"/>
                <w:lang w:val="en-US" w:eastAsia="zh-CN"/>
                <w:highlight w:val="auto"/>
              </w:rPr>
              <w:t>4</w:t>
            </w:r>
          </w:p>
        </w:tc>
        <w:tc>
          <w:tcPr>
            <w:tcW w:w="12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81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hint="eastAsia"/>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1.1</w:t>
            </w:r>
            <w:r>
              <w:rPr>
                <w:rFonts w:ascii="Times New Roman" w:eastAsia="方正仿宋_GB2312" w:cs="Times New Roman" w:hAnsi="Times New Roman" w:hint="eastAsia"/>
                <w:i w:val="0"/>
                <w:iCs w:val="0"/>
                <w:color w:val="000000"/>
                <w:sz w:val="18"/>
                <w:szCs w:val="18"/>
                <w:u w:val="none"/>
                <w:lang w:val="en-US" w:eastAsia="zh-CN"/>
                <w:highlight w:val="auto"/>
              </w:rPr>
              <w:t>4</w:t>
            </w:r>
          </w:p>
        </w:tc>
        <w:tc>
          <w:tcPr>
            <w:tcW w:w="9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hint="eastAsia"/>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1.1</w:t>
            </w:r>
            <w:r>
              <w:rPr>
                <w:rFonts w:ascii="Times New Roman" w:eastAsia="方正仿宋_GB2312" w:cs="Times New Roman" w:hAnsi="Times New Roman" w:hint="eastAsia"/>
                <w:i w:val="0"/>
                <w:iCs w:val="0"/>
                <w:color w:val="000000"/>
                <w:sz w:val="18"/>
                <w:szCs w:val="18"/>
                <w:u w:val="none"/>
                <w:lang w:val="en-US" w:eastAsia="zh-CN"/>
                <w:highlight w:val="auto"/>
              </w:rPr>
              <w:t>4</w:t>
            </w:r>
          </w:p>
        </w:tc>
        <w:tc>
          <w:tcPr>
            <w:tcW w:w="77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1.10</w:t>
            </w:r>
          </w:p>
        </w:tc>
        <w:tc>
          <w:tcPr>
            <w:tcW w:w="1133"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640"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1.10</w:t>
            </w: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9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1.10</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r>
      <w:tr>
        <w:trPr>
          <w:trHeight w:val="431"/>
        </w:trPr>
        <w:tc>
          <w:tcPr>
            <w:tcW w:w="11596" w:type="dxa"/>
            <w:gridSpan w:val="14"/>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sectPr>
          <w:headerReference w:type="default" r:id="rId9"/>
          <w:footerReference w:type="default" r:id="rId10"/>
          <w:pgSz w:w="11906" w:h="16838"/>
          <w:pgMar w:top="1531" w:right="1984" w:bottom="1531" w:left="2098" w:header="851" w:footer="992" w:gutter="0"/>
          <w:docGrid w:type="lines" w:linePitch="312" w:charSpace="0"/>
        </w:sect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第三部分</w:t>
      </w:r>
      <w:r>
        <w:rPr>
          <w:rFonts w:ascii="Times New Roman" w:eastAsia="仿宋_GB2312" w:hAnsi="Times New Roman"/>
          <w:b w:val="0"/>
          <w:sz w:val="44"/>
          <w:szCs w:val="44"/>
        </w:rPr>
        <w:t>2025</w:t>
      </w:r>
      <w:r>
        <w:rPr>
          <w:rFonts w:ascii="Times New Roman" w:eastAsia="黑体" w:hAnsi="Times New Roman"/>
          <w:b w:val="0"/>
          <w:sz w:val="44"/>
          <w:szCs w:val="44"/>
        </w:rPr>
        <w:t>年度部门决算情况说明</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sectPr>
          <w:footerReference w:type="default" r:id="rId11"/>
          <w:pgSz w:w="11906" w:h="16838"/>
          <w:pgMar w:top="2098" w:right="1417" w:bottom="1871" w:left="1417" w:header="851" w:footer="992" w:gutter="0"/>
          <w:rtlGutter/>
          <w:docGrid w:type="lines" w:linePitch="329" w:charSpace="0"/>
        </w:sect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本单位2025年度收、支总计（含结转和结余）均为184.46万元。与2024年度决算相比，收支各增加26.18万元，增长16.5%，主要原因是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Arial" w:cs="Times New Roman" w:hAnsi="Times New Roman"/>
          <w:highlight w:val="auto"/>
        </w:rPr>
      </w:pPr>
      <w:r>
        <w:rPr>
          <w:rFonts w:ascii="Times New Roman" w:eastAsia="宋体" w:hAnsi="Times New Roman" w:hint="eastAsia"/>
        </w:rPr>
        <w:drawing>
          <wp:inline distT="0" distB="0" distL="114300" distR="114300">
            <wp:extent cx="5256530" cy="2988310"/>
            <wp:effectExtent l="0" t="0" r="0" b="0"/>
            <wp:docPr id="7" name="图表 5"/>
            <wp:cNvGraphicFramePr>
              <a:graphicFrameLocks noChangeAspect="0"/>
            </wp:cNvGraphicFramePr>
            <a:graphic>
              <a:graphicData uri="http://schemas.openxmlformats.org/drawingml/2006/chart">
                <c:chart xmlns:c="http://schemas.openxmlformats.org/drawingml/2006/chart" r:id="rId12"/>
              </a:graphicData>
            </a:graphic>
          </wp:inline>
        </w:drawing>
      </w:r>
      <w:r>
        <w:rPr>
          <w:rFonts w:ascii="Times New Roman" w:eastAsia="Arial" w:cs="Times New Roman" w:hAnsi="Times New Roman"/>
          <w:i w:val="0"/>
          <w:iCs w:val="0"/>
          <w:caps w:val="0"/>
          <w:smallCaps w:val="0"/>
          <w:color w:val="000000"/>
          <w:spacing w:val="0"/>
          <w:sz w:val="18"/>
          <w:szCs w:val="18"/>
          <w:shd w:val="clear" w:color="auto" w:fill="FFFFFF"/>
          <w:highlight w:val="auto"/>
        </w:rPr>
        <w:t> </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本年收入合计184.46万元，其中：财政拨款收入184.46万元，占100.0%；上级补助收入0.00万元，占0.0%；事业收入0.00万元，占0.0%；经营收入0.00万元，占0.0%；附属单位上缴收入0.00万元，占0.0%；其他收入0.00万元，占0.0%。</w:t>
      </w:r>
    </w:p>
    <w:p>
      <w:pPr>
        <w:adjustRightInd w:val="0"/>
        <w:snapToGrid w:val="0"/>
        <w:spacing w:line="580" w:lineRule="exact"/>
        <w:jc w:val="both"/>
        <w:rPr>
          <w:rFonts w:ascii="Times New Roman" w:eastAsia="仿宋_GB2312" w:cs="Times New Roman" w:hAnsi="Times New Roman"/>
          <w:kern w:val="2"/>
          <w:sz w:val="32"/>
          <w:szCs w:val="32"/>
          <w:lang w:val="zh-CN"/>
          <w:highlight w:val="yellow"/>
        </w:rPr>
      </w:pPr>
      <w:r>
        <w:rPr>
          <w:rFonts w:ascii="Times New Roman" w:eastAsia="仿宋_GB2312" w:hAnsi="Times New Roman"/>
          <w:kern w:val="2"/>
          <w:sz w:val="32"/>
          <w:szCs w:val="32"/>
          <w:lang w:val="zh-CN"/>
          <w:highlight w:val="yellow"/>
        </w:rPr>
        <w:drawing>
          <wp:anchor distT="0" distB="0" distL="114300" distR="114300" simplePos="0" relativeHeight="30" behindDoc="0" locked="0" layoutInCell="1" hidden="0" allowOverlap="1">
            <wp:simplePos x="0" y="0"/>
            <wp:positionH relativeFrom="column">
              <wp:posOffset>-16510</wp:posOffset>
            </wp:positionH>
            <wp:positionV relativeFrom="paragraph">
              <wp:posOffset>201930</wp:posOffset>
            </wp:positionV>
            <wp:extent cx="5256530" cy="2988310"/>
            <wp:effectExtent l="0" t="0" r="0" b="0"/>
            <wp:wrapTopAndBottom/>
            <wp:docPr id="8" name="图表 9"/>
            <wp:cNvGraphicFramePr>
              <a:graphicFrameLocks noChangeAspect="0"/>
            </wp:cNvGraphicFramePr>
            <a:graphic>
              <a:graphicData uri="http://schemas.openxmlformats.org/drawingml/2006/chart">
                <c:chart xmlns:c="http://schemas.openxmlformats.org/drawingml/2006/chart" r:id="rId13"/>
              </a:graphicData>
            </a:graphic>
          </wp:anchor>
        </w:drawing>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本单位2025年度本年支出合计184.46万元，其中：基本支出184.46万元，占100.0%；项目支出0.00万元，占0.0%；经营支出0.00万元，占0.0%；上缴上级支出0.00万元，占0.0%；对附属单位补助支出0.00万元，占0.0%。</w:t>
      </w:r>
    </w:p>
    <w:p>
      <w:pPr>
        <w:autoSpaceDE w:val="0"/>
        <w:autoSpaceDN w:val="0"/>
        <w:adjustRightInd w:val="0"/>
        <w:jc w:val="center"/>
        <w:rPr>
          <w:rFonts w:ascii="Times New Roman" w:eastAsia="仿宋_GB2312" w:cs="Times New Roman" w:hAnsi="Times New Roman"/>
          <w:color w:val="auto"/>
          <w:kern w:val="0"/>
          <w:sz w:val="32"/>
          <w:szCs w:val="32"/>
          <w:lang w:val="en-US" w:eastAsia="zh-CN" w:bidi="ar-SA"/>
          <w:highlight w:val="auto"/>
        </w:rPr>
      </w:pPr>
      <w:r>
        <w:rPr>
          <w:rFonts w:ascii="Times New Roman" w:eastAsia="仿宋_GB2312" w:cs="Times New Roman" w:hAnsi="Times New Roman"/>
          <w:sz w:val="32"/>
          <w:szCs w:val="32"/>
          <w:highlight w:val="auto"/>
        </w:rPr>
        <w:drawing>
          <wp:inline distT="0" distB="0" distL="114300" distR="114300">
            <wp:extent cx="5256530" cy="2988310"/>
            <wp:effectExtent l="0" t="0" r="0" b="0"/>
            <wp:docPr id="9" name="图表 7"/>
            <wp:cNvGraphicFramePr>
              <a:graphicFrameLocks noChangeAspect="0"/>
            </wp:cNvGraphicFramePr>
            <a:graphic>
              <a:graphicData uri="http://schemas.openxmlformats.org/drawingml/2006/chart">
                <c:chart xmlns:c="http://schemas.openxmlformats.org/drawingml/2006/chart" r:id="rId14"/>
              </a:graphicData>
            </a:graphic>
          </wp:inline>
        </w:drawing>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（一）财政拨款收支与</w:t>
      </w:r>
      <w:r>
        <w:rPr>
          <w:rFonts w:ascii="Times New Roman" w:eastAsia="仿宋_GB2312" w:hAnsi="Times New Roman"/>
          <w:b/>
          <w:sz w:val="32"/>
          <w:szCs w:val="32"/>
        </w:rPr>
        <w:t>2024</w:t>
      </w:r>
      <w:r>
        <w:rPr>
          <w:rFonts w:ascii="Times New Roman" w:eastAsia="楷体_GB2312" w:hAnsi="Times New Roman"/>
          <w:b/>
          <w:sz w:val="32"/>
          <w:szCs w:val="32"/>
        </w:rPr>
        <w:t>年度决算对比情况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本单位2025年度财政拨款收、支总计（含结转和结余）均为184.46万元。与2024年度相比，财政拨款收支各增加26.18万元，增长16.5%，主要原因是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本单位2025年度财政拨款本年收入184.46万元,比上年增加26.18万元，增长16.5%，主要原因是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；本年支出184.46万元，比上年增加26.18万元，增长16.5%，主要原因是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outlineLvl w:val="1"/>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一般公共预算财政拨款本年收入184.46万元,比上年增加26.18万元，增长16.5%，主要原因是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；本年支出184.46万元，比上年增加26.18万元，增长16.5%，主要原因是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政府性基金预算财政拨款本年收入0.00万元，比上年增加0.00万元，增长0.00%，主要原因是</w:t>
      </w:r>
      <w:r>
        <w:rPr>
          <w:rFonts w:ascii="Times New Roman" w:eastAsia="仿宋_GB2312" w:cs="Times New Roman" w:hAnsi="Times New Roman" w:hint="eastAsia"/>
          <w:kern w:val="2"/>
          <w:sz w:val="32"/>
          <w:szCs w:val="32"/>
          <w:lang w:val="en-US" w:eastAsia="zh-CN"/>
        </w:rPr>
        <w:t>2024-2025年度均无政府性基金预算财政拨款收入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2024-2025年度均无政府性基金预算财政拨款支出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国有资本经营预算财政拨款本年收入0.00万元，比上年增加0.00万元，增长0.00%，主要原因是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支出</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sz w:val="32"/>
          <w:szCs w:val="32"/>
          <w:lang w:val="en-US" w:eastAsia="zh-CN"/>
          <w:highlight w:val="auto"/>
        </w:rPr>
      </w:pPr>
      <w:r>
        <w:rPr>
          <w:rFonts w:ascii="Times New Roman" w:eastAsia="仿宋_GB2312" w:hAnsi="Times New Roman"/>
          <w:sz w:val="32"/>
          <w:szCs w:val="32"/>
        </w:rPr>
        <w:drawing>
          <wp:inline distT="0" distB="0" distL="114300" distR="114300">
            <wp:extent cx="5256530" cy="3189605"/>
            <wp:effectExtent l="0" t="0" r="0" b="0"/>
            <wp:docPr id="10" name="图表 19"/>
            <wp:cNvGraphicFramePr>
              <a:graphicFrameLocks noChangeAspect="0"/>
            </wp:cNvGraphicFramePr>
            <a:graphic>
              <a:graphicData uri="http://schemas.openxmlformats.org/drawingml/2006/chart">
                <c:chart xmlns:c="http://schemas.openxmlformats.org/drawingml/2006/chart" r:id="rId15"/>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（二）财政拨款收支与年初预算数对比情况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本单位2025年度财政拨款本年收入184.46万元，完成年初预算的103.2%，比年初预算增加5.65万元，决算数大于预算数主要原因是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；本年支出184.46万元，完成年初预算的103.2%，比年初预算增加5.65万元，决算数大于预算数主要原因是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一般公共预算财政拨款本年收入完成年初预算的103.2%，比年初预算增加5.65万元，主要原因是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；支出完成年初预算的103.2%，比年初预算增加5.65万元，主要原因是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政府性基金预算财政拨款本年收入完成年初预算的0.0%，比年初预算增加0.00万元，主要原因是</w:t>
      </w:r>
      <w:r>
        <w:rPr>
          <w:rFonts w:ascii="Times New Roman" w:eastAsia="仿宋_GB2312" w:cs="Times New Roman" w:hAnsi="Times New Roman" w:hint="eastAsia"/>
          <w:kern w:val="2"/>
          <w:sz w:val="32"/>
          <w:szCs w:val="32"/>
          <w:lang w:val="en-US" w:eastAsia="zh-CN"/>
        </w:rPr>
        <w:t>2024-2025年度均无政府性基金预算财政拨款收入</w:t>
      </w:r>
      <w:r>
        <w:rPr>
          <w:rFonts w:ascii="Times New Roman" w:eastAsia="仿宋_GB2312" w:hAnsi="Times New Roman"/>
          <w:b w:val="0"/>
          <w:sz w:val="32"/>
          <w:szCs w:val="32"/>
        </w:rPr>
        <w:t>；支出完成年初预算的0.0%，比年初预算增加0.00万元，主要原因是</w:t>
      </w:r>
      <w:r>
        <w:rPr>
          <w:rFonts w:ascii="Times New Roman" w:eastAsia="仿宋_GB2312" w:cs="Times New Roman" w:hAnsi="Times New Roman" w:hint="eastAsia"/>
          <w:kern w:val="2"/>
          <w:sz w:val="32"/>
          <w:szCs w:val="32"/>
          <w:lang w:val="en-US" w:eastAsia="zh-CN"/>
        </w:rPr>
        <w:t>2024-2025年度均无政府性基金预算财政拨款支出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国有资本经营预算财政拨款本年收入完成年初预算的0.0%，比年初预算增加0.00万元，主要原因是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收入</w:t>
      </w:r>
      <w:r>
        <w:rPr>
          <w:rFonts w:ascii="Times New Roman" w:eastAsia="仿宋_GB2312" w:hAnsi="Times New Roman"/>
          <w:b w:val="0"/>
          <w:sz w:val="32"/>
          <w:szCs w:val="32"/>
        </w:rPr>
        <w:t>；支出完成年初预算的0.0%，比年初预算增加0.00万元，主要原因是</w:t>
      </w:r>
      <w:r>
        <w:rPr>
          <w:rFonts w:ascii="Times New Roman" w:eastAsia="仿宋_GB2312" w:hAnsi="Times New Roman" w:hint="eastAsia"/>
          <w:b w:val="0"/>
          <w:sz w:val="32"/>
          <w:szCs w:val="32"/>
          <w:lang w:val="en-US" w:eastAsia="zh-CN"/>
        </w:rPr>
        <w:t>2</w:t>
      </w:r>
      <w:r>
        <w:rPr>
          <w:rFonts w:ascii="Times New Roman" w:eastAsia="仿宋_GB2312" w:cs="Times New Roman" w:hAnsi="Times New Roman" w:hint="eastAsia"/>
          <w:kern w:val="2"/>
          <w:sz w:val="32"/>
          <w:szCs w:val="32"/>
          <w:lang w:val="en-US" w:eastAsia="zh-CN"/>
        </w:rPr>
        <w:t>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支出</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color w:val="auto"/>
          <w:kern w:val="0"/>
          <w:sz w:val="32"/>
          <w:szCs w:val="32"/>
          <w:lang w:val="en-US" w:eastAsia="zh-CN" w:bidi="ar-SA"/>
          <w:highlight w:val="auto"/>
        </w:rPr>
      </w:pPr>
      <w:r>
        <w:rPr>
          <w:rFonts w:ascii="Times New Roman" w:eastAsia="仿宋_GB2312" w:hAnsi="Times New Roman"/>
          <w:sz w:val="32"/>
          <w:szCs w:val="32"/>
          <w:highlight w:val="auto"/>
        </w:rPr>
        <w:drawing>
          <wp:inline distT="0" distB="0" distL="114300" distR="114300">
            <wp:extent cx="5256530" cy="2988310"/>
            <wp:effectExtent l="0" t="0" r="0" b="0"/>
            <wp:docPr id="11" name="图表 11"/>
            <wp:cNvGraphicFramePr>
              <a:graphicFrameLocks noChangeAspect="0"/>
            </wp:cNvGraphicFramePr>
            <a:graphic>
              <a:graphicData uri="http://schemas.openxmlformats.org/drawingml/2006/chart">
                <c:chart xmlns:c="http://schemas.openxmlformats.org/drawingml/2006/chart" r:id="rId16"/>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（三）财政拨款支出决算结构情况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2025年度财政拨款支出184.46万元，主要用于以下方面：</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一般公共预算财政拨款支出：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一般公共服务（类）支出96.22万元，占52.2%，主要用于</w:t>
      </w:r>
      <w:r>
        <w:rPr>
          <w:rFonts w:ascii="仿宋_GB2312" w:eastAsia="仿宋_GB2312" w:cs="DengXian-Regular" w:hAnsi="Times New Roman" w:hint="eastAsia"/>
          <w:sz w:val="32"/>
          <w:szCs w:val="32"/>
        </w:rPr>
        <w:t>人员、公用及项目</w:t>
      </w:r>
      <w:r>
        <w:rPr>
          <w:rFonts w:ascii="Times New Roman" w:eastAsia="仿宋_GB2312" w:hAnsi="Times New Roman"/>
          <w:b w:val="0"/>
          <w:sz w:val="32"/>
          <w:szCs w:val="32"/>
        </w:rPr>
        <w:t>支出</w:t>
      </w:r>
      <w:r>
        <w:rPr>
          <w:rFonts w:ascii="Times New Roman" w:eastAsia="仿宋_GB2312" w:hAnsi="Times New Roman" w:hint="eastAsia"/>
          <w:b w:val="0"/>
          <w:sz w:val="32"/>
          <w:szCs w:val="32"/>
          <w:lang w:eastAsia="zh-CN"/>
        </w:rPr>
        <w:t>；</w:t>
      </w:r>
      <w:r>
        <w:rPr>
          <w:rFonts w:ascii="Times New Roman" w:eastAsia="仿宋_GB2312" w:hAnsi="Times New Roman"/>
          <w:b w:val="0"/>
          <w:sz w:val="32"/>
          <w:szCs w:val="32"/>
        </w:rPr>
        <w:t>社会保障和就业 （类）支出76.18万元，占41.3%，主要用于</w:t>
      </w:r>
      <w:r>
        <w:rPr>
          <w:rFonts w:ascii="仿宋_GB2312" w:eastAsia="仿宋_GB2312" w:cs="DengXian-Regular" w:hAnsi="Times New Roman" w:hint="eastAsia"/>
          <w:sz w:val="32"/>
          <w:szCs w:val="32"/>
        </w:rPr>
        <w:t>缴纳养老保险支出</w:t>
      </w:r>
      <w:r>
        <w:rPr>
          <w:rFonts w:ascii="Times New Roman" w:eastAsia="仿宋_GB2312" w:hAnsi="Times New Roman"/>
          <w:b w:val="0"/>
          <w:sz w:val="32"/>
          <w:szCs w:val="32"/>
        </w:rPr>
        <w:t>；卫生健康（类）支出4.51万元，占2.4%，主要用于</w:t>
      </w:r>
      <w:r>
        <w:rPr>
          <w:rFonts w:ascii="仿宋_GB2312" w:eastAsia="仿宋_GB2312" w:cs="DengXian-Regular" w:hAnsi="Times New Roman" w:hint="eastAsia"/>
          <w:sz w:val="32"/>
          <w:szCs w:val="32"/>
        </w:rPr>
        <w:t>缴纳医疗保险支出</w:t>
      </w:r>
      <w:r>
        <w:rPr>
          <w:rFonts w:ascii="Times New Roman" w:eastAsia="仿宋_GB2312" w:hAnsi="Times New Roman"/>
          <w:b w:val="0"/>
          <w:sz w:val="32"/>
          <w:szCs w:val="32"/>
        </w:rPr>
        <w:t>；住房保障（类）支出7.55万元，占4.1%，主要用于</w:t>
      </w:r>
      <w:r>
        <w:rPr>
          <w:rFonts w:ascii="仿宋_GB2312" w:eastAsia="仿宋_GB2312" w:cs="DengXian-Regular" w:hAnsi="Times New Roman" w:hint="eastAsia"/>
          <w:sz w:val="32"/>
          <w:szCs w:val="32"/>
        </w:rPr>
        <w:t>缴纳住房公积金支出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（四）一般公共预算财政拨款基本支出决算情况说明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2025年度财政拨款基本支出184.46万元，其中：</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人员经费169.01万元，主要包括基本工资、津贴补贴、奖金、伙食补助费、绩效工资、机关事业基本养老保险缴费、职业年金缴费、公务员医疗补助缴费、住房公积金、医疗费、其他社会保障缴费、其他工资福利支出、离休费、 退休费、生活补助、奖励金、其他对个人和家庭的补助支出。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公用经费15.46万元，主要包括办公费、印刷费、水费、电费、邮电费、取暖费、差旅费、工会经费、福利费、公务用车运行维护费、其他商品和服务支出、办公设备购置。</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五、财政拨款“三公” 经费支出决算情况说明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（一）“三公”经费财政拨款支出决算总体情况说明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本单位2025年度“三公”经费财政拨款支出预算为1.1</w:t>
      </w:r>
      <w:r>
        <w:rPr>
          <w:rFonts w:ascii="Times New Roman" w:eastAsia="仿宋_GB2312" w:hAnsi="Times New Roman" w:hint="eastAsia"/>
          <w:b w:val="0"/>
          <w:sz w:val="32"/>
          <w:szCs w:val="32"/>
          <w:lang w:val="en-US" w:eastAsia="zh-CN"/>
        </w:rPr>
        <w:t>4</w:t>
      </w:r>
      <w:r>
        <w:rPr>
          <w:rFonts w:ascii="Times New Roman" w:eastAsia="仿宋_GB2312" w:hAnsi="Times New Roman"/>
          <w:b w:val="0"/>
          <w:sz w:val="32"/>
          <w:szCs w:val="32"/>
        </w:rPr>
        <w:t>万元，支出决算为1.10万元，完成预算的</w:t>
      </w:r>
      <w:r>
        <w:rPr>
          <w:rFonts w:ascii="Times New Roman" w:eastAsia="仿宋_GB2312" w:hAnsi="Times New Roman" w:hint="eastAsia"/>
          <w:b w:val="0"/>
          <w:sz w:val="32"/>
          <w:szCs w:val="32"/>
          <w:lang w:val="en-US" w:eastAsia="zh-CN"/>
        </w:rPr>
        <w:t>96.49</w:t>
      </w:r>
      <w:r>
        <w:rPr>
          <w:rFonts w:ascii="Times New Roman" w:eastAsia="仿宋_GB2312" w:hAnsi="Times New Roman"/>
          <w:b w:val="0"/>
          <w:sz w:val="32"/>
          <w:szCs w:val="32"/>
        </w:rPr>
        <w:t>.0%，较预算</w:t>
      </w:r>
      <w:r>
        <w:rPr>
          <w:rFonts w:ascii="Times New Roman" w:eastAsia="仿宋_GB2312" w:hAnsi="Times New Roman" w:hint="eastAsia"/>
          <w:b w:val="0"/>
          <w:sz w:val="32"/>
          <w:szCs w:val="32"/>
          <w:lang w:eastAsia="zh-CN"/>
        </w:rPr>
        <w:t>减少</w:t>
      </w:r>
      <w:r>
        <w:rPr>
          <w:rFonts w:ascii="Times New Roman" w:eastAsia="仿宋_GB2312" w:hAnsi="Times New Roman"/>
          <w:b w:val="0"/>
          <w:sz w:val="32"/>
          <w:szCs w:val="32"/>
        </w:rPr>
        <w:t>0.</w:t>
      </w:r>
      <w:r>
        <w:rPr>
          <w:rFonts w:ascii="Times New Roman" w:eastAsia="仿宋_GB2312" w:hAnsi="Times New Roman" w:hint="eastAsia"/>
          <w:b w:val="0"/>
          <w:sz w:val="32"/>
          <w:szCs w:val="32"/>
          <w:lang w:val="en-US" w:eastAsia="zh-CN"/>
        </w:rPr>
        <w:t>04</w:t>
      </w:r>
      <w:r>
        <w:rPr>
          <w:rFonts w:ascii="Times New Roman" w:eastAsia="仿宋_GB2312" w:hAnsi="Times New Roman"/>
          <w:b w:val="0"/>
          <w:sz w:val="32"/>
          <w:szCs w:val="32"/>
        </w:rPr>
        <w:t>万元，</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3.51</w:t>
      </w:r>
      <w:r>
        <w:rPr>
          <w:rFonts w:ascii="Times New Roman" w:eastAsia="仿宋_GB2312" w:hAnsi="Times New Roman"/>
          <w:b w:val="0"/>
          <w:sz w:val="32"/>
          <w:szCs w:val="32"/>
        </w:rPr>
        <w:t>%，主要原因是认真贯彻落实中央八项规定精神和厉行节约要求，从严控制“三公”经费开支；较2024年度决算减少0.02万元，降低1.8%，主要原因是</w:t>
      </w:r>
      <w:r>
        <w:rPr>
          <w:rFonts w:ascii="Times New Roman" w:eastAsia="仿宋_GB2312" w:cs="Times New Roman" w:hAnsi="Times New Roman" w:hint="eastAsia"/>
          <w:color w:val="auto"/>
          <w:kern w:val="2"/>
          <w:sz w:val="32"/>
          <w:szCs w:val="32"/>
          <w:lang w:val="zh-CN" w:eastAsia="zh-CN" w:bidi="ar-SA"/>
        </w:rPr>
        <w:t>公务用车维修费减少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（二）“三公”经费财政拨款支出决算具体情况说明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lang w:val="en-US"/>
        </w:rPr>
      </w:pPr>
      <w:r>
        <w:rPr>
          <w:rFonts w:ascii="Times New Roman" w:eastAsia="楷体_GB2312" w:hAnsi="Times New Roman"/>
          <w:b/>
          <w:sz w:val="32"/>
          <w:szCs w:val="32"/>
        </w:rPr>
        <w:t>1.因公出国（境）费支出情况。</w:t>
      </w:r>
      <w:r>
        <w:rPr>
          <w:rFonts w:ascii="Times New Roman" w:eastAsia="仿宋_GB2312" w:hAnsi="Times New Roman"/>
          <w:b w:val="0"/>
          <w:sz w:val="32"/>
          <w:szCs w:val="32"/>
        </w:rPr>
        <w:t>本单位2025年度因公出国（境）费支出预算为0.00万元,支出决算0.00万元。完成预算的0.0%。</w:t>
      </w:r>
      <w:r>
        <w:rPr>
          <w:rFonts w:ascii="Times New Roman" w:eastAsia="仿宋_GB2312" w:cs="Times New Roman" w:hAnsi="Times New Roman"/>
          <w:color w:val="auto"/>
          <w:kern w:val="2"/>
          <w:sz w:val="32"/>
          <w:szCs w:val="32"/>
          <w:lang w:val="en-US" w:eastAsia="zh-CN" w:bidi="ar-SA"/>
        </w:rPr>
        <w:t>因公出国（境）费支出较预算</w:t>
      </w:r>
      <w:r>
        <w:rPr>
          <w:rFonts w:ascii="Times New Roman" w:eastAsia="仿宋_GB2312" w:cs="Times New Roman" w:hAnsi="Times New Roman" w:hint="eastAsia"/>
          <w:color w:val="auto"/>
          <w:kern w:val="2"/>
          <w:sz w:val="32"/>
          <w:szCs w:val="32"/>
          <w:lang w:val="zh-CN" w:eastAsia="zh-CN" w:bidi="ar-SA"/>
        </w:rPr>
        <w:t>持平，</w:t>
      </w:r>
      <w:r>
        <w:rPr>
          <w:rFonts w:ascii="Times New Roman" w:eastAsia="仿宋_GB2312" w:cs="Times New Roman" w:hAnsi="Times New Roman"/>
          <w:color w:val="auto"/>
          <w:kern w:val="2"/>
          <w:sz w:val="32"/>
          <w:szCs w:val="32"/>
          <w:lang w:val="en-US" w:eastAsia="zh-CN" w:bidi="ar-SA"/>
        </w:rPr>
        <w:t>无变化，主要是当年没有因公出国的工作任务，无因公出国（境）费用预算安排；因公出国（境）费支出较上年持平，无变化，主要是</w:t>
      </w:r>
      <w:r>
        <w:rPr>
          <w:rFonts w:ascii="Times New Roman" w:eastAsia="仿宋_GB2312" w:cs="Times New Roman" w:hAnsi="Times New Roman" w:hint="eastAsia"/>
          <w:color w:val="auto"/>
          <w:kern w:val="2"/>
          <w:sz w:val="32"/>
          <w:szCs w:val="32"/>
          <w:lang w:val="en-US" w:eastAsia="zh-CN" w:bidi="ar-SA"/>
        </w:rPr>
        <w:t>当年</w:t>
      </w:r>
      <w:r>
        <w:rPr>
          <w:rFonts w:ascii="Times New Roman" w:eastAsia="仿宋_GB2312" w:cs="Times New Roman" w:hAnsi="Times New Roman"/>
          <w:color w:val="auto"/>
          <w:kern w:val="2"/>
          <w:sz w:val="32"/>
          <w:szCs w:val="32"/>
          <w:lang w:val="en-US" w:eastAsia="zh-CN" w:bidi="ar-SA"/>
        </w:rPr>
        <w:t>没有因公出国的工作任务，没有安排相关预算。因公出国（境）团组0个、共0人、参加其他单位组织的因公出国（境）团组</w:t>
      </w:r>
      <w:r>
        <w:rPr>
          <w:rFonts w:ascii="Times New Roman" w:eastAsia="仿宋_GB2312" w:cs="Times New Roman" w:hAnsi="Times New Roman" w:hint="eastAsia"/>
          <w:color w:val="auto"/>
          <w:kern w:val="2"/>
          <w:sz w:val="32"/>
          <w:szCs w:val="32"/>
          <w:lang w:val="en-US" w:eastAsia="zh-CN" w:bidi="ar-SA"/>
        </w:rPr>
        <w:t>0</w:t>
      </w:r>
      <w:r>
        <w:rPr>
          <w:rFonts w:ascii="Times New Roman" w:eastAsia="仿宋_GB2312" w:cs="Times New Roman" w:hAnsi="Times New Roman"/>
          <w:color w:val="auto"/>
          <w:kern w:val="2"/>
          <w:sz w:val="32"/>
          <w:szCs w:val="32"/>
          <w:lang w:val="en-US" w:eastAsia="zh-CN" w:bidi="ar-SA"/>
        </w:rPr>
        <w:t>个、共</w:t>
      </w:r>
      <w:r>
        <w:rPr>
          <w:rFonts w:ascii="Times New Roman" w:eastAsia="仿宋_GB2312" w:cs="Times New Roman" w:hAnsi="Times New Roman" w:hint="eastAsia"/>
          <w:color w:val="auto"/>
          <w:kern w:val="2"/>
          <w:sz w:val="32"/>
          <w:szCs w:val="32"/>
          <w:lang w:val="en-US" w:eastAsia="zh-CN" w:bidi="ar-SA"/>
        </w:rPr>
        <w:t>0</w:t>
      </w:r>
      <w:r>
        <w:rPr>
          <w:rFonts w:ascii="Times New Roman" w:eastAsia="仿宋_GB2312" w:cs="Times New Roman" w:hAnsi="Times New Roman"/>
          <w:color w:val="auto"/>
          <w:kern w:val="2"/>
          <w:sz w:val="32"/>
          <w:szCs w:val="32"/>
          <w:lang w:val="en-US" w:eastAsia="zh-CN" w:bidi="ar-SA"/>
        </w:rPr>
        <w:t>人/无本部门组织的出国（境）团组</w:t>
      </w:r>
      <w:r>
        <w:rPr>
          <w:rFonts w:ascii="Times New Roman" w:eastAsia="仿宋_GB2312" w:cs="Times New Roman" w:hAnsi="Times New Roman" w:hint="eastAsia"/>
          <w:color w:val="auto"/>
          <w:kern w:val="2"/>
          <w:sz w:val="32"/>
          <w:szCs w:val="32"/>
          <w:lang w:val="en-US" w:eastAsia="zh-CN" w:bidi="ar-SA"/>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2.公务用车购置及运行维护费支出情况。</w:t>
      </w:r>
      <w:r>
        <w:rPr>
          <w:rFonts w:ascii="Times New Roman" w:eastAsia="仿宋_GB2312" w:hAnsi="Times New Roman"/>
          <w:b w:val="0"/>
          <w:sz w:val="32"/>
          <w:szCs w:val="32"/>
        </w:rPr>
        <w:t>本单位2025年度公务用车购置及运行维护费预算为1.1</w:t>
      </w:r>
      <w:r>
        <w:rPr>
          <w:rFonts w:ascii="Times New Roman" w:eastAsia="仿宋_GB2312" w:hAnsi="Times New Roman" w:hint="eastAsia"/>
          <w:b w:val="0"/>
          <w:sz w:val="32"/>
          <w:szCs w:val="32"/>
          <w:lang w:val="en-US" w:eastAsia="zh-CN"/>
        </w:rPr>
        <w:t>4</w:t>
      </w:r>
      <w:r>
        <w:rPr>
          <w:rFonts w:ascii="Times New Roman" w:eastAsia="仿宋_GB2312" w:hAnsi="Times New Roman"/>
          <w:b w:val="0"/>
          <w:sz w:val="32"/>
          <w:szCs w:val="32"/>
        </w:rPr>
        <w:t>万元，支出决算为1.10万元，完成预算的</w:t>
      </w:r>
      <w:r>
        <w:rPr>
          <w:rFonts w:ascii="Times New Roman" w:eastAsia="仿宋_GB2312" w:hAnsi="Times New Roman" w:hint="eastAsia"/>
          <w:b w:val="0"/>
          <w:sz w:val="32"/>
          <w:szCs w:val="32"/>
          <w:lang w:val="en-US" w:eastAsia="zh-CN"/>
        </w:rPr>
        <w:t>96.49</w:t>
      </w:r>
      <w:r>
        <w:rPr>
          <w:rFonts w:ascii="Times New Roman" w:eastAsia="仿宋_GB2312" w:hAnsi="Times New Roman"/>
          <w:b w:val="0"/>
          <w:sz w:val="32"/>
          <w:szCs w:val="32"/>
        </w:rPr>
        <w:t>.0%，较预算</w:t>
      </w:r>
      <w:r>
        <w:rPr>
          <w:rFonts w:ascii="Times New Roman" w:eastAsia="仿宋_GB2312" w:hAnsi="Times New Roman" w:hint="eastAsia"/>
          <w:b w:val="0"/>
          <w:sz w:val="32"/>
          <w:szCs w:val="32"/>
          <w:lang w:eastAsia="zh-CN"/>
        </w:rPr>
        <w:t>减少</w:t>
      </w:r>
      <w:r>
        <w:rPr>
          <w:rFonts w:ascii="Times New Roman" w:eastAsia="仿宋_GB2312" w:hAnsi="Times New Roman"/>
          <w:b w:val="0"/>
          <w:sz w:val="32"/>
          <w:szCs w:val="32"/>
        </w:rPr>
        <w:t>0.</w:t>
      </w:r>
      <w:r>
        <w:rPr>
          <w:rFonts w:ascii="Times New Roman" w:eastAsia="仿宋_GB2312" w:hAnsi="Times New Roman" w:hint="eastAsia"/>
          <w:b w:val="0"/>
          <w:sz w:val="32"/>
          <w:szCs w:val="32"/>
          <w:lang w:val="en-US" w:eastAsia="zh-CN"/>
        </w:rPr>
        <w:t>04</w:t>
      </w:r>
      <w:r>
        <w:rPr>
          <w:rFonts w:ascii="Times New Roman" w:eastAsia="仿宋_GB2312" w:hAnsi="Times New Roman"/>
          <w:b w:val="0"/>
          <w:sz w:val="32"/>
          <w:szCs w:val="32"/>
        </w:rPr>
        <w:t>万元，</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3.51</w:t>
      </w:r>
      <w:r>
        <w:rPr>
          <w:rFonts w:ascii="Times New Roman" w:eastAsia="仿宋_GB2312" w:hAnsi="Times New Roman"/>
          <w:b w:val="0"/>
          <w:sz w:val="32"/>
          <w:szCs w:val="32"/>
        </w:rPr>
        <w:t>%，主要原因是认真贯彻落实中央八项规定精神和厉行节约要求，从严控制“三公”经费开支；较2024年度决算减少0.02万元，降低1.8%，主要原因是</w:t>
      </w:r>
      <w:r>
        <w:rPr>
          <w:rFonts w:ascii="Times New Roman" w:eastAsia="仿宋_GB2312" w:cs="Times New Roman" w:hAnsi="Times New Roman" w:hint="eastAsia"/>
          <w:color w:val="auto"/>
          <w:kern w:val="2"/>
          <w:sz w:val="32"/>
          <w:szCs w:val="32"/>
          <w:lang w:val="zh-CN" w:eastAsia="zh-CN" w:bidi="ar-SA"/>
        </w:rPr>
        <w:t>公务用车维修费减少。</w:t>
      </w:r>
      <w:r>
        <w:rPr>
          <w:rFonts w:ascii="Times New Roman" w:eastAsia="仿宋_GB2312" w:hAnsi="Times New Roman"/>
          <w:b w:val="0"/>
          <w:sz w:val="32"/>
          <w:szCs w:val="32"/>
        </w:rPr>
        <w:t>其中：</w:t>
      </w:r>
    </w:p>
    <w:p>
      <w:pPr>
        <w:widowControl/>
        <w:spacing w:before="0" w:beforeAutospacing="0" w:after="0" w:afterAutospacing="0" w:line="360" w:lineRule="auto"/>
        <w:ind w:firstLineChars="200" w:firstLine="640"/>
        <w:jc w:val="left"/>
        <w:rPr>
          <w:rFonts w:ascii="Times New Roman" w:eastAsia="仿宋_GB2312" w:cs="Times New Roman" w:hAnsi="Times New Roman" w:hint="eastAsia"/>
          <w:color w:val="000000"/>
          <w:sz w:val="32"/>
          <w:szCs w:val="32"/>
          <w:lang w:eastAsia="zh-CN"/>
          <w:highlight w:val="auto"/>
        </w:rPr>
      </w:pPr>
      <w:r>
        <w:rPr>
          <w:rFonts w:ascii="Times New Roman" w:eastAsia="仿宋_GB2312" w:hAnsi="Times New Roman"/>
          <w:b/>
          <w:sz w:val="32"/>
          <w:szCs w:val="32"/>
        </w:rPr>
        <w:t>公务用车购置费支出0.00万元：</w:t>
      </w:r>
      <w:r>
        <w:rPr>
          <w:rFonts w:ascii="Times New Roman" w:eastAsia="仿宋_GB2312" w:hAnsi="Times New Roman"/>
          <w:b w:val="0"/>
          <w:sz w:val="32"/>
          <w:szCs w:val="32"/>
        </w:rPr>
        <w:t>本单位2025年度公务用车购置量0辆，发生“公务用车购置”经费支出0.00万元。</w:t>
      </w:r>
      <w:r>
        <w:rPr>
          <w:rFonts w:ascii="Times New Roman" w:eastAsia="仿宋_GB2312" w:hAnsi="Times New Roman" w:hint="eastAsia"/>
          <w:b w:val="0"/>
          <w:sz w:val="32"/>
          <w:szCs w:val="32"/>
          <w:lang w:eastAsia="zh-CN"/>
        </w:rPr>
        <w:t>本单位</w:t>
      </w:r>
      <w:r>
        <w:rPr>
          <w:rFonts w:ascii="Times New Roman" w:eastAsia="仿宋_GB2312" w:cs="Times New Roman" w:hAnsi="Times New Roman"/>
          <w:color w:val="000000"/>
          <w:sz w:val="32"/>
          <w:szCs w:val="32"/>
          <w:highlight w:val="auto"/>
        </w:rPr>
        <w:t>未发生</w:t>
      </w:r>
      <w:r>
        <w:rPr>
          <w:rFonts w:ascii="Times New Roman" w:eastAsia="仿宋_GB2312" w:hAnsi="Times New Roman"/>
          <w:b w:val="0"/>
          <w:sz w:val="32"/>
          <w:szCs w:val="32"/>
        </w:rPr>
        <w:t>“公务用车购置”经费支出</w:t>
      </w:r>
      <w:r>
        <w:rPr>
          <w:rFonts w:ascii="Times New Roman" w:eastAsia="仿宋_GB2312" w:cs="Times New Roman" w:hAnsi="Times New Roman"/>
          <w:color w:val="000000"/>
          <w:sz w:val="32"/>
          <w:szCs w:val="32"/>
          <w:highlight w:val="auto"/>
        </w:rPr>
        <w:t>、“与预算持平”、“与202</w:t>
      </w:r>
      <w:r>
        <w:rPr>
          <w:rFonts w:ascii="Times New Roman" w:eastAsia="仿宋_GB2312" w:cs="Times New Roman" w:hAnsi="Times New Roman" w:hint="eastAsia"/>
          <w:color w:val="000000"/>
          <w:sz w:val="32"/>
          <w:szCs w:val="32"/>
          <w:lang w:val="en-US" w:eastAsia="zh-CN"/>
          <w:highlight w:val="auto"/>
        </w:rPr>
        <w:t>4</w:t>
      </w:r>
      <w:r>
        <w:rPr>
          <w:rFonts w:ascii="Times New Roman" w:eastAsia="仿宋_GB2312" w:cs="Times New Roman" w:hAnsi="Times New Roman"/>
          <w:color w:val="000000"/>
          <w:sz w:val="32"/>
          <w:szCs w:val="32"/>
          <w:highlight w:val="auto"/>
        </w:rPr>
        <w:t>年度决算支出持平</w:t>
      </w:r>
      <w:r>
        <w:rPr>
          <w:rFonts w:ascii="Times New Roman" w:eastAsia="仿宋_GB2312" w:cs="Times New Roman" w:hAnsi="Times New Roman"/>
          <w:color w:val="000000"/>
          <w:sz w:val="32"/>
          <w:szCs w:val="32"/>
          <w:lang w:val="en-US" w:eastAsia="zh-CN"/>
          <w:highlight w:val="auto"/>
        </w:rPr>
        <w:t>”</w:t>
      </w:r>
      <w:r>
        <w:rPr>
          <w:rFonts w:ascii="Times New Roman" w:eastAsia="仿宋_GB2312" w:cs="Times New Roman" w:hAnsi="Times New Roman" w:hint="eastAsia"/>
          <w:color w:val="000000"/>
          <w:sz w:val="32"/>
          <w:szCs w:val="32"/>
          <w:lang w:eastAsia="zh-CN"/>
          <w:highlight w:val="auto"/>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公务用车运行维护费支出1.10万元：</w:t>
      </w:r>
      <w:r>
        <w:rPr>
          <w:rFonts w:ascii="Times New Roman" w:eastAsia="仿宋_GB2312" w:hAnsi="Times New Roman"/>
          <w:b w:val="0"/>
          <w:sz w:val="32"/>
          <w:szCs w:val="32"/>
        </w:rPr>
        <w:t>本单位2025年度单位公务用车保有量1辆，发生运行维护费支出1.10万元。公车运行维护费支出较预算</w:t>
      </w:r>
      <w:r>
        <w:rPr>
          <w:rFonts w:ascii="Times New Roman" w:eastAsia="仿宋_GB2312" w:hAnsi="Times New Roman" w:hint="eastAsia"/>
          <w:b w:val="0"/>
          <w:sz w:val="32"/>
          <w:szCs w:val="32"/>
          <w:lang w:eastAsia="zh-CN"/>
        </w:rPr>
        <w:t>减少</w:t>
      </w:r>
      <w:r>
        <w:rPr>
          <w:rFonts w:ascii="Times New Roman" w:eastAsia="仿宋_GB2312" w:hAnsi="Times New Roman"/>
          <w:b w:val="0"/>
          <w:sz w:val="32"/>
          <w:szCs w:val="32"/>
        </w:rPr>
        <w:t>0.</w:t>
      </w:r>
      <w:r>
        <w:rPr>
          <w:rFonts w:ascii="Times New Roman" w:eastAsia="仿宋_GB2312" w:hAnsi="Times New Roman" w:hint="eastAsia"/>
          <w:b w:val="0"/>
          <w:sz w:val="32"/>
          <w:szCs w:val="32"/>
          <w:lang w:val="en-US" w:eastAsia="zh-CN"/>
        </w:rPr>
        <w:t>04</w:t>
      </w:r>
      <w:r>
        <w:rPr>
          <w:rFonts w:ascii="Times New Roman" w:eastAsia="仿宋_GB2312" w:hAnsi="Times New Roman"/>
          <w:b w:val="0"/>
          <w:sz w:val="32"/>
          <w:szCs w:val="32"/>
        </w:rPr>
        <w:t>万元，</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3.51</w:t>
      </w:r>
      <w:r>
        <w:rPr>
          <w:rFonts w:ascii="Times New Roman" w:eastAsia="仿宋_GB2312" w:hAnsi="Times New Roman"/>
          <w:b w:val="0"/>
          <w:sz w:val="32"/>
          <w:szCs w:val="32"/>
        </w:rPr>
        <w:t>%，主要原因是认真贯彻落实中央八项规定精神和厉行节约要求，从严控制“三公”经费开支；较2024年度决算减少0.02万元，降低1.8%，主要原因是</w:t>
      </w:r>
      <w:r>
        <w:rPr>
          <w:rFonts w:ascii="Times New Roman" w:eastAsia="仿宋_GB2312" w:cs="Times New Roman" w:hAnsi="Times New Roman" w:hint="eastAsia"/>
          <w:color w:val="auto"/>
          <w:kern w:val="2"/>
          <w:sz w:val="32"/>
          <w:szCs w:val="32"/>
          <w:lang w:val="zh-CN" w:eastAsia="zh-CN" w:bidi="ar-SA"/>
        </w:rPr>
        <w:t>公务用车维修费减少。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3.公务接待费支出情况。</w:t>
      </w:r>
      <w:r>
        <w:rPr>
          <w:rFonts w:ascii="Times New Roman" w:eastAsia="仿宋_GB2312" w:hAnsi="Times New Roman"/>
          <w:b w:val="0"/>
          <w:sz w:val="32"/>
          <w:szCs w:val="32"/>
        </w:rPr>
        <w:t>本单位202</w:t>
      </w:r>
      <w:r>
        <w:rPr>
          <w:rFonts w:ascii="Times New Roman" w:eastAsia="仿宋_GB2312" w:hAnsi="Times New Roman" w:hint="eastAsia"/>
          <w:b w:val="0"/>
          <w:sz w:val="32"/>
          <w:szCs w:val="32"/>
          <w:lang w:val="en-US" w:eastAsia="zh-CN"/>
        </w:rPr>
        <w:t>5</w:t>
      </w:r>
      <w:r>
        <w:rPr>
          <w:rFonts w:ascii="Times New Roman" w:eastAsia="仿宋_GB2312" w:hAnsi="Times New Roman"/>
          <w:b w:val="0"/>
          <w:sz w:val="32"/>
          <w:szCs w:val="32"/>
        </w:rPr>
        <w:t>年度公务接待费支出预算为0.00万元，支出决算0.00万元，</w:t>
      </w:r>
      <w:r>
        <w:rPr>
          <w:rFonts w:ascii="Times New Roman" w:eastAsia="仿宋_GB2312" w:hAnsi="Times New Roman" w:hint="eastAsia"/>
          <w:b w:val="0"/>
          <w:sz w:val="32"/>
          <w:szCs w:val="32"/>
          <w:lang w:eastAsia="zh-CN"/>
        </w:rPr>
        <w:t>本单位</w:t>
      </w:r>
      <w:r>
        <w:rPr>
          <w:rFonts w:ascii="Times New Roman" w:eastAsia="仿宋_GB2312" w:cs="Times New Roman" w:hAnsi="Times New Roman"/>
          <w:color w:val="000000"/>
          <w:sz w:val="32"/>
          <w:szCs w:val="32"/>
          <w:highlight w:val="auto"/>
        </w:rPr>
        <w:t>未发生</w:t>
      </w:r>
      <w:r>
        <w:rPr>
          <w:rFonts w:ascii="Times New Roman" w:eastAsia="仿宋_GB2312" w:hAnsi="Times New Roman"/>
          <w:b w:val="0"/>
          <w:sz w:val="32"/>
          <w:szCs w:val="32"/>
        </w:rPr>
        <w:t>公务接待费支出</w:t>
      </w:r>
      <w:r>
        <w:rPr>
          <w:rFonts w:ascii="Times New Roman" w:eastAsia="仿宋_GB2312" w:cs="Times New Roman" w:hAnsi="Times New Roman"/>
          <w:color w:val="000000"/>
          <w:sz w:val="32"/>
          <w:szCs w:val="32"/>
          <w:highlight w:val="auto"/>
        </w:rPr>
        <w:t>、“与预算持平”、“与202</w:t>
      </w:r>
      <w:r>
        <w:rPr>
          <w:rFonts w:ascii="Times New Roman" w:eastAsia="仿宋_GB2312" w:cs="Times New Roman" w:hAnsi="Times New Roman" w:hint="eastAsia"/>
          <w:color w:val="000000"/>
          <w:sz w:val="32"/>
          <w:szCs w:val="32"/>
          <w:lang w:val="en-US" w:eastAsia="zh-CN"/>
          <w:highlight w:val="auto"/>
        </w:rPr>
        <w:t>4</w:t>
      </w:r>
      <w:r>
        <w:rPr>
          <w:rFonts w:ascii="Times New Roman" w:eastAsia="仿宋_GB2312" w:cs="Times New Roman" w:hAnsi="Times New Roman"/>
          <w:color w:val="000000"/>
          <w:sz w:val="32"/>
          <w:szCs w:val="32"/>
          <w:highlight w:val="auto"/>
        </w:rPr>
        <w:t>年度决算支出持平</w:t>
      </w:r>
      <w:r>
        <w:rPr>
          <w:rFonts w:ascii="Times New Roman" w:eastAsia="仿宋_GB2312" w:cs="Times New Roman" w:hAnsi="Times New Roman"/>
          <w:color w:val="000000"/>
          <w:sz w:val="32"/>
          <w:szCs w:val="32"/>
          <w:lang w:val="en-US" w:eastAsia="zh-CN"/>
          <w:highlight w:val="auto"/>
        </w:rPr>
        <w:t>”</w:t>
      </w:r>
      <w:r>
        <w:rPr>
          <w:rFonts w:ascii="Times New Roman" w:eastAsia="仿宋_GB2312" w:cs="Times New Roman" w:hAnsi="Times New Roman" w:hint="eastAsia"/>
          <w:color w:val="000000"/>
          <w:sz w:val="32"/>
          <w:szCs w:val="32"/>
          <w:lang w:eastAsia="zh-CN"/>
          <w:highlight w:val="auto"/>
        </w:rPr>
        <w:t>。</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六、机关运行经费支出说明</w:t>
      </w:r>
    </w:p>
    <w:p>
      <w:pPr>
        <w:adjustRightInd w:val="0"/>
        <w:snapToGrid w:val="0"/>
        <w:spacing w:line="580" w:lineRule="exact"/>
        <w:ind w:firstLineChars="200" w:firstLine="640"/>
        <w:rPr>
          <w:rFonts w:ascii="Times New Roman" w:eastAsia="仿宋_GB2312" w:hAnsi="Times New Roman"/>
          <w:sz w:val="32"/>
          <w:szCs w:val="32"/>
        </w:rPr>
      </w:pPr>
      <w:r>
        <w:rPr>
          <w:rFonts w:ascii="Times New Roman" w:eastAsia="仿宋_GB2312" w:hAnsi="Times New Roman"/>
          <w:b w:val="0"/>
          <w:sz w:val="32"/>
          <w:szCs w:val="32"/>
        </w:rPr>
        <w:t>本单位2025年度机关运行经费支出0.00万元，较2024年度增加0.00万元，增长0.00%。主要原因是</w:t>
      </w:r>
      <w:r>
        <w:rPr>
          <w:rFonts w:ascii="仿宋_GB2312" w:eastAsia="仿宋_GB2312" w:cs="DengXian-Regular" w:hAnsi="Times New Roman" w:hint="eastAsia"/>
          <w:sz w:val="32"/>
          <w:szCs w:val="32"/>
          <w:lang w:eastAsia="zh-CN"/>
        </w:rPr>
        <w:t>老干部活动中心属于事业单位不涉及行政运行经费</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截至2025年12月31日，本单位共有车辆1辆，比上年增加0辆</w:t>
      </w:r>
      <w:r>
        <w:rPr>
          <w:rFonts w:ascii="Times New Roman" w:eastAsia="仿宋_GB2312" w:hAnsi="Times New Roman" w:hint="eastAsia"/>
          <w:b w:val="0"/>
          <w:sz w:val="32"/>
          <w:szCs w:val="32"/>
          <w:lang w:eastAsia="zh-CN"/>
        </w:rPr>
        <w:t>。</w:t>
      </w:r>
      <w:r>
        <w:rPr>
          <w:rFonts w:ascii="Times New Roman" w:eastAsia="仿宋_GB2312" w:hAnsi="Times New Roman"/>
          <w:b w:val="0"/>
          <w:sz w:val="32"/>
          <w:szCs w:val="32"/>
        </w:rPr>
        <w:t>其中，副部（省）级及以上领导用车0辆，主要负责人用车0辆，机要通信用车0辆，应急保障用车0辆，执法执勤用车0辆，特种专业技术用车0辆，离退休干部用车1辆，其他用车0辆，其他用车主要是。单位价值100万元（含）以上设备（不含车辆）0台（套）。</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九、关于2025年度绩效评价情况的说明</w:t>
      </w:r>
      <w:r>
        <w:rPr>
          <w:rFonts w:ascii="Times New Roman" w:eastAsia="黑体" w:hAnsi="Times New Roman" w:hint="eastAsia"/>
          <w:b w:val="0"/>
          <w:sz w:val="32"/>
          <w:szCs w:val="32"/>
          <w:lang w:val="en-US" w:eastAsia="zh-CN"/>
        </w:rPr>
        <w:t xml:space="preserve">  </w:t>
      </w:r>
      <w:r>
        <w:rPr>
          <w:rFonts w:ascii="宋体" w:eastAsia="宋体" w:cs="宋体" w:hAnsi="宋体" w:hint="eastAsia"/>
          <w:b w:val="0"/>
          <w:sz w:val="32"/>
          <w:szCs w:val="32"/>
          <w:lang w:val="en-US" w:eastAsia="zh-CN"/>
        </w:rPr>
        <w:t>本单位无项目支出。</w:t>
      </w:r>
    </w:p>
    <w:p>
      <w:pPr>
        <w:widowControl/>
        <w:spacing w:before="0" w:beforeAutospacing="0" w:after="0" w:afterAutospacing="0" w:line="360" w:lineRule="auto"/>
        <w:ind w:firstLineChars="200" w:firstLine="640"/>
        <w:jc w:val="left"/>
        <w:rPr>
          <w:rFonts w:ascii="Times New Roman" w:eastAsia="黑体" w:hAnsi="Times New Roman"/>
          <w:sz w:val="32"/>
          <w:szCs w:val="32"/>
        </w:rPr>
      </w:pPr>
      <w:r>
        <w:rPr>
          <w:rFonts w:ascii="Times New Roman" w:eastAsia="黑体" w:hAnsi="Times New Roman"/>
          <w:b w:val="0"/>
          <w:sz w:val="32"/>
          <w:szCs w:val="32"/>
        </w:rPr>
        <w:t>十、其他需要说明的情况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由于决算公开表格中金额数值应当保留两位小数，公开数据为四舍五入计算结果，个别数据合计项与分项之和存在小数点后差额，特此说明。</w:t>
      </w:r>
    </w:p>
    <w:p>
      <w:pPr>
        <w:rPr>
          <w:rFonts w:ascii="Times New Roman" w:eastAsia="仿宋_GB2312" w:cs="Times New Roman" w:hAnsi="Times New Roman"/>
          <w:sz w:val="32"/>
          <w:szCs w:val="32"/>
        </w:rPr>
      </w:pPr>
      <w:r>
        <w:rPr>
          <w:rFonts w:ascii="Times New Roman" w:eastAsia="仿宋_GB2312" w:cs="Times New Roman" w:hAnsi="Times New Roman"/>
          <w:sz w:val="32"/>
          <w:szCs w:val="32"/>
        </w:rPr>
        <w:br w:type="page"/>
      </w: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第四部分 名词解释</w:t>
      </w: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一、财政拨款收入：</w:t>
      </w:r>
      <w:r>
        <w:rPr>
          <w:rFonts w:ascii="Times New Roman" w:eastAsia="仿宋_GB2312" w:hAnsi="Times New Roman"/>
          <w:b w:val="0"/>
          <w:sz w:val="32"/>
          <w:szCs w:val="32"/>
        </w:rPr>
        <w:t>指单位从同级财政部门取得的财政预算资金。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二、事业收入：</w:t>
      </w:r>
      <w:r>
        <w:rPr>
          <w:rFonts w:ascii="Times New Roman" w:eastAsia="仿宋_GB2312" w:hAnsi="Times New Roman"/>
          <w:b w:val="0"/>
          <w:sz w:val="32"/>
          <w:szCs w:val="32"/>
        </w:rPr>
        <w:t>指事业单位开展专业业务活动及辅助活动取得的收入。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三、经营收入：</w:t>
      </w:r>
      <w:r>
        <w:rPr>
          <w:rFonts w:ascii="Times New Roman" w:eastAsia="仿宋_GB2312" w:hAnsi="Times New Roman"/>
          <w:b w:val="0"/>
          <w:sz w:val="32"/>
          <w:szCs w:val="32"/>
        </w:rPr>
        <w:t>指事业单位在专业业务活动及其辅助活动之外开展非独立核算经营活动取得的收入。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四、其他收入：</w:t>
      </w:r>
      <w:r>
        <w:rPr>
          <w:rFonts w:ascii="Times New Roman" w:eastAsia="仿宋_GB2312" w:hAnsi="Times New Roman"/>
          <w:b w:val="0"/>
          <w:sz w:val="32"/>
          <w:szCs w:val="32"/>
        </w:rPr>
        <w:t>指单位取得的除上述收入以外的各项收入。主要是事业单位固定资产出租收入、存款利息收入等。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五、使用非财政拨款结余（含专用结余）：</w:t>
      </w:r>
      <w:r>
        <w:rPr>
          <w:rFonts w:ascii="Times New Roman" w:eastAsia="仿宋_GB2312" w:hAnsi="Times New Roman"/>
          <w:b w:val="0"/>
          <w:sz w:val="32"/>
          <w:szCs w:val="32"/>
        </w:rPr>
        <w:t>指事业单位按照预算管理要求使用非财政拨款结余弥补收支差额的金额，以及使用专用结余安排支出的金额。</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六、年初结转和结余：</w:t>
      </w:r>
      <w:r>
        <w:rPr>
          <w:rFonts w:ascii="Times New Roman" w:eastAsia="仿宋_GB2312" w:hAnsi="Times New Roman"/>
          <w:b w:val="0"/>
          <w:sz w:val="32"/>
          <w:szCs w:val="32"/>
        </w:rPr>
        <w:t>指单位以前年度尚未完成、结转到本年仍按原规定用途继续使用的资金，或项目已完成等产生的结余资金。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七、结余分配：</w:t>
      </w:r>
      <w:r>
        <w:rPr>
          <w:rFonts w:ascii="Times New Roman" w:eastAsia="仿宋_GB2312" w:hAnsi="Times New Roman"/>
          <w:b w:val="0"/>
          <w:sz w:val="32"/>
          <w:szCs w:val="32"/>
        </w:rPr>
        <w:t>指事业单位按照会计制度规定缴纳的所得税、提取的专用结余以及转入非财政拨款结余的金额等。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八、年末结转和结余：</w:t>
      </w:r>
      <w:r>
        <w:rPr>
          <w:rFonts w:ascii="Times New Roman" w:eastAsia="仿宋_GB2312" w:hAnsi="Times New Roman"/>
          <w:b w:val="0"/>
          <w:sz w:val="32"/>
          <w:szCs w:val="32"/>
        </w:rPr>
        <w:t>指单位按有关规定结转到下年或以后年度继续使用的资金，或项目已完成等产生的结余资金。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九、基本支出：</w:t>
      </w:r>
      <w:r>
        <w:rPr>
          <w:rFonts w:ascii="Times New Roman" w:eastAsia="仿宋_GB2312" w:hAnsi="Times New Roman"/>
          <w:b w:val="0"/>
          <w:sz w:val="32"/>
          <w:szCs w:val="32"/>
        </w:rPr>
        <w:t>指为保障机构正常运转、完成日常工作任务而发生的人员支出和公用支出。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十、项目支出：</w:t>
      </w:r>
      <w:r>
        <w:rPr>
          <w:rFonts w:ascii="Times New Roman" w:eastAsia="仿宋_GB2312" w:hAnsi="Times New Roman"/>
          <w:b w:val="0"/>
          <w:sz w:val="32"/>
          <w:szCs w:val="32"/>
        </w:rPr>
        <w:t>指在基本支出之外为完成特定行政任务和事业发展目标所发生的支出。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十一、经营支出 ：</w:t>
      </w:r>
      <w:r>
        <w:rPr>
          <w:rFonts w:ascii="Times New Roman" w:eastAsia="仿宋_GB2312" w:hAnsi="Times New Roman"/>
          <w:b w:val="0"/>
          <w:sz w:val="32"/>
          <w:szCs w:val="32"/>
        </w:rPr>
        <w:t>指事业单位在专业业务活动及其辅助活动之外开展非独立核算经营活动发生的支出。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十二、基本建设支出：</w:t>
      </w:r>
      <w:r>
        <w:rPr>
          <w:rFonts w:ascii="Times New Roman" w:eastAsia="仿宋_GB2312" w:hAnsi="Times New Roman"/>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十三、其他资本性支出：</w:t>
      </w:r>
      <w:r>
        <w:rPr>
          <w:rFonts w:ascii="Times New Roman" w:eastAsia="仿宋_GB2312" w:hAnsi="Times New Roman"/>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十四、“三公”经费：</w:t>
      </w:r>
      <w:r>
        <w:rPr>
          <w:rFonts w:ascii="Times New Roman" w:eastAsia="仿宋_GB2312" w:hAnsi="Times New Roman"/>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十五、其他交通费用：</w:t>
      </w:r>
      <w:r>
        <w:rPr>
          <w:rFonts w:ascii="Times New Roman" w:eastAsia="仿宋_GB2312" w:hAnsi="Times New Roman"/>
          <w:b w:val="0"/>
          <w:sz w:val="32"/>
          <w:szCs w:val="32"/>
        </w:rPr>
        <w:t>填列单位除公务用车运行维护费以外的其他交通费用。如公务交通补贴、租车费用、出租车费用，飞机、船舶等燃料费、维修费、保险费等。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十六、公务用车购置：</w:t>
      </w:r>
      <w:r>
        <w:rPr>
          <w:rFonts w:ascii="Times New Roman" w:eastAsia="仿宋_GB2312" w:hAnsi="Times New Roman"/>
          <w:b w:val="0"/>
          <w:sz w:val="32"/>
          <w:szCs w:val="32"/>
        </w:rPr>
        <w:t>填列单位公务用车车辆购置支出（含车辆购置税、牌照费）。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十七、其他交通工具购置：</w:t>
      </w:r>
      <w:r>
        <w:rPr>
          <w:rFonts w:ascii="Times New Roman" w:eastAsia="仿宋_GB2312" w:hAnsi="Times New Roman"/>
          <w:b w:val="0"/>
          <w:sz w:val="32"/>
          <w:szCs w:val="32"/>
        </w:rPr>
        <w:t>填列单位除公务用车外的其他各类交通工具（如船舶、飞机等）购置支出（含车辆购置税、牌照费）。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十八、机关运行经费：</w:t>
      </w:r>
      <w:r>
        <w:rPr>
          <w:rFonts w:ascii="Times New Roman" w:eastAsia="仿宋_GB2312" w:hAnsi="Times New Roman"/>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rtlGutter/>
      <w:docGrid w:type="lines" w:linePitch="329" w:charSpace="0"/>
    </w:sectPr>
  </w:body>
</w:document>
</file>

<file path=word/fontTable.xml><?xml version="1.0" encoding="utf-8"?>
<w:fonts xmlns:w="http://schemas.openxmlformats.org/wordprocessingml/2006/main" xmlns:r="http://schemas.openxmlformats.org/officeDocument/2006/relationships">
  <w:font w:name="微软雅黑">
    <w:panose1 w:val="020B0503020204020204"/>
    <w:charset w:val="86"/>
    <w:family w:val="auto"/>
    <w:pitch w:val="variable"/>
    <w:sig w:usb0="80000287" w:usb1="280F3C52" w:usb2="00000016" w:usb3="00000000" w:csb0="0004001F" w:csb1="00000000"/>
  </w:font>
  <w:font w:name="楷体_GB2312">
    <w:altName w:val="楷体"/>
    <w:panose1 w:val="02010609030101010101"/>
    <w:charset w:val="86"/>
    <w:family w:val="auto"/>
    <w:pitch w:val="variable"/>
    <w:sig w:usb0="00000001" w:usb1="080E0000" w:usb2="00000000" w:usb3="00000000" w:csb0="00040000" w:csb1="00000000"/>
  </w:font>
  <w:font w:name="黑体">
    <w:altName w:val="微软雅黑"/>
    <w:panose1 w:val="02010609060101010101"/>
    <w:charset w:val="86"/>
    <w:family w:val="auto"/>
    <w:pitch w:val="variable"/>
    <w:sig w:usb0="800002BF" w:usb1="38CF7CFA" w:usb2="00000016" w:usb3="00000000" w:csb0="00040001" w:csb1="00000000"/>
  </w:font>
  <w:font w:name="Times New Roman">
    <w:panose1 w:val="02020603050405020304"/>
    <w:charset w:val="86"/>
    <w:family w:val="roman"/>
    <w:pitch w:val="variable"/>
    <w:sig w:usb0="E0002AFF" w:usb1="C0007841" w:usb2="00000009" w:usb3="00000000" w:csb0="400001FF" w:csb1="FFFF0000"/>
  </w:font>
  <w:font w:name="方正小标宋_GBK">
    <w:altName w:val="微软雅黑"/>
    <w:panose1 w:val="02000000000000000000"/>
    <w:charset w:val="86"/>
    <w:family w:val="script"/>
    <w:pitch w:val="variable"/>
    <w:sig w:usb0="A00002BF" w:usb1="38CF7CFA" w:usb2="00082016" w:usb3="00000000" w:csb0="00040001" w:csb1="00000000"/>
  </w:font>
  <w:font w:name="仿宋_GB2312">
    <w:altName w:val="仿宋"/>
    <w:panose1 w:val="02010609030101010101"/>
    <w:charset w:val="86"/>
    <w:family w:val="auto"/>
    <w:pitch w:val="variable"/>
    <w:sig w:usb0="00000001" w:usb1="080E0000" w:usb2="00000000" w:usb3="00000000" w:csb0="00040000" w:csb1="00000000"/>
  </w:font>
  <w:font w:name="宋体">
    <w:panose1 w:val="02010600030101010101"/>
    <w:charset w:val="50"/>
    <w:family w:val="auto"/>
    <w:pitch w:val="variable"/>
    <w:sig w:usb0="000000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ArialUnicodeMS">
    <w:altName w:val="hakuyoxingshu7000"/>
    <w:panose1 w:val="00000000000000000000"/>
    <w:charset w:val="81"/>
    <w:family w:val="auto"/>
    <w:pitch w:val="variable"/>
    <w:sig w:usb0="00000000" w:usb1="00000000" w:usb2="00000010" w:usb3="00000000" w:csb0="00080001" w:csb1="00000000"/>
  </w:font>
  <w:font w:name="Calibri">
    <w:panose1 w:val="020F0502020204030204"/>
    <w:charset w:val="00"/>
    <w:family w:val="swiss"/>
    <w:pitch w:val="variable"/>
    <w:sig w:usb0="E10002FF" w:usb1="4000ACFF" w:usb2="00000009" w:usb3="00000000" w:csb0="2000019F" w:csb1="00000000"/>
  </w:font>
  <w:font w:name="方正仿宋_GB2312">
    <w:altName w:val="微软雅黑"/>
    <w:panose1 w:val="02000000000000000000"/>
    <w:charset w:val="86"/>
    <w:family w:val="auto"/>
    <w:pitch w:val="variable"/>
    <w:sig w:usb0="A00002BF" w:usb1="184F6CFA" w:usb2="00000012" w:usb3="00000000" w:csb0="00040001" w:csb1="00000000"/>
  </w:font>
  <w:font w:name="Arial">
    <w:panose1 w:val="020B0604020202020204"/>
    <w:charset w:val="01"/>
    <w:family w:val="swiss"/>
    <w:pitch w:val="variable"/>
    <w:sig w:usb0="E0002AFF" w:usb1="C0007843" w:usb2="00000009" w:usb3="00000000" w:csb0="400001FF" w:csb1="FFFF0000"/>
  </w:font>
  <w:font w:name="DengXian-Regular">
    <w:altName w:val="宋体"/>
    <w:panose1 w:val="00000000000000000000"/>
    <w:charset w:val="86"/>
    <w:family w:val="auto"/>
    <w:pitch w:val="variable"/>
    <w:sig w:usb0="00000000" w:usb1="00000000" w:usb2="00000010" w:usb3="00000000" w:csb0="00040001" w:csb1="00000000"/>
  </w:font>
  <w:font w:name="Calibri Light">
    <w:altName w:val="Calibri"/>
    <w:panose1 w:val="020F0302020204030204"/>
    <w:charset w:val="00"/>
    <w:family w:val="auto"/>
    <w:pitch w:val="variable"/>
    <w:sig w:usb0="00000000" w:usb1="00000000" w:usb2="00000000" w:usb3="00000000" w:csb0="2000019F" w:csb1="00000000"/>
  </w:font>
  <w:font w:name="华文中宋">
    <w:altName w:val="宋体"/>
    <w:panose1 w:val="02010600040101010101"/>
    <w:charset w:val="86"/>
    <w:family w:val="auto"/>
    <w:pitch w:val="variable"/>
    <w:sig w:usb0="00000000" w:usb1="00000000" w:usb2="00000000" w:usb3="00000000" w:csb0="0004009F" w:csb1="DFD7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jc w:val="center"/>
    </w:pPr>
  </w:p>
  <w:p>
    <w:pPr>
      <w:pStyle w:val="17"/>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FE194AB8"/>
    <w:multiLevelType w:val="multilevel"/>
    <w:tmpl w:val="5F16A424"/>
    <w:lvl w:ilvl="0">
      <w:start w:val="1"/>
      <w:numFmt w:val="decimal"/>
      <w:lvlRestart w:val="0"/>
      <w:pStyle w:val="1"/>
      <w:lvlText w:val="%1."/>
      <w:lvlJc w:val="left"/>
      <w:pPr>
        <w:ind w:left="425" w:hanging="425"/>
      </w:pPr>
      <w:rPr>
        <w:rFonts w:hint="default"/>
      </w:rPr>
    </w:lvl>
    <w:lvl w:ilvl="1">
      <w:start w:val="1"/>
      <w:numFmt w:val="decimal"/>
      <w:pStyle w:val="2"/>
      <w:lvlText w:val="%1.%2."/>
      <w:lvlJc w:val="left"/>
      <w:pPr>
        <w:ind w:left="567" w:hanging="567"/>
      </w:pPr>
      <w:rPr>
        <w:rFonts w:hint="default"/>
      </w:rPr>
    </w:lvl>
    <w:lvl w:ilvl="2">
      <w:start w:val="1"/>
      <w:numFmt w:val="decimal"/>
      <w:pStyle w:val="3"/>
      <w:lvlText w:val="%1.%2.%3."/>
      <w:lvlJc w:val="left"/>
      <w:pPr>
        <w:ind w:left="709" w:hanging="709"/>
      </w:pPr>
      <w:rPr>
        <w:rFonts w:hint="default"/>
      </w:rPr>
    </w:lvl>
    <w:lvl w:ilvl="3">
      <w:start w:val="1"/>
      <w:numFmt w:val="decimal"/>
      <w:pStyle w:val="4"/>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val="0"/>
  <w:bordersDoNotSurroundFooter w:val="0"/>
  <w:documentProtection w:edit="readOnly" w:enforcement="0"/>
  <w:defaultTabStop w:val="420"/>
  <w:drawingGridHorizontalSpacing w:val="120"/>
  <w:drawingGridVerticalSpacing w:val="165"/>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docVars>
    <w:docVar w:name="commondata" w:val="eyJjb3VudCI6NjksImhkaWQiOiJiMzk2N2EzZjUyYWViODRjZjJhMDZjM2YyYjk4MTExMiIsInVzZXJDb3VudCI6MX0="/>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jc w:val="both"/>
    </w:pPr>
    <w:rPr>
      <w:rFonts w:ascii="Calibri" w:eastAsia="宋体" w:cs="宋体" w:hAnsi="Times New Roman"/>
      <w:color w:val="auto"/>
      <w:kern w:val="0"/>
      <w:sz w:val="24"/>
      <w:szCs w:val="24"/>
      <w:lang w:val="en-US" w:eastAsia="zh-CN" w:bidi="ar-SA"/>
    </w:rPr>
  </w:style>
  <w:style w:type="paragraph" w:styleId="1">
    <w:name w:val="heading 1"/>
    <w:basedOn w:val="0"/>
    <w:next w:val="0"/>
    <w:pPr>
      <w:keepNext/>
      <w:keepLines/>
      <w:widowControl w:val="0"/>
      <w:numPr>
        <w:ilvl w:val="0"/>
        <w:numId w:val="1"/>
      </w:numPr>
      <w:adjustRightInd w:val="0"/>
      <w:snapToGrid w:val="0"/>
      <w:spacing w:before="340" w:afterLines="50" w:after="50" w:line="578" w:lineRule="auto"/>
      <w:ind w:left="425" w:hanging="425"/>
      <w:jc w:val="left"/>
      <w:outlineLvl w:val="0"/>
    </w:pPr>
    <w:rPr>
      <w:rFonts w:ascii="Times New Roman" w:eastAsia="仿宋" w:cs="Times New Roman" w:hAnsi="Times New Roman"/>
      <w:b/>
      <w:bCs/>
      <w:kern w:val="44"/>
      <w:sz w:val="36"/>
      <w:szCs w:val="44"/>
    </w:rPr>
  </w:style>
  <w:style w:type="paragraph" w:styleId="2">
    <w:name w:val="heading 2"/>
    <w:basedOn w:val="0"/>
    <w:next w:val="0"/>
    <w:pPr>
      <w:widowControl w:val="0"/>
      <w:numPr>
        <w:ilvl w:val="1"/>
        <w:numId w:val="1"/>
      </w:numPr>
      <w:spacing w:line="415" w:lineRule="auto"/>
      <w:ind w:left="567" w:hanging="567"/>
      <w:outlineLvl w:val="1"/>
    </w:pPr>
    <w:rPr>
      <w:rFonts w:ascii="Calibri Light" w:eastAsia="宋体" w:cs="Times New Roman" w:hAnsi="Calibri Light"/>
      <w:b/>
      <w:bCs/>
      <w:sz w:val="28"/>
      <w:szCs w:val="32"/>
    </w:rPr>
  </w:style>
  <w:style w:type="paragraph" w:styleId="3">
    <w:name w:val="heading 3"/>
    <w:basedOn w:val="0"/>
    <w:next w:val="0"/>
    <w:pPr>
      <w:keepNext/>
      <w:keepLines/>
      <w:widowControl w:val="0"/>
      <w:numPr>
        <w:ilvl w:val="2"/>
        <w:numId w:val="1"/>
      </w:numPr>
      <w:spacing w:beforeLines="50" w:before="50" w:afterLines="50" w:after="50" w:line="415" w:lineRule="auto"/>
      <w:outlineLvl w:val="2"/>
    </w:pPr>
    <w:rPr>
      <w:rFonts w:ascii="宋体" w:eastAsia="宋体" w:cs="宋体" w:hAnsi="宋体"/>
      <w:b/>
      <w:bCs/>
      <w:sz w:val="32"/>
    </w:rPr>
  </w:style>
  <w:style w:type="paragraph" w:styleId="4">
    <w:name w:val="heading 4"/>
    <w:basedOn w:val="0"/>
    <w:next w:val="0"/>
    <w:pPr>
      <w:keepNext/>
      <w:keepLines/>
      <w:widowControl w:val="0"/>
      <w:numPr>
        <w:ilvl w:val="3"/>
        <w:numId w:val="1"/>
      </w:numPr>
      <w:spacing w:before="120" w:after="120"/>
      <w:outlineLvl w:val="3"/>
    </w:pPr>
    <w:rPr>
      <w:rFonts w:ascii="Calibri Light" w:eastAsia="宋体" w:cs="Times New Roman" w:hAnsi="Calibri Light"/>
      <w:b/>
      <w:bCs/>
      <w:sz w:val="28"/>
      <w:szCs w:val="28"/>
    </w:rPr>
  </w:style>
  <w:style w:type="character" w:default="1" w:styleId="10">
    <w:name w:val="Default Paragraph Font"/>
  </w:style>
  <w:style w:type="paragraph" w:styleId="15">
    <w:name w:val="annotation text"/>
    <w:basedOn w:val="0"/>
    <w:pPr>
      <w:jc w:val="left"/>
    </w:pPr>
  </w:style>
  <w:style w:type="paragraph" w:styleId="16">
    <w:name w:val="Balloon Text"/>
    <w:basedOn w:val="0"/>
    <w:rPr>
      <w:rFonts w:cs="Arial"/>
      <w:kern w:val="2"/>
      <w:sz w:val="18"/>
      <w:szCs w:val="18"/>
    </w:rPr>
  </w:style>
  <w:style w:type="paragraph" w:styleId="17">
    <w:name w:val="footer"/>
    <w:basedOn w:val="0"/>
    <w:pPr>
      <w:tabs>
        <w:tab w:val="center" w:pos="4153"/>
        <w:tab w:val="right" w:pos="8306"/>
      </w:tabs>
      <w:snapToGrid w:val="0"/>
      <w:jc w:val="left"/>
    </w:pPr>
    <w:rPr>
      <w:rFonts w:cs="Arial"/>
      <w:kern w:val="2"/>
      <w:sz w:val="18"/>
      <w:szCs w:val="18"/>
    </w:rPr>
  </w:style>
  <w:style w:type="paragraph" w:styleId="18">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jc w:val="center"/>
    </w:pPr>
    <w:rPr>
      <w:rFonts w:cs="Arial"/>
      <w:kern w:val="2"/>
      <w:sz w:val="18"/>
      <w:szCs w:val="18"/>
    </w:rPr>
  </w:style>
  <w:style w:type="paragraph" w:styleId="19">
    <w:name w:val="Normal (Web)"/>
    <w:basedOn w:val="0"/>
    <w:pPr>
      <w:spacing w:before="0" w:beforeAutospacing="1" w:after="0" w:afterAutospacing="1"/>
      <w:ind w:left="0" w:right="0"/>
      <w:jc w:val="left"/>
    </w:pPr>
    <w:rPr>
      <w:kern w:val="0"/>
      <w:sz w:val="24"/>
      <w:lang w:val="en-US" w:eastAsia="zh-CN"/>
    </w:rPr>
  </w:style>
  <w:style w:type="character" w:styleId="20">
    <w:name w:val="Strong"/>
    <w:basedOn w:val="10"/>
    <w:rPr>
      <w:b/>
    </w:rPr>
  </w:style>
  <w:style w:type="character" w:customStyle="1" w:styleId="21">
    <w:name w:val="font11"/>
    <w:basedOn w:val="10"/>
    <w:rPr>
      <w:rFonts w:ascii="宋体" w:eastAsia="宋体" w:cs="宋体" w:hAnsi="宋体"/>
      <w:color w:val="000000"/>
      <w:sz w:val="20"/>
      <w:szCs w:val="20"/>
      <w:u w:val="none"/>
      <w:lang w:val="en-US" w:eastAsia="zh-CN" w:bidi="ar-SA"/>
    </w:rPr>
  </w:style>
  <w:style w:type="character" w:customStyle="1" w:styleId="22">
    <w:name w:val="font01"/>
    <w:basedOn w:val="10"/>
    <w:rPr>
      <w:rFonts w:ascii="宋体" w:eastAsia="宋体" w:cs="宋体" w:hAnsi="宋体"/>
      <w:color w:val="000000"/>
      <w:sz w:val="22"/>
      <w:szCs w:val="22"/>
      <w:u w:val="none"/>
      <w:lang w:val="en-US" w:eastAsia="zh-CN" w:bidi="ar-SA"/>
    </w:rPr>
  </w:style>
  <w:style w:type="character" w:customStyle="1" w:styleId="23">
    <w:name w:val="font41"/>
    <w:basedOn w:val="10"/>
    <w:rPr>
      <w:rFonts w:ascii="宋体" w:eastAsia="宋体" w:cs="宋体" w:hAnsi="宋体"/>
      <w:color w:val="000000"/>
      <w:sz w:val="24"/>
      <w:szCs w:val="24"/>
      <w:u w:val="none"/>
      <w:lang w:val="en-US" w:eastAsia="zh-CN" w:bidi="ar-SA"/>
    </w:rPr>
  </w:style>
  <w:style w:type="character" w:customStyle="1" w:styleId="24">
    <w:name w:val="font31"/>
    <w:basedOn w:val="10"/>
    <w:rPr>
      <w:rFonts w:ascii="华文中宋" w:eastAsia="华文中宋" w:cs="华文中宋" w:hAnsi="华文中宋"/>
      <w:color w:val="000000"/>
      <w:sz w:val="32"/>
      <w:szCs w:val="32"/>
      <w:u w:val="none"/>
      <w:lang w:val="en-US" w:eastAsia="zh-CN" w:bidi="ar-SA"/>
    </w:rPr>
  </w:style>
  <w:style w:type="character" w:customStyle="1" w:styleId="25">
    <w:name w:val="font91"/>
    <w:basedOn w:val="10"/>
    <w:rPr>
      <w:rFonts w:ascii="华文中宋" w:eastAsia="华文中宋" w:cs="华文中宋" w:hAnsi="华文中宋"/>
      <w:color w:val="000000"/>
      <w:sz w:val="32"/>
      <w:szCs w:val="32"/>
      <w:u w:val="none"/>
      <w:lang w:val="en-US" w:eastAsia="zh-CN" w:bidi="ar-SA"/>
    </w:rPr>
  </w:style>
  <w:style w:type="character" w:customStyle="1" w:styleId="26">
    <w:name w:val="font51"/>
    <w:basedOn w:val="10"/>
    <w:rPr>
      <w:rFonts w:ascii="宋体" w:eastAsia="宋体" w:cs="宋体" w:hAnsi="宋体"/>
      <w:color w:val="000000"/>
      <w:sz w:val="24"/>
      <w:szCs w:val="24"/>
      <w:u w:val="none"/>
      <w:lang w:val="en-US" w:eastAsia="zh-CN" w:bidi="ar-SA"/>
    </w:rPr>
  </w:style>
  <w:style w:type="character" w:customStyle="1" w:styleId="27">
    <w:name w:val="font21"/>
    <w:basedOn w:val="10"/>
    <w:rPr>
      <w:rFonts w:ascii="方正仿宋_GB2312" w:eastAsia="方正仿宋_GB2312" w:cs="方正仿宋_GB2312" w:hAnsi="方正仿宋_GB2312"/>
      <w:color w:val="000000"/>
      <w:sz w:val="18"/>
      <w:szCs w:val="18"/>
      <w:u w:val="none"/>
    </w:rPr>
  </w:style>
  <w:style w:type="character" w:customStyle="1" w:styleId="28">
    <w:name w:val="font61"/>
    <w:basedOn w:val="10"/>
    <w:rPr>
      <w:rFonts w:ascii="方正仿宋_GB2312" w:eastAsia="方正仿宋_GB2312" w:cs="方正仿宋_GB2312" w:hAnsi="方正仿宋_GB2312"/>
      <w:color w:val="000000"/>
      <w:sz w:val="20"/>
      <w:szCs w:val="20"/>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jpeg"/><Relationship Id="rId4" Type="http://schemas.openxmlformats.org/officeDocument/2006/relationships/footer" Target="footer2.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3.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 Id="rId16" Type="http://schemas.openxmlformats.org/officeDocument/2006/relationships/chart" Target="charts/chart5.xml"/><Relationship Id="rId17" Type="http://schemas.openxmlformats.org/officeDocument/2006/relationships/styles" Target="styl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1 </a:t>
            </a:r>
            <a:r>
              <a:rPr lang="zh-CN" sz="1400" b="1" i="0" u="none" strike="noStrike" baseline="0">
                <a:solidFill>
                  <a:srgbClr val="404040"/>
                </a:solidFill>
                <a:latin typeface="Times New Roman"/>
                <a:ea typeface="宋体"/>
                <a:cs typeface="Arial"/>
              </a:rPr>
              <a:t>： </a:t>
            </a:r>
            <a:r>
              <a:rPr lang="zh-CN" sz="1400" b="1" i="0" u="none" strike="noStrike" baseline="0">
                <a:solidFill>
                  <a:srgbClr val="404040"/>
                </a:solidFill>
                <a:latin typeface="Times New Roman"/>
                <a:ea typeface="宋体"/>
                <a:cs typeface="Arial"/>
              </a:rPr>
              <a:t>2024-2025</a:t>
            </a:r>
            <a:r>
              <a:rPr lang="zh-CN" sz="1400" b="1" i="0" u="none" strike="noStrike" baseline="0">
                <a:solidFill>
                  <a:srgbClr val="404040"/>
                </a:solidFill>
                <a:latin typeface="Times New Roman"/>
                <a:ea typeface="宋体"/>
                <a:cs typeface="Arial"/>
              </a:rPr>
              <a:t>年收支总计对比图（万元）</a:t>
            </a:r>
          </a:p>
        </c:rich>
      </c:tx>
      <c:layout/>
      <c:overlay val="0"/>
      <c:spPr>
        <a:noFill/>
        <a:ln>
          <a:noFill/>
        </a:ln>
      </c:spPr>
    </c:title>
    <c:autoTitleDeleted val="1"/>
    <c:plotArea>
      <c:layout/>
      <c:barChart>
        <c:barDir val="col"/>
        <c:grouping val="clustered"/>
        <c:varyColors val="0"/>
        <c:ser>
          <c:idx val="0"/>
          <c:order val="0"/>
          <c:tx>
            <c:strRef>
              <c:f>'Sheet1'!$B$1</c:f>
              <c:strCache>
                <c:ptCount val="1"/>
                <c:pt idx="0">
                  <c:v>收支总计</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2025年</c:v>
                </c:pt>
                <c:pt idx="1">
                  <c:v>2024年</c:v>
                </c:pt>
              </c:strCache>
            </c:strRef>
          </c:cat>
          <c:val>
            <c:numRef>
              <c:f>'Sheet1'!$B$2:$B$3</c:f>
              <c:numCache>
                <c:formatCode>General</c:formatCode>
                <c:ptCount val="2"/>
                <c:pt idx="0">
                  <c:v>184.46</c:v>
                </c:pt>
                <c:pt idx="1">
                  <c:v>158.28</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2 </a:t>
            </a:r>
            <a:r>
              <a:rPr lang="zh-CN" sz="1400" b="1" i="0" u="none" strike="noStrike" baseline="0">
                <a:solidFill>
                  <a:srgbClr val="404040"/>
                </a:solidFill>
                <a:latin typeface="Times New Roman"/>
                <a:ea typeface="宋体"/>
                <a:cs typeface="Arial"/>
              </a:rPr>
              <a:t>：收入决算构成情况图</a:t>
            </a:r>
          </a:p>
        </c:rich>
      </c:tx>
      <c:layout/>
      <c:overlay val="0"/>
      <c:spPr>
        <a:noFill/>
        <a:ln>
          <a:noFill/>
        </a:ln>
      </c:spPr>
    </c:title>
    <c:autoTitleDeleted val="1"/>
    <c:plotArea>
      <c:layout/>
      <c:pieChart>
        <c:varyColors val="1"/>
        <c:ser>
          <c:idx val="0"/>
          <c:order val="0"/>
          <c:tx>
            <c:strRef>
              <c:f>'Sheet1 (2)'!$B$1</c:f>
              <c:strCache>
                <c:ptCount val="1"/>
                <c:pt idx="0">
                  <c:v>金额</c:v>
                </c:pt>
              </c:strCache>
            </c:strRef>
          </c:tx>
          <c:spPr>
            <a:solidFill>
              <a:srgbClr val="4F81BD"/>
            </a:solidFill>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Pt>
            <c:idx val="5"/>
            <c:bubble3D val="0"/>
            <c:spPr>
              <a:solidFill>
                <a:srgbClr val="E54C5E"/>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 sourceLinked="0"/>
            <c:dLbl>
              <c:idx val="0"/>
              <c:layout>
                <c:manualLayout>
                  <c:x val="0.32012555"/>
                  <c:y val="0.72690713"/>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3080455"/>
                  <c:y val="0.6391468"/>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40541184"/>
                  <c:y val="0.17185508"/>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28690514"/>
                  <c:y val="0.2702507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29898536"/>
                  <c:y val="0.4491606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5"/>
              <c:layout>
                <c:manualLayout>
                  <c:x val="-0.28847557"/>
                  <c:y val="0.12416596"/>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 (2)'!$A$2:$A$7</c:f>
              <c:strCache>
                <c:ptCount val="6"/>
                <c:pt idx="0">
                  <c:v>财政拨款收入</c:v>
                </c:pt>
                <c:pt idx="1">
                  <c:v>上级补助收入</c:v>
                </c:pt>
                <c:pt idx="2">
                  <c:v>事业收入</c:v>
                </c:pt>
                <c:pt idx="3">
                  <c:v>经营收入</c:v>
                </c:pt>
                <c:pt idx="4">
                  <c:v>附属单位上缴收入</c:v>
                </c:pt>
                <c:pt idx="5">
                  <c:v>其他收入</c:v>
                </c:pt>
              </c:strCache>
            </c:strRef>
          </c:cat>
          <c:val>
            <c:numRef>
              <c:f>'Sheet1 (2)'!$B$2:$B$7</c:f>
              <c:numCache>
                <c:formatCode>0.00_);[Red](0.00)</c:formatCode>
                <c:ptCount val="6"/>
                <c:pt idx="0">
                  <c:v>1844625.02</c:v>
                </c:pt>
                <c:pt idx="1">
                  <c:v>0.0</c:v>
                </c:pt>
                <c:pt idx="2">
                  <c:v>0.0</c:v>
                </c:pt>
                <c:pt idx="3">
                  <c:v>0.0</c:v>
                </c:pt>
                <c:pt idx="4">
                  <c:v>0.0</c:v>
                </c:pt>
                <c:pt idx="5">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50" b="1" i="0" u="none" strike="noStrike" baseline="0">
                <a:solidFill>
                  <a:srgbClr val="000000"/>
                </a:solidFill>
                <a:latin typeface="Times New Roman"/>
                <a:ea typeface="宋体"/>
                <a:cs typeface="Arial"/>
              </a:defRPr>
            </a:pPr>
            <a:r>
              <a:rPr lang="zh-CN" sz="950" b="1" i="0" u="none" strike="noStrike" baseline="0">
                <a:solidFill>
                  <a:srgbClr val="404040"/>
                </a:solidFill>
                <a:latin typeface="Times New Roman"/>
                <a:ea typeface="宋体"/>
                <a:cs typeface="Arial"/>
              </a:rPr>
              <a:t>图 </a:t>
            </a:r>
            <a:r>
              <a:rPr lang="zh-CN" sz="950" b="1" i="0" u="none" strike="noStrike" baseline="0">
                <a:solidFill>
                  <a:srgbClr val="404040"/>
                </a:solidFill>
                <a:latin typeface="Times New Roman"/>
                <a:ea typeface="宋体"/>
                <a:cs typeface="Arial"/>
              </a:rPr>
              <a:t>3 </a:t>
            </a:r>
            <a:r>
              <a:rPr lang="zh-CN" sz="950" b="1" i="0" u="none" strike="noStrike" baseline="0">
                <a:solidFill>
                  <a:srgbClr val="404040"/>
                </a:solidFill>
                <a:latin typeface="Times New Roman"/>
                <a:ea typeface="宋体"/>
                <a:cs typeface="Arial"/>
              </a:rPr>
              <a:t>：支出决算构成情况图</a:t>
            </a:r>
          </a:p>
        </c:rich>
      </c:tx>
      <c:layout/>
      <c:overlay val="0"/>
      <c:spPr>
        <a:noFill/>
        <a:ln>
          <a:noFill/>
        </a:ln>
      </c:spPr>
    </c:title>
    <c:autoTitleDeleted val="1"/>
    <c:plotArea>
      <c:layout>
        <c:manualLayout>
          <c:layoutTarget val="inner"/>
          <c:xMode val="edge"/>
          <c:yMode val="edge"/>
          <c:x val="0.29844165"/>
          <c:y val="0.22524437"/>
          <c:w val="0.41229767"/>
          <c:h val="0.72524434"/>
        </c:manualLayout>
      </c:layout>
      <c:pieChart>
        <c:varyColors val="1"/>
        <c:ser>
          <c:idx val="0"/>
          <c:order val="0"/>
          <c:tx>
            <c:strRef>
              <c:f>'Sheet1 (3)'!$B$1</c:f>
              <c:strCache>
                <c:ptCount val="1"/>
                <c:pt idx="0">
                  <c:v>金额</c:v>
                </c:pt>
              </c:strCache>
            </c:strRef>
          </c:tx>
          <c:spPr>
            <a:solidFill>
              <a:srgbClr val="4F81BD"/>
            </a:solidFill>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Lbls>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numFmt formatCode="0.0%" sourceLinked="0"/>
            <c:dLbl>
              <c:idx val="0"/>
              <c:layout>
                <c:manualLayout>
                  <c:x val="-0.28690514"/>
                  <c:y val="0.19983532"/>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29910615"/>
                  <c:y val="0.09103803"/>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30949497"/>
                  <c:y val="0.18921058"/>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33522582"/>
                  <c:y val="0.058951337"/>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32302478"/>
                  <c:y val="0.28504568"/>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 (3)'!$A$2:$A$6</c:f>
              <c:strCache>
                <c:ptCount val="5"/>
                <c:pt idx="0">
                  <c:v>基本支出</c:v>
                </c:pt>
                <c:pt idx="1">
                  <c:v>项目支出</c:v>
                </c:pt>
                <c:pt idx="2">
                  <c:v>上缴上级支出</c:v>
                </c:pt>
                <c:pt idx="3">
                  <c:v>经营支出</c:v>
                </c:pt>
                <c:pt idx="4">
                  <c:v>对附属单位补助支出</c:v>
                </c:pt>
              </c:strCache>
            </c:strRef>
          </c:cat>
          <c:val>
            <c:numRef>
              <c:f>'Sheet1 (3)'!$B$2:$B$6</c:f>
              <c:numCache>
                <c:formatCode>General</c:formatCode>
                <c:ptCount val="5"/>
                <c:pt idx="0">
                  <c:v>1844625.02</c:v>
                </c:pt>
                <c:pt idx="1">
                  <c:v>0.0</c:v>
                </c:pt>
                <c:pt idx="2">
                  <c:v>0.0</c:v>
                </c:pt>
                <c:pt idx="3">
                  <c:v>0.0</c:v>
                </c:pt>
                <c:pt idx="4">
                  <c:v>0.0</c:v>
                </c:pt>
              </c:numCache>
            </c:numRef>
          </c:val>
        </c:ser>
        <c:firstSliceAng val="0"/>
      </c:pieChart>
      <c:spPr>
        <a:noFill/>
        <a:ln>
          <a:noFill/>
        </a:ln>
      </c:spPr>
    </c:plotArea>
    <c:legend>
      <c:legendPos val="t"/>
      <c:layout/>
      <c:overlay val="0"/>
      <c:spPr>
        <a:noFill/>
        <a:ln>
          <a:noFill/>
        </a:ln>
      </c:spPr>
      <c:txPr>
        <a:bodyPr/>
        <a:lstStyle/>
        <a:p>
          <a:pPr>
            <a:defRPr sz="800" b="0" i="0" u="none" strike="noStrike" baseline="0">
              <a:solidFill>
                <a:srgbClr val="595959"/>
              </a:solidFill>
              <a:latin typeface="Times New Roman"/>
              <a:ea typeface="宋体"/>
              <a:cs typeface="Arial"/>
            </a:defRPr>
          </a:pPr>
          <a:endParaRPr lang="zh-CN"/>
        </a:p>
      </c:txPr>
      <c:legendEntry>
        <c:idx val="0"/>
        <c:txPr>
          <a:bodyPr/>
          <a:lstStyle/>
          <a:p>
            <a:pPr>
              <a:defRPr sz="800" b="0" i="0" u="none" strike="noStrike" baseline="0">
                <a:solidFill>
                  <a:srgbClr val="595959"/>
                </a:solidFill>
                <a:latin typeface="Times New Roman"/>
                <a:ea typeface="宋体"/>
                <a:cs typeface="Arial"/>
              </a:defRPr>
            </a:pPr>
            <a:endParaRPr lang="zh-CN"/>
          </a:p>
        </c:txPr>
      </c:legendEntry>
      <c:legendEntry>
        <c:idx val="1"/>
        <c:txPr>
          <a:bodyPr/>
          <a:lstStyle/>
          <a:p>
            <a:pPr>
              <a:defRPr sz="800" b="0" i="0" u="none" strike="noStrike" baseline="0">
                <a:solidFill>
                  <a:srgbClr val="595959"/>
                </a:solidFill>
                <a:latin typeface="Times New Roman"/>
                <a:ea typeface="宋体"/>
                <a:cs typeface="Arial"/>
              </a:defRPr>
            </a:pPr>
            <a:endParaRPr lang="zh-CN"/>
          </a:p>
        </c:txPr>
      </c:legendEntry>
      <c:legendEntry>
        <c:idx val="2"/>
        <c:txPr>
          <a:bodyPr/>
          <a:lstStyle/>
          <a:p>
            <a:pPr>
              <a:defRPr sz="800" b="0" i="0" u="none" strike="noStrike" baseline="0">
                <a:solidFill>
                  <a:srgbClr val="595959"/>
                </a:solidFill>
                <a:latin typeface="Times New Roman"/>
                <a:ea typeface="宋体"/>
                <a:cs typeface="Arial"/>
              </a:defRPr>
            </a:pPr>
            <a:endParaRPr lang="zh-CN"/>
          </a:p>
        </c:txPr>
      </c:legendEntry>
      <c:legendEntry>
        <c:idx val="3"/>
        <c:txPr>
          <a:bodyPr/>
          <a:lstStyle/>
          <a:p>
            <a:pPr>
              <a:defRPr sz="800" b="0" i="0" u="none" strike="noStrike" baseline="0">
                <a:solidFill>
                  <a:srgbClr val="595959"/>
                </a:solidFill>
                <a:latin typeface="Times New Roman"/>
                <a:ea typeface="宋体"/>
                <a:cs typeface="Arial"/>
              </a:defRPr>
            </a:pPr>
            <a:endParaRPr lang="zh-CN"/>
          </a:p>
        </c:txPr>
      </c:legendEntry>
      <c:legendEntry>
        <c:idx val="4"/>
        <c:txPr>
          <a:bodyPr/>
          <a:lstStyle/>
          <a:p>
            <a:pPr>
              <a:defRPr sz="800" b="0" i="0" u="none" strike="noStrike" baseline="0">
                <a:solidFill>
                  <a:srgbClr val="595959"/>
                </a:solidFill>
                <a:latin typeface="Times New Roman"/>
                <a:ea typeface="宋体"/>
                <a:cs typeface="Arial"/>
              </a:defRPr>
            </a:pPr>
            <a:endParaRPr lang="zh-CN"/>
          </a:p>
        </c:txPr>
      </c:legendEntry>
    </c:legend>
    <c:plotVisOnly val="1"/>
    <c:dispBlanksAs val="gap"/>
    <c:showDLblsOverMax val="0"/>
  </c:chart>
  <c:spPr>
    <a:solidFill>
      <a:srgbClr val="FFFFFF"/>
    </a:solidFill>
    <a:ln w="6350">
      <a:solidFill>
        <a:srgbClr val="D9D9D9"/>
      </a:solidFill>
      <a:prstDash val="solid"/>
    </a:ln>
  </c:spPr>
  <c:txPr>
    <a:bodyPr/>
    <a:lstStyle/>
    <a:p>
      <a:pPr>
        <a:defRPr sz="8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4 </a:t>
            </a:r>
            <a:r>
              <a:rPr lang="zh-CN" sz="1400" b="1" i="0" u="none" strike="noStrike" baseline="0">
                <a:solidFill>
                  <a:srgbClr val="404040"/>
                </a:solidFill>
                <a:latin typeface="Times New Roman"/>
                <a:ea typeface="宋体"/>
                <a:cs typeface="Arial"/>
              </a:rPr>
              <a:t>：</a:t>
            </a:r>
            <a:r>
              <a:rPr lang="zh-CN" sz="1400" b="1" i="0" u="none" strike="noStrike" baseline="0">
                <a:solidFill>
                  <a:srgbClr val="404040"/>
                </a:solidFill>
                <a:latin typeface="Times New Roman"/>
                <a:ea typeface="宋体"/>
                <a:cs typeface="Arial"/>
              </a:rPr>
              <a:t>2024-2025</a:t>
            </a:r>
            <a:r>
              <a:rPr lang="zh-CN" sz="1400" b="1" i="0" u="none" strike="noStrike" baseline="0">
                <a:solidFill>
                  <a:srgbClr val="404040"/>
                </a:solidFill>
                <a:latin typeface="Times New Roman"/>
                <a:ea typeface="宋体"/>
                <a:cs typeface="Arial"/>
              </a:rPr>
              <a:t>年财政拨款收支对比图（万元）</a:t>
            </a:r>
          </a:p>
        </c:rich>
      </c:tx>
      <c:layout>
        <c:manualLayout>
          <c:xMode val="edge"/>
          <c:yMode val="edge"/>
          <c:x val="0.13324474"/>
          <c:y val="0.025499362"/>
        </c:manualLayout>
      </c:layout>
      <c:overlay val="0"/>
      <c:spPr>
        <a:noFill/>
        <a:ln>
          <a:noFill/>
        </a:ln>
      </c:spPr>
    </c:title>
    <c:autoTitleDeleted val="1"/>
    <c:plotArea>
      <c:layout/>
      <c:barChart>
        <c:barDir val="col"/>
        <c:grouping val="clustered"/>
        <c:varyColors val="0"/>
        <c:ser>
          <c:idx val="0"/>
          <c:order val="0"/>
          <c:tx>
            <c:strRef>
              <c:f>'Sheet1 (4)'!$B$1</c:f>
              <c:strCache>
                <c:ptCount val="1"/>
                <c:pt idx="0">
                  <c:v>2024年</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(4)'!$B$2:$B$9</c:f>
              <c:numCache>
                <c:formatCode>General</c:formatCode>
                <c:ptCount val="8"/>
                <c:pt idx="0">
                  <c:v>158.28</c:v>
                </c:pt>
                <c:pt idx="1">
                  <c:v>158.28</c:v>
                </c:pt>
                <c:pt idx="2">
                  <c:v>158.28</c:v>
                </c:pt>
                <c:pt idx="3">
                  <c:v>158.28</c:v>
                </c:pt>
                <c:pt idx="4">
                  <c:v>0.0</c:v>
                </c:pt>
                <c:pt idx="5">
                  <c:v>0.0</c:v>
                </c:pt>
                <c:pt idx="6">
                  <c:v>0.0</c:v>
                </c:pt>
                <c:pt idx="7">
                  <c:v>0.0</c:v>
                </c:pt>
              </c:numCache>
            </c:numRef>
          </c:val>
        </c:ser>
        <c:ser>
          <c:idx val="1"/>
          <c:order val="1"/>
          <c:tx>
            <c:strRef>
              <c:f>'Sheet1 (4)'!$C$1</c:f>
              <c:strCache>
                <c:ptCount val="1"/>
                <c:pt idx="0">
                  <c:v>2025年</c:v>
                </c:pt>
              </c:strCache>
            </c:strRef>
          </c:tx>
          <c:spPr>
            <a:solidFill>
              <a:srgbClr val="EE822F"/>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(4)'!$C$2:$C$9</c:f>
              <c:numCache>
                <c:formatCode>General</c:formatCode>
                <c:ptCount val="8"/>
                <c:pt idx="0">
                  <c:v>184.46</c:v>
                </c:pt>
                <c:pt idx="1">
                  <c:v>184.46</c:v>
                </c:pt>
                <c:pt idx="2">
                  <c:v>184.46</c:v>
                </c:pt>
                <c:pt idx="3">
                  <c:v>184.46</c:v>
                </c:pt>
                <c:pt idx="4">
                  <c:v>0.0</c:v>
                </c:pt>
                <c:pt idx="5">
                  <c:v>0.0</c:v>
                </c:pt>
                <c:pt idx="6">
                  <c:v>0.0</c:v>
                </c:pt>
                <c:pt idx="7">
                  <c:v>0.0</c:v>
                </c:pt>
              </c:numCache>
            </c:numRef>
          </c:val>
        </c:ser>
        <c:overlap val="-28"/>
        <c:gapWidth val="246"/>
        <c:axId val="0"/>
        <c:axId val="1"/>
      </c:barChart>
      <c:catAx>
        <c:axId val="0"/>
        <c:scaling>
          <c:orientation val="minMax"/>
        </c:scaling>
        <c:delete val="0"/>
        <c:axPos val="b"/>
        <c:numFmt formatCode="General" sourceLinked="0"/>
        <c:majorTickMark val="out"/>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out"/>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50" b="1" i="0" u="none" strike="noStrike" baseline="0">
                <a:solidFill>
                  <a:srgbClr val="000000"/>
                </a:solidFill>
                <a:latin typeface="Times New Roman"/>
                <a:ea typeface="宋体"/>
                <a:cs typeface="Arial"/>
              </a:defRPr>
            </a:pPr>
            <a:r>
              <a:rPr lang="zh-CN" sz="950" b="1" i="0" u="none" strike="noStrike" baseline="0">
                <a:solidFill>
                  <a:srgbClr val="404040"/>
                </a:solidFill>
                <a:latin typeface="Times New Roman"/>
                <a:ea typeface="宋体"/>
                <a:cs typeface="Arial"/>
              </a:rPr>
              <a:t>图 </a:t>
            </a:r>
            <a:r>
              <a:rPr lang="zh-CN" sz="950" b="1" i="0" u="none" strike="noStrike" baseline="0">
                <a:solidFill>
                  <a:srgbClr val="404040"/>
                </a:solidFill>
                <a:latin typeface="Times New Roman"/>
                <a:ea typeface="宋体"/>
                <a:cs typeface="Arial"/>
              </a:rPr>
              <a:t>5 :</a:t>
            </a:r>
            <a:r>
              <a:rPr lang="zh-CN" sz="950" b="1" i="0" u="none" strike="noStrike" baseline="0">
                <a:solidFill>
                  <a:srgbClr val="404040"/>
                </a:solidFill>
                <a:latin typeface="Times New Roman"/>
                <a:ea typeface="宋体"/>
                <a:cs typeface="Arial"/>
              </a:rPr>
              <a:t>财政拨款收支预算对比图（万元）</a:t>
            </a:r>
          </a:p>
        </c:rich>
      </c:tx>
      <c:layout/>
      <c:overlay val="0"/>
      <c:spPr>
        <a:noFill/>
        <a:ln>
          <a:noFill/>
        </a:ln>
      </c:spPr>
    </c:title>
    <c:autoTitleDeleted val="1"/>
    <c:plotArea>
      <c:layout>
        <c:manualLayout>
          <c:layoutTarget val="inner"/>
          <c:xMode val="edge"/>
          <c:yMode val="edge"/>
          <c:x val="0.17641942"/>
          <c:y val="0.16043349"/>
          <c:w val="0.7957961"/>
          <c:h val="0.47433063"/>
        </c:manualLayout>
      </c:layout>
      <c:barChart>
        <c:barDir val="col"/>
        <c:grouping val="clustered"/>
        <c:varyColors val="0"/>
        <c:ser>
          <c:idx val="0"/>
          <c:order val="0"/>
          <c:tx>
            <c:strRef>
              <c:f>'Sheet1 (5)'!$B$1</c:f>
              <c:strCache>
                <c:ptCount val="1"/>
                <c:pt idx="0">
                  <c:v>年初预算数</c:v>
                </c:pt>
              </c:strCache>
            </c:strRef>
          </c:tx>
          <c:spPr>
            <a:solidFill>
              <a:srgbClr val="4874CB"/>
            </a:solidFill>
            <a:ln>
              <a:noFill/>
            </a:ln>
          </c:spPr>
          <c:invertIfNegative val="0"/>
          <c:dLbls>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numFmt formatCode="General" sourceLinked="1"/>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(5)'!$B$2:$B$9</c:f>
              <c:numCache>
                <c:formatCode>General</c:formatCode>
                <c:ptCount val="8"/>
                <c:pt idx="0">
                  <c:v>178.81</c:v>
                </c:pt>
                <c:pt idx="1">
                  <c:v>178.81</c:v>
                </c:pt>
                <c:pt idx="2">
                  <c:v>178.81</c:v>
                </c:pt>
                <c:pt idx="3">
                  <c:v>178.81</c:v>
                </c:pt>
                <c:pt idx="4">
                  <c:v>0.0</c:v>
                </c:pt>
                <c:pt idx="5">
                  <c:v>0.0</c:v>
                </c:pt>
                <c:pt idx="6">
                  <c:v>0.0</c:v>
                </c:pt>
                <c:pt idx="7">
                  <c:v>0.0</c:v>
                </c:pt>
              </c:numCache>
            </c:numRef>
          </c:val>
        </c:ser>
        <c:ser>
          <c:idx val="1"/>
          <c:order val="1"/>
          <c:tx>
            <c:strRef>
              <c:f>'Sheet1 (5)'!$C$1</c:f>
              <c:strCache>
                <c:ptCount val="1"/>
                <c:pt idx="0">
                  <c:v>决算数</c:v>
                </c:pt>
              </c:strCache>
            </c:strRef>
          </c:tx>
          <c:spPr>
            <a:solidFill>
              <a:srgbClr val="EE822F"/>
            </a:solidFill>
            <a:ln>
              <a:noFill/>
            </a:ln>
          </c:spPr>
          <c:invertIfNegative val="0"/>
          <c:dLbls>
            <c:spPr>
              <a:noFill/>
              <a:ln>
                <a:noFill/>
              </a:ln>
            </c:spPr>
            <c:txPr>
              <a:bodyPr vert="horz"/>
              <a:lstStyle/>
              <a:p>
                <a:pPr>
                  <a:defRPr sz="65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(5)'!$C$2:$C$9</c:f>
              <c:numCache>
                <c:formatCode>General</c:formatCode>
                <c:ptCount val="8"/>
                <c:pt idx="0">
                  <c:v>184.46</c:v>
                </c:pt>
                <c:pt idx="1">
                  <c:v>184.46</c:v>
                </c:pt>
                <c:pt idx="2">
                  <c:v>184.46</c:v>
                </c:pt>
                <c:pt idx="3">
                  <c:v>184.46</c:v>
                </c:pt>
                <c:pt idx="4">
                  <c:v>0.0</c:v>
                </c:pt>
                <c:pt idx="5">
                  <c:v>0.0</c:v>
                </c:pt>
                <c:pt idx="6">
                  <c:v>0.0</c:v>
                </c:pt>
                <c:pt idx="7">
                  <c:v>0.0</c:v>
                </c:pt>
              </c:numCache>
            </c:numRef>
          </c:val>
        </c:ser>
        <c:gapWidth val="150"/>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8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8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8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customProps>
</customData>
</file>

<file path=customXml/itemProps1.xml><?xml version="1.0" encoding="utf-8"?>
<ds:datastoreItem xmlns:ds="http://schemas.openxmlformats.org/officeDocument/2006/customXml" ds:itemID="{D92B582A-CC76-451F-AD26-C19129969463}">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8</TotalTime>
  <Application>Yozo_Office27021597764231179</Application>
  <Pages>0</Pages>
  <Words>0</Words>
  <Characters>9308</Characters>
  <Lines>0</Lines>
  <Paragraphs>226</Paragraphs>
  <CharactersWithSpaces>12411</CharactersWithSpaces>
  <Company>神州网信技术有限公司</Company>
</Properties>
</file>

<file path=docProps/core.xml><?xml version="1.0" encoding="utf-8"?>
<cp:coreProperties xmlns:cp="http://schemas.openxmlformats.org/package/2006/metadata/core-properties" xmlns:dc="http://purl.org/dc/elements/1.1/" xmlns:dcterms="http://purl.org/dc/terms/" xmlns:xsi="http://www.w3.org/2001/XMLSchema-instance">
  <dc:creator>王明新TIAD</dc:creator>
  <cp:lastModifiedBy>Administrator</cp:lastModifiedBy>
  <cp:revision>15</cp:revision>
  <cp:lastPrinted>2023-08-04T01:00:00Z</cp:lastPrinted>
  <dcterms:created xsi:type="dcterms:W3CDTF">2023-08-04T07:55:00Z</dcterms:created>
  <dcterms:modified xsi:type="dcterms:W3CDTF">2026-10-15T06:51:44Z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2052-12.1.0.29161</vt:lpwstr>
  </property>
  <property fmtid="{D5CDD505-2E9C-101B-9397-08002B2CF9AE}" pid="3" name="ICV">
    <vt:lpwstr>4389988DBC914A9DA25FF7EEEBC272A4_13</vt:lpwstr>
  </property>
  <property fmtid="{D5CDD505-2E9C-101B-9397-08002B2CF9AE}" pid="4" name="KSOTemplateUUID">
    <vt:lpwstr>v1.0_mb_S7ajbG3IpAnL1wSthNCxfw==</vt:lpwstr>
  </property>
  <property fmtid="{D5CDD505-2E9C-101B-9397-08002B2CF9AE}" pid="5" name="KSOTemplateDocerSaveRecord">
    <vt:lpwstr>eyJoZGlkIjoiZDM0ZjkxYTdmODY4MTAxMmYxMTg5NzljN2I0NTQ4N2MiLCJ1c2VySWQiOiI0MjE4NjU0NzcifQ==</vt:lpwstr>
  </property>
</Properties>
</file>