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河北省正定县民兵训练基地</w:t>
      </w:r>
      <w: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t>（</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本级</w:t>
      </w:r>
      <w: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t>）</w:t>
      </w:r>
    </w:p>
    <w:p w14:paraId="419C6711">
      <w:pPr>
        <w:jc w:val="center"/>
        <w:rPr>
          <w:rFonts w:hint="default" w:ascii="楷体_GB2312" w:hAnsi="楷体_GB2312" w:eastAsia="楷体_GB2312" w:cs="楷体_GB2312"/>
          <w:b/>
          <w:bCs/>
          <w:color w:val="0D0D0D" w:themeColor="text1" w:themeTint="F2"/>
          <w:kern w:val="2"/>
          <w:sz w:val="48"/>
          <w:szCs w:val="56"/>
          <w:lang w:val="en-US"/>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450001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highlight w:val="none"/>
          <w:lang w:val="en-US"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9DEECAB">
      <w:pPr>
        <w:widowControl/>
        <w:spacing w:before="0" w:beforeLines="0" w:beforeAutospacing="0" w:after="0" w:afterLines="0" w:afterAutospacing="0" w:line="360" w:lineRule="auto"/>
        <w:jc w:val="center"/>
        <w:rPr>
          <w:rFonts w:hint="eastAsia" w:ascii="Times New Roman" w:eastAsia="方正小标宋_GBK"/>
          <w:sz w:val="72"/>
          <w:szCs w:val="72"/>
          <w:lang w:eastAsia="zh-CN"/>
        </w:rPr>
      </w:pPr>
      <w:r>
        <w:rPr>
          <w:rFonts w:ascii="Times New Roman" w:eastAsia="方正小标宋_GBK"/>
          <w:b w:val="0"/>
          <w:sz w:val="72"/>
          <w:szCs w:val="72"/>
        </w:rPr>
        <w:t>河北省正定县民兵训练基地</w:t>
      </w:r>
      <w:r>
        <w:rPr>
          <w:rFonts w:hint="eastAsia" w:ascii="Times New Roman" w:eastAsia="方正小标宋_GBK"/>
          <w:b w:val="0"/>
          <w:sz w:val="72"/>
          <w:szCs w:val="72"/>
          <w:lang w:eastAsia="zh-CN"/>
        </w:rPr>
        <w:t>（</w:t>
      </w:r>
      <w:r>
        <w:rPr>
          <w:rFonts w:hint="eastAsia" w:ascii="Times New Roman" w:eastAsia="方正小标宋_GBK"/>
          <w:b w:val="0"/>
          <w:sz w:val="72"/>
          <w:szCs w:val="72"/>
          <w:lang w:val="en-US" w:eastAsia="zh-CN"/>
        </w:rPr>
        <w:t>本级</w:t>
      </w:r>
      <w:r>
        <w:rPr>
          <w:rFonts w:hint="eastAsia" w:ascii="Times New Roman" w:eastAsia="方正小标宋_GBK"/>
          <w:b w:val="0"/>
          <w:sz w:val="72"/>
          <w:szCs w:val="72"/>
          <w:lang w:eastAsia="zh-CN"/>
        </w:rPr>
        <w:t>）</w:t>
      </w:r>
    </w:p>
    <w:p w14:paraId="1EE8B34B">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616D366">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河北省正定县民兵训练基地</w:t>
      </w:r>
    </w:p>
    <w:p w14:paraId="6C3CA85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highlight w:val="none"/>
          <w:lang w:val="en-US"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F07C2D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689401A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eastAsia="zh-CN"/>
        </w:rPr>
        <w:t>单位</w:t>
      </w:r>
      <w:r>
        <w:rPr>
          <w:rFonts w:ascii="Times New Roman" w:eastAsia="黑体"/>
          <w:b w:val="0"/>
          <w:sz w:val="32"/>
          <w:szCs w:val="32"/>
        </w:rPr>
        <w:t>概况</w:t>
      </w:r>
    </w:p>
    <w:p w14:paraId="277FFF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单位</w:t>
      </w:r>
      <w:r>
        <w:rPr>
          <w:rFonts w:ascii="Times New Roman" w:eastAsia="仿宋_GB2312"/>
          <w:b w:val="0"/>
          <w:sz w:val="32"/>
          <w:szCs w:val="32"/>
        </w:rPr>
        <w:t>职责</w:t>
      </w:r>
    </w:p>
    <w:p w14:paraId="0A2AF0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43496A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1FE794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192F3E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25C2B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B54B11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466FD2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3DA1D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70DEB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67658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846B17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9BC41C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6DBF6D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5D6C0C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7C489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10C13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ACEF2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7B7E1B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1A0B9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7AAC1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038314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2BFA10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532F8F6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66C48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eastAsia="zh-CN"/>
        </w:rPr>
        <w:t>单位</w:t>
      </w:r>
      <w:r>
        <w:rPr>
          <w:rFonts w:ascii="Times New Roman" w:eastAsia="黑体"/>
          <w:b w:val="0"/>
          <w:sz w:val="44"/>
          <w:szCs w:val="44"/>
        </w:rPr>
        <w:t>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2A7402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5142A81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1C0FC8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661BBE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B75DF4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DF7295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0622BB89">
      <w:pPr>
        <w:widowControl/>
        <w:spacing w:before="0" w:beforeLines="0" w:beforeAutospacing="0" w:after="0" w:afterLines="0" w:afterAutospacing="0" w:line="360" w:lineRule="auto"/>
        <w:jc w:val="left"/>
        <w:outlineLvl w:val="1"/>
        <w:rPr>
          <w:rFonts w:ascii="Times New Roman" w:eastAsia="黑体"/>
          <w:b w:val="0"/>
          <w:sz w:val="32"/>
          <w:szCs w:val="32"/>
        </w:rPr>
      </w:pPr>
    </w:p>
    <w:p w14:paraId="6CB920A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单位</w:t>
      </w:r>
      <w:r>
        <w:rPr>
          <w:rFonts w:ascii="Times New Roman" w:eastAsia="黑体"/>
          <w:b w:val="0"/>
          <w:sz w:val="32"/>
          <w:szCs w:val="32"/>
        </w:rPr>
        <w:t>职责</w:t>
      </w:r>
    </w:p>
    <w:p w14:paraId="79BEF6F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1、组织保障军事训练，组织民兵预备的军事训练，承担本县和上级赋予的民兵预备役训练。为参训人员的政治教育、 军事训练，准备军事训练场所、提供完善的相关授课，做好保障后勤服务。确保民兵预备役训练高质量，严要求完成，达到预期效果为参训人员营造一个安全、舒适的训练环境。</w:t>
      </w:r>
    </w:p>
    <w:p w14:paraId="6A6E7C8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2、新兵役前训练，集中组织入伍新兵役前的政治教育、 军事训练工作。按照役前教育训练实施方案认真授课施训，采取对预征青年整体了解、全面考察、全程淘汰的方法，使预征青年真 实体验军营生活，感受部队氛围，进一步端正入伍的动机，打牢身体基础，提高适应能力，并做好吃住训学相关保障工作。</w:t>
      </w:r>
    </w:p>
    <w:p w14:paraId="43DBA27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3、 国家安全职能，担负战备勤务防卫作战任务，协助维 护社会秩序应急抢险。加强军事技能培训、政治教育学习，为 我县提高战备勤务、防卫作战、应急抢险、社会维稳能力，并为各组织指挥提供训练场所和指挥平台。</w:t>
      </w:r>
    </w:p>
    <w:p w14:paraId="678B820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4、实施国防教育，组织保障党政机关和企事业单位开展 军事日及各项主题教育培训、集训活动。对大中专各中学学生 开展 国防教育及军事训练。做好军训保障人员的日常训练和</w:t>
      </w:r>
    </w:p>
    <w:p w14:paraId="58BC8BA1">
      <w:pPr>
        <w:widowControl/>
        <w:spacing w:before="0" w:beforeLines="0" w:beforeAutospacing="0" w:after="0" w:afterLines="0" w:afterAutospacing="0" w:line="240" w:lineRule="auto"/>
        <w:jc w:val="left"/>
        <w:rPr>
          <w:rFonts w:ascii="Times New Roman" w:eastAsia="仿宋_GB2312"/>
          <w:b w:val="0"/>
          <w:sz w:val="32"/>
          <w:szCs w:val="32"/>
        </w:rPr>
        <w:sectPr>
          <w:pgSz w:w="11906" w:h="16839"/>
          <w:pgMar w:top="400" w:right="1667" w:bottom="0" w:left="1676" w:header="0" w:footer="0" w:gutter="0"/>
          <w:cols w:space="720" w:num="1"/>
        </w:sectPr>
      </w:pPr>
      <w:r>
        <w:rPr>
          <w:rFonts w:ascii="Times New Roman" w:eastAsia="仿宋_GB2312"/>
          <w:b w:val="0"/>
          <w:sz w:val="32"/>
          <w:szCs w:val="32"/>
        </w:rPr>
        <w:t>各项硬件设施的日常维护工作，在组织实施保障工作中，严格</w:t>
      </w:r>
    </w:p>
    <w:p w14:paraId="272301CB">
      <w:pPr>
        <w:widowControl/>
        <w:spacing w:before="0" w:beforeLines="0" w:beforeAutospacing="0" w:after="0" w:afterLines="0" w:afterAutospacing="0" w:line="360" w:lineRule="auto"/>
        <w:jc w:val="left"/>
        <w:rPr>
          <w:rFonts w:ascii="Times New Roman" w:eastAsia="仿宋_GB2312"/>
          <w:b w:val="0"/>
          <w:sz w:val="32"/>
          <w:szCs w:val="32"/>
        </w:rPr>
      </w:pPr>
    </w:p>
    <w:p w14:paraId="4620377C">
      <w:pPr>
        <w:widowControl/>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按照各项操作规定执行保障任务，确保军事日和各项专题培训活动的圆满完成。作好与各参训学校的沟通工作，在具体的组织实施过程中， 提前作好各项准备工作， 以学生的吃、住、训等各项活动的安全为前提，切实保证学生军训的效果和目标的达成。</w:t>
      </w:r>
    </w:p>
    <w:p w14:paraId="5021B22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5、国防兵站职能，担负上级军事部门安排的军事活动、训练、拉练各类活动的综合保障任务。组织力量提供过境部队所需的场地、营房、水、电等相关的保障工作，为过境部队的军事活动营造一个安全、舒适、综合保障到位的兵站基地。</w:t>
      </w:r>
    </w:p>
    <w:p w14:paraId="1DE2616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6、综合政务管理，担负县委、县政府赋予其它各项工作任务，负责基地综合业务管理和综合事务管理。对县委、县政府、各部门赋予的各项工作，认真组织安排，布署到位。拟定培训计划，对训练保障人员进行业务培训，提高业务水平。做好营院内的基础设施维修，大型设备维修，保障运转。确保各项业务工作谋划到位、顺利开展，保障基地各项工作正常高效运转、各项工作的顺利完成。</w:t>
      </w:r>
    </w:p>
    <w:p w14:paraId="46DCAA41">
      <w:pPr>
        <w:widowControl/>
        <w:spacing w:before="0" w:beforeLines="0" w:beforeAutospacing="0" w:after="0" w:afterLines="0" w:afterAutospacing="0" w:line="360" w:lineRule="auto"/>
        <w:jc w:val="left"/>
        <w:outlineLvl w:val="1"/>
        <w:rPr>
          <w:rFonts w:ascii="Times New Roman" w:eastAsia="黑体"/>
          <w:b w:val="0"/>
          <w:sz w:val="32"/>
          <w:szCs w:val="32"/>
        </w:rPr>
      </w:pPr>
    </w:p>
    <w:p w14:paraId="1DDA8090">
      <w:pPr>
        <w:widowControl/>
        <w:spacing w:before="0" w:beforeLines="0" w:beforeAutospacing="0" w:after="0" w:afterLines="0" w:afterAutospacing="0" w:line="360" w:lineRule="auto"/>
        <w:jc w:val="left"/>
        <w:outlineLvl w:val="1"/>
        <w:rPr>
          <w:rFonts w:ascii="Times New Roman" w:eastAsia="黑体"/>
          <w:b w:val="0"/>
          <w:sz w:val="32"/>
          <w:szCs w:val="32"/>
        </w:rPr>
      </w:pPr>
    </w:p>
    <w:p w14:paraId="7E404B75">
      <w:pPr>
        <w:widowControl/>
        <w:spacing w:before="0" w:beforeLines="0" w:beforeAutospacing="0" w:after="0" w:afterLines="0" w:afterAutospacing="0" w:line="360" w:lineRule="auto"/>
        <w:jc w:val="left"/>
        <w:outlineLvl w:val="1"/>
        <w:rPr>
          <w:rFonts w:ascii="Times New Roman" w:eastAsia="黑体"/>
          <w:b w:val="0"/>
          <w:sz w:val="32"/>
          <w:szCs w:val="32"/>
        </w:rPr>
      </w:pPr>
    </w:p>
    <w:p w14:paraId="6DEF4F7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EF3CD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河北省正定县民兵训练基地（本级）</w:t>
            </w:r>
          </w:p>
        </w:tc>
        <w:tc>
          <w:tcPr>
            <w:tcW w:w="2445" w:type="dxa"/>
            <w:vAlign w:val="top"/>
          </w:tcPr>
          <w:p w14:paraId="2E443189">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lang w:val="en-US" w:eastAsia="zh-CN"/>
              </w:rPr>
              <w:t>财政补助事业单位</w:t>
            </w:r>
          </w:p>
        </w:tc>
        <w:tc>
          <w:tcPr>
            <w:tcW w:w="2665" w:type="dxa"/>
            <w:vAlign w:val="top"/>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全额财政拨款</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0BDE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单位：河北省正定县民兵训练基地（本级）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154.98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143.13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52.47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7.76</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52.51</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12.70</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90.62</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4"/>
        <w:gridCol w:w="2172"/>
        <w:gridCol w:w="921"/>
        <w:gridCol w:w="870"/>
        <w:gridCol w:w="887"/>
        <w:gridCol w:w="871"/>
        <w:gridCol w:w="879"/>
        <w:gridCol w:w="904"/>
        <w:gridCol w:w="742"/>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9"/>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9"/>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07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单位：河北省正定县民兵训练基地（本级）                                                                                                        </w:t>
            </w:r>
          </w:p>
        </w:tc>
        <w:tc>
          <w:tcPr>
            <w:tcW w:w="2628" w:type="dxa"/>
            <w:gridSpan w:val="3"/>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25"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15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92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87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8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87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87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90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74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17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92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8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8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87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87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90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74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17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2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8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8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87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87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90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74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17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2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8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8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87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87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90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74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315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15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371.05</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371.05</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154.98</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154.98</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FCC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8F0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20136</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CA9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其他共产党事务支出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17D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154.98</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8A4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154.98</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7B2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BDA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38A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0B8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DE7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49C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2CA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2013650</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E0A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875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143.48</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A4C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143.48</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B40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F9C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22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92D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6B9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723F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5FA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2013699</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772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其他共产党事务支出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D68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7EC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11.50</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71F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027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266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736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632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0E9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80B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18B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1AE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52.47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75C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52.47</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930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6D4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079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D1A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018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B89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B77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7B1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64D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52.47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A06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52.47</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923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3B0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FC9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CAA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767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18A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5F6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BC0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FB9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37.24</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94D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37.24</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03E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485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F37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95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CF1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EB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1C3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61A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4A6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15.23</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463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15.23</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09F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8C9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D35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193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CDC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014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D0E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F5A3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872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7.76</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C7C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7.76</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D27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A6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263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27D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5A1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D53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2EF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627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E0F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7.76</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FD3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7.76</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C53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B60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E74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2F0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24F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B7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32F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522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429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B7C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35C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469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E8A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BE6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621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A60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404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465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7FA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2.79</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845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2.79</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9E0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562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93A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2AF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438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C5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E3C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41B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DB4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A9B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520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FEA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2C7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7A8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FE1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1D5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95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DCB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3DA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61A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6EA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40B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1CF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772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AF3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745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EBE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2120803</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E3B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城市建设支出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132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7D8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35E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B3F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708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F1F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22E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17C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35F4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323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E5F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A6F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CB0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176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F57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9B9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490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E52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E37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981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57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97A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2CB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318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6E8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6E3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FB0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B6E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013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79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B91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3B5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26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47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25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DF8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4F2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4F9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8F0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8F5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2FA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982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67D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0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81D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B6E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45E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EE8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C1A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036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98B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7DE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69D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343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D15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309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ECB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FFF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031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3DA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59A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A06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E57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9C9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B8B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A6E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353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9"/>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59F8B084">
      <w:pPr>
        <w:rPr>
          <w:rFonts w:hint="eastAsia" w:ascii="黑体" w:hAnsi="黑体" w:eastAsia="黑体" w:cs="宋体"/>
          <w:bCs/>
          <w:kern w:val="0"/>
          <w:sz w:val="32"/>
          <w:szCs w:val="32"/>
          <w:highlight w:val="none"/>
        </w:rPr>
      </w:pP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单位：河北省正定县民兵训练基地（本级）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216.42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5BD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118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E31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73D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F3E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3C6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5CE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3AE4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8229A">
            <w:pPr>
              <w:jc w:val="right"/>
              <w:rPr>
                <w:rFonts w:hint="default" w:ascii="Times New Roman" w:hAnsi="Times New Roman" w:eastAsia="宋体" w:cs="Times New Roman"/>
                <w:i w:val="0"/>
                <w:iCs w:val="0"/>
                <w:color w:val="000000"/>
                <w:sz w:val="20"/>
                <w:szCs w:val="20"/>
                <w:highlight w:val="none"/>
                <w:u w:val="none"/>
              </w:rPr>
            </w:pPr>
          </w:p>
        </w:tc>
      </w:tr>
      <w:tr w14:paraId="44ACC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C72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34E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F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608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DD74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2781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AABB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12F2F">
            <w:pPr>
              <w:jc w:val="right"/>
              <w:rPr>
                <w:rFonts w:hint="default" w:ascii="Times New Roman" w:hAnsi="Times New Roman" w:eastAsia="宋体" w:cs="Times New Roman"/>
                <w:i w:val="0"/>
                <w:iCs w:val="0"/>
                <w:color w:val="000000"/>
                <w:sz w:val="20"/>
                <w:szCs w:val="20"/>
                <w:highlight w:val="none"/>
                <w:u w:val="none"/>
              </w:rPr>
            </w:pPr>
          </w:p>
        </w:tc>
      </w:tr>
      <w:tr w14:paraId="7DBA9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426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462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8F5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87D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A64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CC4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D8F2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8A3DF">
            <w:pPr>
              <w:jc w:val="right"/>
              <w:rPr>
                <w:rFonts w:hint="default" w:ascii="Times New Roman" w:hAnsi="Times New Roman" w:eastAsia="宋体" w:cs="Times New Roman"/>
                <w:i w:val="0"/>
                <w:iCs w:val="0"/>
                <w:color w:val="000000"/>
                <w:sz w:val="20"/>
                <w:szCs w:val="20"/>
                <w:highlight w:val="none"/>
                <w:u w:val="none"/>
              </w:rPr>
            </w:pPr>
          </w:p>
        </w:tc>
      </w:tr>
      <w:tr w14:paraId="437D8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AA5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1C0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C47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DD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27FE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594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6E7B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4CB0D">
            <w:pPr>
              <w:jc w:val="right"/>
              <w:rPr>
                <w:rFonts w:hint="default" w:ascii="Times New Roman" w:hAnsi="Times New Roman" w:eastAsia="宋体" w:cs="Times New Roman"/>
                <w:i w:val="0"/>
                <w:iCs w:val="0"/>
                <w:color w:val="000000"/>
                <w:sz w:val="20"/>
                <w:szCs w:val="20"/>
                <w:highlight w:val="none"/>
                <w:u w:val="none"/>
              </w:rPr>
            </w:pPr>
          </w:p>
        </w:tc>
      </w:tr>
      <w:tr w14:paraId="4AB5F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606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242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28C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BEB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D2E2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0D1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C85D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0FAAB">
            <w:pPr>
              <w:jc w:val="right"/>
              <w:rPr>
                <w:rFonts w:hint="default" w:ascii="Times New Roman" w:hAnsi="Times New Roman" w:eastAsia="宋体" w:cs="Times New Roman"/>
                <w:i w:val="0"/>
                <w:iCs w:val="0"/>
                <w:color w:val="000000"/>
                <w:sz w:val="20"/>
                <w:szCs w:val="20"/>
                <w:highlight w:val="none"/>
                <w:u w:val="none"/>
              </w:rPr>
            </w:pPr>
          </w:p>
        </w:tc>
      </w:tr>
      <w:tr w14:paraId="71AA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8C0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C45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0DC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012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C4AB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819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395E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7BD0E">
            <w:pPr>
              <w:jc w:val="right"/>
              <w:rPr>
                <w:rFonts w:hint="default" w:ascii="Times New Roman" w:hAnsi="Times New Roman" w:eastAsia="宋体" w:cs="Times New Roman"/>
                <w:i w:val="0"/>
                <w:iCs w:val="0"/>
                <w:color w:val="000000"/>
                <w:sz w:val="20"/>
                <w:szCs w:val="20"/>
                <w:highlight w:val="none"/>
                <w:u w:val="none"/>
              </w:rPr>
            </w:pPr>
          </w:p>
        </w:tc>
      </w:tr>
      <w:tr w14:paraId="35F38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66A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FE4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99E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612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9886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8A1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F682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2AAC3">
            <w:pPr>
              <w:jc w:val="right"/>
              <w:rPr>
                <w:rFonts w:hint="default" w:ascii="Times New Roman" w:hAnsi="Times New Roman" w:eastAsia="宋体" w:cs="Times New Roman"/>
                <w:i w:val="0"/>
                <w:iCs w:val="0"/>
                <w:color w:val="000000"/>
                <w:sz w:val="20"/>
                <w:szCs w:val="20"/>
                <w:highlight w:val="none"/>
                <w:u w:val="none"/>
              </w:rPr>
            </w:pPr>
          </w:p>
        </w:tc>
      </w:tr>
      <w:tr w14:paraId="3CB92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987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BF8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AB7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2C3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A063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763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84E2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535FC">
            <w:pPr>
              <w:jc w:val="right"/>
              <w:rPr>
                <w:rFonts w:hint="default" w:ascii="Times New Roman" w:hAnsi="Times New Roman" w:eastAsia="宋体" w:cs="Times New Roman"/>
                <w:i w:val="0"/>
                <w:iCs w:val="0"/>
                <w:color w:val="000000"/>
                <w:sz w:val="20"/>
                <w:szCs w:val="20"/>
                <w:highlight w:val="none"/>
                <w:u w:val="none"/>
              </w:rPr>
            </w:pPr>
          </w:p>
        </w:tc>
      </w:tr>
      <w:tr w14:paraId="35B30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6C89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526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0F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761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6E92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A360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2F7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F9587">
            <w:pPr>
              <w:jc w:val="right"/>
              <w:rPr>
                <w:rFonts w:hint="default" w:ascii="Times New Roman" w:hAnsi="Times New Roman" w:eastAsia="宋体" w:cs="Times New Roman"/>
                <w:i w:val="0"/>
                <w:iCs w:val="0"/>
                <w:color w:val="000000"/>
                <w:sz w:val="20"/>
                <w:szCs w:val="20"/>
                <w:highlight w:val="none"/>
                <w:u w:val="none"/>
              </w:rPr>
            </w:pPr>
          </w:p>
        </w:tc>
      </w:tr>
      <w:tr w14:paraId="03F8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758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427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0BE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393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E65B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FF91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7379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EB2F4">
            <w:pPr>
              <w:jc w:val="right"/>
              <w:rPr>
                <w:rFonts w:hint="default" w:ascii="Times New Roman" w:hAnsi="Times New Roman" w:eastAsia="宋体" w:cs="Times New Roman"/>
                <w:i w:val="0"/>
                <w:iCs w:val="0"/>
                <w:color w:val="000000"/>
                <w:sz w:val="20"/>
                <w:szCs w:val="20"/>
                <w:highlight w:val="none"/>
                <w:u w:val="none"/>
              </w:rPr>
            </w:pPr>
          </w:p>
        </w:tc>
      </w:tr>
      <w:tr w14:paraId="356F3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0EC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F60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0E1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A8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AF82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5B5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3413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46C70">
            <w:pPr>
              <w:jc w:val="right"/>
              <w:rPr>
                <w:rFonts w:hint="default" w:ascii="Times New Roman" w:hAnsi="Times New Roman" w:eastAsia="宋体" w:cs="Times New Roman"/>
                <w:i w:val="0"/>
                <w:iCs w:val="0"/>
                <w:color w:val="000000"/>
                <w:sz w:val="20"/>
                <w:szCs w:val="20"/>
                <w:highlight w:val="none"/>
                <w:u w:val="none"/>
              </w:rPr>
            </w:pPr>
          </w:p>
        </w:tc>
      </w:tr>
      <w:tr w14:paraId="50407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95B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28A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6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55D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67D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77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0AF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3BE62">
            <w:pPr>
              <w:jc w:val="right"/>
              <w:rPr>
                <w:rFonts w:hint="default" w:ascii="Times New Roman" w:hAnsi="Times New Roman" w:eastAsia="宋体" w:cs="Times New Roman"/>
                <w:i w:val="0"/>
                <w:iCs w:val="0"/>
                <w:color w:val="000000"/>
                <w:sz w:val="20"/>
                <w:szCs w:val="20"/>
                <w:highlight w:val="none"/>
                <w:u w:val="none"/>
              </w:rPr>
            </w:pPr>
          </w:p>
        </w:tc>
      </w:tr>
      <w:tr w14:paraId="31756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299C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0DC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EA8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054E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309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135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1FC7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55368">
            <w:pPr>
              <w:jc w:val="right"/>
              <w:rPr>
                <w:rFonts w:hint="default" w:ascii="Times New Roman" w:hAnsi="Times New Roman" w:eastAsia="宋体" w:cs="Times New Roman"/>
                <w:i w:val="0"/>
                <w:iCs w:val="0"/>
                <w:color w:val="000000"/>
                <w:sz w:val="20"/>
                <w:szCs w:val="20"/>
                <w:highlight w:val="none"/>
                <w:u w:val="none"/>
              </w:rPr>
            </w:pPr>
          </w:p>
        </w:tc>
      </w:tr>
      <w:tr w14:paraId="7C5A1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48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482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3BD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79F8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BC9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D89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F68C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B5049">
            <w:pPr>
              <w:jc w:val="right"/>
              <w:rPr>
                <w:rFonts w:hint="default" w:ascii="Times New Roman" w:hAnsi="Times New Roman" w:eastAsia="宋体" w:cs="Times New Roman"/>
                <w:i w:val="0"/>
                <w:iCs w:val="0"/>
                <w:color w:val="000000"/>
                <w:sz w:val="20"/>
                <w:szCs w:val="20"/>
                <w:highlight w:val="none"/>
                <w:u w:val="none"/>
              </w:rPr>
            </w:pPr>
          </w:p>
        </w:tc>
      </w:tr>
      <w:tr w14:paraId="6A26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15E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986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62A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83E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D667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BFD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C852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1492D">
            <w:pPr>
              <w:jc w:val="right"/>
              <w:rPr>
                <w:rFonts w:hint="default" w:ascii="Times New Roman" w:hAnsi="Times New Roman" w:eastAsia="宋体" w:cs="Times New Roman"/>
                <w:i w:val="0"/>
                <w:iCs w:val="0"/>
                <w:color w:val="000000"/>
                <w:sz w:val="20"/>
                <w:szCs w:val="20"/>
                <w:highlight w:val="none"/>
                <w:u w:val="none"/>
              </w:rPr>
            </w:pPr>
          </w:p>
        </w:tc>
      </w:tr>
      <w:tr w14:paraId="65A4A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6D5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ECF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6BB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893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FFA2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F101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EE1F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4D8A9">
            <w:pPr>
              <w:jc w:val="right"/>
              <w:rPr>
                <w:rFonts w:hint="default" w:ascii="Times New Roman" w:hAnsi="Times New Roman" w:eastAsia="宋体" w:cs="Times New Roman"/>
                <w:i w:val="0"/>
                <w:iCs w:val="0"/>
                <w:color w:val="000000"/>
                <w:sz w:val="20"/>
                <w:szCs w:val="20"/>
                <w:highlight w:val="none"/>
                <w:u w:val="none"/>
              </w:rPr>
            </w:pPr>
          </w:p>
        </w:tc>
      </w:tr>
      <w:tr w14:paraId="57EC6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370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0D0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906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CBD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269B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504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D8C0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9A9D9">
            <w:pPr>
              <w:jc w:val="right"/>
              <w:rPr>
                <w:rFonts w:hint="default" w:ascii="Times New Roman" w:hAnsi="Times New Roman" w:eastAsia="宋体" w:cs="Times New Roman"/>
                <w:i w:val="0"/>
                <w:iCs w:val="0"/>
                <w:color w:val="000000"/>
                <w:sz w:val="20"/>
                <w:szCs w:val="20"/>
                <w:highlight w:val="none"/>
                <w:u w:val="none"/>
              </w:rPr>
            </w:pPr>
          </w:p>
        </w:tc>
      </w:tr>
      <w:tr w14:paraId="4901F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55DA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5AE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A4B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BA91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1A7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A0E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EFF0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5C646">
            <w:pPr>
              <w:jc w:val="right"/>
              <w:rPr>
                <w:rFonts w:hint="default" w:ascii="Times New Roman" w:hAnsi="Times New Roman" w:eastAsia="宋体" w:cs="Times New Roman"/>
                <w:i w:val="0"/>
                <w:iCs w:val="0"/>
                <w:color w:val="000000"/>
                <w:sz w:val="20"/>
                <w:szCs w:val="20"/>
                <w:highlight w:val="none"/>
                <w:u w:val="none"/>
              </w:rPr>
            </w:pPr>
          </w:p>
        </w:tc>
      </w:tr>
      <w:tr w14:paraId="6A08A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8B7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8EB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B8E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2B5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0DD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5CA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475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5487E">
            <w:pPr>
              <w:jc w:val="right"/>
              <w:rPr>
                <w:rFonts w:hint="default" w:ascii="Times New Roman" w:hAnsi="Times New Roman" w:eastAsia="宋体" w:cs="Times New Roman"/>
                <w:i w:val="0"/>
                <w:iCs w:val="0"/>
                <w:color w:val="000000"/>
                <w:sz w:val="20"/>
                <w:szCs w:val="20"/>
                <w:highlight w:val="none"/>
                <w:u w:val="none"/>
              </w:rPr>
            </w:pPr>
          </w:p>
        </w:tc>
      </w:tr>
      <w:tr w14:paraId="7D3D4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AA4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92D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2E8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2812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855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17D7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0D2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73103">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单位：河北省正定县民兵训练基地（本级）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143.13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227.92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单位：河北省正定县民兵训练基地（本级） </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216.42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11.50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r>
      <w:tr w14:paraId="14447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4B23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2FB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913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A35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9940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r>
      <w:tr w14:paraId="2A1E9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B36E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754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194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5F3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DD31B5">
            <w:pPr>
              <w:jc w:val="right"/>
              <w:rPr>
                <w:rFonts w:hint="default" w:ascii="Times New Roman" w:hAnsi="Times New Roman" w:eastAsia="宋体" w:cs="Times New Roman"/>
                <w:i w:val="0"/>
                <w:iCs w:val="0"/>
                <w:color w:val="000000"/>
                <w:sz w:val="20"/>
                <w:szCs w:val="20"/>
                <w:highlight w:val="none"/>
                <w:u w:val="none"/>
              </w:rPr>
            </w:pPr>
          </w:p>
        </w:tc>
      </w:tr>
      <w:tr w14:paraId="3A0D0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45831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341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2F9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2FEE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1C48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r>
      <w:tr w14:paraId="16254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96B2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2AB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1D1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25F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5EA699">
            <w:pPr>
              <w:jc w:val="right"/>
              <w:rPr>
                <w:rFonts w:hint="default" w:ascii="Times New Roman" w:hAnsi="Times New Roman" w:eastAsia="宋体" w:cs="Times New Roman"/>
                <w:i w:val="0"/>
                <w:iCs w:val="0"/>
                <w:color w:val="000000"/>
                <w:sz w:val="20"/>
                <w:szCs w:val="20"/>
                <w:highlight w:val="none"/>
                <w:u w:val="none"/>
              </w:rPr>
            </w:pPr>
          </w:p>
        </w:tc>
      </w:tr>
      <w:tr w14:paraId="33DCB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804C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20B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37C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5F8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3292674">
            <w:pPr>
              <w:jc w:val="right"/>
              <w:rPr>
                <w:rFonts w:hint="default" w:ascii="Times New Roman" w:hAnsi="Times New Roman" w:eastAsia="宋体" w:cs="Times New Roman"/>
                <w:i w:val="0"/>
                <w:iCs w:val="0"/>
                <w:color w:val="000000"/>
                <w:sz w:val="20"/>
                <w:szCs w:val="20"/>
                <w:highlight w:val="none"/>
                <w:u w:val="none"/>
              </w:rPr>
            </w:pPr>
          </w:p>
        </w:tc>
      </w:tr>
      <w:tr w14:paraId="68D2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383C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223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92D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89E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8F35F3">
            <w:pPr>
              <w:jc w:val="right"/>
              <w:rPr>
                <w:rFonts w:hint="default" w:ascii="Times New Roman" w:hAnsi="Times New Roman" w:eastAsia="宋体" w:cs="Times New Roman"/>
                <w:i w:val="0"/>
                <w:iCs w:val="0"/>
                <w:color w:val="000000"/>
                <w:sz w:val="20"/>
                <w:szCs w:val="20"/>
                <w:highlight w:val="none"/>
                <w:u w:val="none"/>
              </w:rPr>
            </w:pPr>
          </w:p>
        </w:tc>
      </w:tr>
      <w:tr w14:paraId="0045B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8CC9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645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5C5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8C4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3FA21B">
            <w:pPr>
              <w:jc w:val="right"/>
              <w:rPr>
                <w:rFonts w:hint="default" w:ascii="Times New Roman" w:hAnsi="Times New Roman" w:eastAsia="宋体" w:cs="Times New Roman"/>
                <w:i w:val="0"/>
                <w:iCs w:val="0"/>
                <w:color w:val="000000"/>
                <w:sz w:val="20"/>
                <w:szCs w:val="20"/>
                <w:highlight w:val="none"/>
                <w:u w:val="none"/>
              </w:rPr>
            </w:pPr>
          </w:p>
        </w:tc>
      </w:tr>
      <w:tr w14:paraId="5F93C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D214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C8D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BAC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4E2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430DD5">
            <w:pPr>
              <w:jc w:val="right"/>
              <w:rPr>
                <w:rFonts w:hint="default" w:ascii="Times New Roman" w:hAnsi="Times New Roman" w:eastAsia="宋体" w:cs="Times New Roman"/>
                <w:i w:val="0"/>
                <w:iCs w:val="0"/>
                <w:color w:val="000000"/>
                <w:sz w:val="20"/>
                <w:szCs w:val="20"/>
                <w:highlight w:val="none"/>
                <w:u w:val="none"/>
              </w:rPr>
            </w:pPr>
          </w:p>
        </w:tc>
      </w:tr>
      <w:tr w14:paraId="143C5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1044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33D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C66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AD7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697D31">
            <w:pPr>
              <w:jc w:val="right"/>
              <w:rPr>
                <w:rFonts w:hint="default" w:ascii="Times New Roman" w:hAnsi="Times New Roman" w:eastAsia="宋体" w:cs="Times New Roman"/>
                <w:i w:val="0"/>
                <w:iCs w:val="0"/>
                <w:color w:val="000000"/>
                <w:sz w:val="20"/>
                <w:szCs w:val="20"/>
                <w:highlight w:val="none"/>
                <w:u w:val="none"/>
              </w:rPr>
            </w:pPr>
          </w:p>
        </w:tc>
      </w:tr>
      <w:tr w14:paraId="05B73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EB9E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392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5CC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7F3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474AD4">
            <w:pPr>
              <w:jc w:val="right"/>
              <w:rPr>
                <w:rFonts w:hint="default" w:ascii="Times New Roman" w:hAnsi="Times New Roman" w:eastAsia="宋体" w:cs="Times New Roman"/>
                <w:i w:val="0"/>
                <w:iCs w:val="0"/>
                <w:color w:val="000000"/>
                <w:sz w:val="20"/>
                <w:szCs w:val="20"/>
                <w:highlight w:val="none"/>
                <w:u w:val="none"/>
              </w:rPr>
            </w:pPr>
          </w:p>
        </w:tc>
      </w:tr>
      <w:tr w14:paraId="762E9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269A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A5E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090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CD8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E4E930">
            <w:pPr>
              <w:jc w:val="right"/>
              <w:rPr>
                <w:rFonts w:hint="default" w:ascii="Times New Roman" w:hAnsi="Times New Roman" w:eastAsia="宋体" w:cs="Times New Roman"/>
                <w:i w:val="0"/>
                <w:iCs w:val="0"/>
                <w:color w:val="000000"/>
                <w:sz w:val="20"/>
                <w:szCs w:val="20"/>
                <w:highlight w:val="none"/>
                <w:u w:val="none"/>
              </w:rPr>
            </w:pPr>
          </w:p>
        </w:tc>
      </w:tr>
      <w:tr w14:paraId="7AEE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5850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938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873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F2A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B90FDB">
            <w:pPr>
              <w:jc w:val="right"/>
              <w:rPr>
                <w:rFonts w:hint="default" w:ascii="Times New Roman" w:hAnsi="Times New Roman" w:eastAsia="宋体" w:cs="Times New Roman"/>
                <w:i w:val="0"/>
                <w:iCs w:val="0"/>
                <w:color w:val="000000"/>
                <w:sz w:val="20"/>
                <w:szCs w:val="20"/>
                <w:highlight w:val="none"/>
                <w:u w:val="none"/>
              </w:rPr>
            </w:pPr>
          </w:p>
        </w:tc>
      </w:tr>
      <w:tr w14:paraId="2F8D7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C6C8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AB7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386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6A3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D046BF">
            <w:pPr>
              <w:jc w:val="right"/>
              <w:rPr>
                <w:rFonts w:hint="default" w:ascii="Times New Roman" w:hAnsi="Times New Roman" w:eastAsia="宋体" w:cs="Times New Roman"/>
                <w:i w:val="0"/>
                <w:iCs w:val="0"/>
                <w:color w:val="000000"/>
                <w:sz w:val="20"/>
                <w:szCs w:val="20"/>
                <w:highlight w:val="none"/>
                <w:u w:val="none"/>
              </w:rPr>
            </w:pPr>
          </w:p>
        </w:tc>
      </w:tr>
      <w:tr w14:paraId="1CA51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21F2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2F8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146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64D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156A58">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单位：河北省正定县民兵训练基地（本级）</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162.85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14.90</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46.52</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7.46</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0.38</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66.12</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0.38</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17.10</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5.22</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2.92</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0.91</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15.36</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0.72</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38.29</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37.24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0.83</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201.14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单位：河北省正定县民兵训练基地（本级）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143.13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143.13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143.13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5AE7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EC3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E54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6ED9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930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15E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950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8A5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B39B">
            <w:pPr>
              <w:jc w:val="right"/>
              <w:rPr>
                <w:rFonts w:hint="default" w:ascii="Times New Roman" w:hAnsi="Times New Roman" w:eastAsia="宋体" w:cs="Times New Roman"/>
                <w:i w:val="0"/>
                <w:iCs w:val="0"/>
                <w:color w:val="000000"/>
                <w:sz w:val="20"/>
                <w:szCs w:val="20"/>
                <w:highlight w:val="none"/>
                <w:u w:val="none"/>
              </w:rPr>
            </w:pPr>
          </w:p>
        </w:tc>
      </w:tr>
      <w:tr w14:paraId="4EF0B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287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85A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BA0A7">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6B9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CCA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EB39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AC0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9715B">
            <w:pPr>
              <w:jc w:val="right"/>
              <w:rPr>
                <w:rFonts w:hint="default" w:ascii="Times New Roman" w:hAnsi="Times New Roman" w:eastAsia="宋体" w:cs="Times New Roman"/>
                <w:i w:val="0"/>
                <w:iCs w:val="0"/>
                <w:color w:val="000000"/>
                <w:sz w:val="20"/>
                <w:szCs w:val="20"/>
                <w:highlight w:val="none"/>
                <w:u w:val="none"/>
              </w:rPr>
            </w:pPr>
          </w:p>
        </w:tc>
      </w:tr>
      <w:tr w14:paraId="38634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602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970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AEA0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B6A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74A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931D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DBA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E946C">
            <w:pPr>
              <w:jc w:val="right"/>
              <w:rPr>
                <w:rFonts w:hint="default" w:ascii="Times New Roman" w:hAnsi="Times New Roman" w:eastAsia="宋体" w:cs="Times New Roman"/>
                <w:i w:val="0"/>
                <w:iCs w:val="0"/>
                <w:color w:val="000000"/>
                <w:sz w:val="20"/>
                <w:szCs w:val="20"/>
                <w:highlight w:val="none"/>
                <w:u w:val="none"/>
              </w:rPr>
            </w:pPr>
          </w:p>
        </w:tc>
      </w:tr>
      <w:tr w14:paraId="6667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7D2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31A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8A95E">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8F0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A97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611D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743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EE6EF">
            <w:pPr>
              <w:jc w:val="right"/>
              <w:rPr>
                <w:rFonts w:hint="default" w:ascii="Times New Roman" w:hAnsi="Times New Roman" w:eastAsia="宋体" w:cs="Times New Roman"/>
                <w:i w:val="0"/>
                <w:iCs w:val="0"/>
                <w:color w:val="000000"/>
                <w:sz w:val="20"/>
                <w:szCs w:val="20"/>
                <w:highlight w:val="none"/>
                <w:u w:val="none"/>
              </w:rPr>
            </w:pPr>
          </w:p>
        </w:tc>
      </w:tr>
      <w:tr w14:paraId="0ECC6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14A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6C1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26D1A">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CE4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DEF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A58A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F56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1F760">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单位：河北省正定县民兵训练基地（本级） </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注：本表反映单位本年度国有资本经营预算财政拨款支出情况。我单位无国有资本经营预算财政拨款收支情况，空表列示。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单位：河北省正定县民兵训练基地（本级）</w:t>
            </w:r>
            <w:bookmarkStart w:id="0" w:name="_GoBack"/>
            <w:bookmarkEnd w:id="0"/>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我单位无财政拨款“三公”经费支出情况，空表列示。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90BCA6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017F6C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27C32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2025年度收、支总计（含结转和结余）均为371.05万元。与2024年度决算相比，收支各增加110.67万元，增长42.5%，主要原因是</w:t>
      </w:r>
      <w:r>
        <w:rPr>
          <w:rFonts w:hint="eastAsia" w:ascii="Times New Roman" w:eastAsia="仿宋_GB2312"/>
          <w:b w:val="0"/>
          <w:sz w:val="32"/>
          <w:szCs w:val="32"/>
          <w:lang w:val="en-US" w:eastAsia="zh-CN"/>
        </w:rPr>
        <w:t>本年度增加政府性基金预算收支</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98CB38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8391C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2025年度本年收入合计371.05万元，其中：财政拨款收入371.05万元，占100%；上级补助收入0万元，占0%；事业收入0万元，占0%；经营收入0万元，占0%；附属单位上缴收入0万元，占0%；其他收入0万元，占0%。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492128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0673F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2025年度本年支出合计371.05万元，其中：基本支出216.42万元，占58.3%；项目支出154.63万元，占41.7%；经营支出0万元，占0%；上缴上级支出0万元，占0%；对附属单位补助支出0万元，占0%。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A47091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CB5A4E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C1E4F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2025年度财政拨款收、支总计（含结转和结余）均为371.05万元。与2024年度相比，财政拨款收支各增加110.67万元，增长42.5%，主要原因是。</w:t>
      </w:r>
    </w:p>
    <w:p w14:paraId="23B8F9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2025年度财政拨款本年收入371.05万元,比上年增加110.67万元，增长42.5%，主要原因是</w:t>
      </w:r>
      <w:r>
        <w:rPr>
          <w:rFonts w:hint="eastAsia" w:ascii="Times New Roman" w:eastAsia="仿宋_GB2312"/>
          <w:b w:val="0"/>
          <w:sz w:val="32"/>
          <w:szCs w:val="32"/>
          <w:highlight w:val="none"/>
          <w:lang w:val="en-US" w:eastAsia="zh-CN"/>
        </w:rPr>
        <w:t>本年度增加政府性基金收入</w:t>
      </w:r>
      <w:r>
        <w:rPr>
          <w:rFonts w:ascii="Times New Roman" w:eastAsia="仿宋_GB2312"/>
          <w:b w:val="0"/>
          <w:sz w:val="32"/>
          <w:szCs w:val="32"/>
          <w:highlight w:val="none"/>
        </w:rPr>
        <w:t>；本年支出371.05万元，比上年增加110.67万元，增长42.5%，主要原因是</w:t>
      </w:r>
      <w:r>
        <w:rPr>
          <w:rFonts w:hint="eastAsia" w:ascii="Times New Roman" w:eastAsia="仿宋_GB2312"/>
          <w:b w:val="0"/>
          <w:sz w:val="32"/>
          <w:szCs w:val="32"/>
          <w:highlight w:val="none"/>
          <w:lang w:val="en-US" w:eastAsia="zh-CN"/>
        </w:rPr>
        <w:t>本年度增加政府性基金支出</w:t>
      </w:r>
      <w:r>
        <w:rPr>
          <w:rFonts w:ascii="Times New Roman" w:eastAsia="仿宋_GB2312"/>
          <w:b w:val="0"/>
          <w:sz w:val="32"/>
          <w:szCs w:val="32"/>
          <w:highlight w:val="none"/>
        </w:rPr>
        <w:t>。具</w:t>
      </w:r>
      <w:r>
        <w:rPr>
          <w:rFonts w:ascii="Times New Roman" w:eastAsia="仿宋_GB2312"/>
          <w:b w:val="0"/>
          <w:sz w:val="32"/>
          <w:szCs w:val="32"/>
        </w:rPr>
        <w:t>体情况如下：</w:t>
      </w:r>
    </w:p>
    <w:p w14:paraId="0F5B0BF7">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highlight w:val="none"/>
        </w:rPr>
      </w:pPr>
      <w:r>
        <w:rPr>
          <w:rFonts w:ascii="Times New Roman" w:eastAsia="仿宋_GB2312"/>
          <w:b w:val="0"/>
          <w:sz w:val="32"/>
          <w:szCs w:val="32"/>
        </w:rPr>
        <w:t>1. 一般公共预算财政拨款本年收入227.92万元,比上年减少32.47万元，降低12.5%，主要原因是</w:t>
      </w:r>
      <w:r>
        <w:rPr>
          <w:rFonts w:hint="eastAsia" w:ascii="Times New Roman" w:eastAsia="仿宋_GB2312"/>
          <w:b w:val="0"/>
          <w:sz w:val="32"/>
          <w:szCs w:val="32"/>
          <w:highlight w:val="none"/>
          <w:lang w:val="en-US" w:eastAsia="zh-CN"/>
        </w:rPr>
        <w:t>项目支出减少</w:t>
      </w:r>
      <w:r>
        <w:rPr>
          <w:rFonts w:ascii="Times New Roman" w:eastAsia="仿宋_GB2312"/>
          <w:b w:val="0"/>
          <w:sz w:val="32"/>
          <w:szCs w:val="32"/>
          <w:highlight w:val="none"/>
        </w:rPr>
        <w:t>；本年支出227.92万元，比上年减少32.47万元，降低12.5%，主要原因是</w:t>
      </w:r>
      <w:r>
        <w:rPr>
          <w:rFonts w:hint="eastAsia" w:ascii="Times New Roman" w:eastAsia="仿宋_GB2312"/>
          <w:b w:val="0"/>
          <w:sz w:val="32"/>
          <w:szCs w:val="32"/>
          <w:highlight w:val="none"/>
          <w:lang w:val="en-US" w:eastAsia="zh-CN"/>
        </w:rPr>
        <w:t>项目支出减少</w:t>
      </w:r>
      <w:r>
        <w:rPr>
          <w:rFonts w:ascii="Times New Roman" w:eastAsia="仿宋_GB2312"/>
          <w:b w:val="0"/>
          <w:sz w:val="32"/>
          <w:szCs w:val="32"/>
          <w:highlight w:val="none"/>
        </w:rPr>
        <w:t>。</w:t>
      </w:r>
    </w:p>
    <w:p w14:paraId="46905F75">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2. 政府性基金预算财政拨款本年收入143.13万元，比上年增加143.13万元，增长100.00%，主要原因</w:t>
      </w:r>
      <w:r>
        <w:rPr>
          <w:rFonts w:ascii="Times New Roman" w:eastAsia="仿宋_GB2312"/>
          <w:b w:val="0"/>
          <w:sz w:val="32"/>
          <w:szCs w:val="32"/>
          <w:highlight w:val="none"/>
        </w:rPr>
        <w:t>是</w:t>
      </w:r>
      <w:r>
        <w:rPr>
          <w:rFonts w:hint="eastAsia" w:ascii="Times New Roman" w:eastAsia="仿宋_GB2312"/>
          <w:b w:val="0"/>
          <w:sz w:val="32"/>
          <w:szCs w:val="32"/>
          <w:highlight w:val="none"/>
          <w:lang w:val="en-US" w:eastAsia="zh-CN"/>
        </w:rPr>
        <w:t>本年度增加政府性基金收入用于清偿化解企业账款</w:t>
      </w:r>
      <w:r>
        <w:rPr>
          <w:rFonts w:ascii="Times New Roman" w:eastAsia="仿宋_GB2312"/>
          <w:b w:val="0"/>
          <w:sz w:val="32"/>
          <w:szCs w:val="32"/>
          <w:highlight w:val="none"/>
        </w:rPr>
        <w:t>；本年支出143.13万元，比上年增加143.13万元，增长100.00%，主要原因是</w:t>
      </w:r>
      <w:r>
        <w:rPr>
          <w:rFonts w:hint="eastAsia" w:ascii="Times New Roman" w:eastAsia="仿宋_GB2312"/>
          <w:b w:val="0"/>
          <w:sz w:val="32"/>
          <w:szCs w:val="32"/>
          <w:highlight w:val="none"/>
          <w:lang w:val="en-US" w:eastAsia="zh-CN"/>
        </w:rPr>
        <w:t>本年度增加政府性基金支出用于清偿化解企业账款</w:t>
      </w:r>
      <w:r>
        <w:rPr>
          <w:rFonts w:ascii="Times New Roman" w:eastAsia="仿宋_GB2312"/>
          <w:b w:val="0"/>
          <w:sz w:val="32"/>
          <w:szCs w:val="32"/>
          <w:highlight w:val="none"/>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4B41F6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52AE4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371.05万元，完成年初预算的176.8%，比年初预算增加161.16万元，决算数大于预算数主要原因是；本年支出371.05万元，完成年初预算的176.8%，比年初预算增加161.16万元，决算数大于预算数主要原因是。具体情况如下：</w:t>
      </w:r>
    </w:p>
    <w:p w14:paraId="4BEC2C72">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1. 一般公共预算财政拨款本年收入完成年初预算的108.6%，比年初预算增加18.03万元，主要原</w:t>
      </w:r>
      <w:r>
        <w:rPr>
          <w:rFonts w:ascii="Times New Roman" w:eastAsia="仿宋_GB2312"/>
          <w:b w:val="0"/>
          <w:sz w:val="32"/>
          <w:szCs w:val="32"/>
          <w:highlight w:val="none"/>
        </w:rPr>
        <w:t>因是</w:t>
      </w:r>
      <w:r>
        <w:rPr>
          <w:rFonts w:hint="eastAsia" w:ascii="Times New Roman" w:eastAsia="仿宋_GB2312"/>
          <w:b w:val="0"/>
          <w:sz w:val="32"/>
          <w:szCs w:val="32"/>
          <w:highlight w:val="none"/>
          <w:lang w:val="en-US" w:eastAsia="zh-CN"/>
        </w:rPr>
        <w:t>本年度追加民兵基地运转保障经费项目</w:t>
      </w:r>
      <w:r>
        <w:rPr>
          <w:rFonts w:ascii="Times New Roman" w:eastAsia="仿宋_GB2312"/>
          <w:b w:val="0"/>
          <w:sz w:val="32"/>
          <w:szCs w:val="32"/>
          <w:highlight w:val="none"/>
        </w:rPr>
        <w:t>；支出完成年初预算的108.6%，比年初预算增加18.03万元，主要原因是</w:t>
      </w:r>
      <w:r>
        <w:rPr>
          <w:rFonts w:hint="eastAsia" w:ascii="Times New Roman" w:eastAsia="仿宋_GB2312"/>
          <w:b w:val="0"/>
          <w:sz w:val="32"/>
          <w:szCs w:val="32"/>
          <w:highlight w:val="none"/>
          <w:lang w:val="en-US" w:eastAsia="zh-CN"/>
        </w:rPr>
        <w:t>本年度追加民兵基地运转保障经费项目</w:t>
      </w:r>
      <w:r>
        <w:rPr>
          <w:rFonts w:ascii="Times New Roman" w:eastAsia="仿宋_GB2312"/>
          <w:b w:val="0"/>
          <w:sz w:val="32"/>
          <w:szCs w:val="32"/>
          <w:highlight w:val="none"/>
        </w:rPr>
        <w:t>。</w:t>
      </w:r>
    </w:p>
    <w:p w14:paraId="64EF33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highlight w:val="none"/>
        </w:rPr>
        <w:t>2. 政府性基金预算财政拨款本年收入完成年初预算的0%，比</w:t>
      </w:r>
      <w:r>
        <w:rPr>
          <w:rFonts w:ascii="Times New Roman" w:eastAsia="仿宋_GB2312"/>
          <w:b w:val="0"/>
          <w:sz w:val="32"/>
          <w:szCs w:val="32"/>
        </w:rPr>
        <w:t>年初预算增加143.13万元，主要原因是</w:t>
      </w:r>
      <w:r>
        <w:rPr>
          <w:rFonts w:hint="eastAsia" w:ascii="Times New Roman" w:eastAsia="仿宋_GB2312"/>
          <w:b w:val="0"/>
          <w:sz w:val="32"/>
          <w:szCs w:val="32"/>
          <w:highlight w:val="none"/>
          <w:lang w:val="en-US" w:eastAsia="zh-CN"/>
        </w:rPr>
        <w:t>本年度增加政府性基金收入用于清偿化解企业账款</w:t>
      </w:r>
      <w:r>
        <w:rPr>
          <w:rFonts w:ascii="Times New Roman" w:eastAsia="仿宋_GB2312"/>
          <w:b w:val="0"/>
          <w:sz w:val="32"/>
          <w:szCs w:val="32"/>
        </w:rPr>
        <w:t>；支出完成年初预算的0%，比年初预算增加143.13万元，主要原因是</w:t>
      </w:r>
      <w:r>
        <w:rPr>
          <w:rFonts w:hint="eastAsia" w:ascii="Times New Roman" w:eastAsia="仿宋_GB2312"/>
          <w:b w:val="0"/>
          <w:sz w:val="32"/>
          <w:szCs w:val="32"/>
          <w:highlight w:val="none"/>
          <w:lang w:val="en-US" w:eastAsia="zh-CN"/>
        </w:rPr>
        <w:t>本年度增加政府性基金收入用于清偿化解企业账款</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2B66D5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5333898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2025年度财政拨款支出371.05万元，主要用于以下方面：</w:t>
      </w:r>
    </w:p>
    <w:p w14:paraId="31C83E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29D95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一般公共服务（类）支出154.98万元，占41.8%，主要用于</w:t>
      </w:r>
      <w:r>
        <w:rPr>
          <w:rFonts w:hint="eastAsia" w:ascii="Times New Roman" w:eastAsia="仿宋_GB2312"/>
          <w:b w:val="0"/>
          <w:sz w:val="32"/>
          <w:szCs w:val="32"/>
          <w:lang w:val="en-US" w:eastAsia="zh-CN"/>
        </w:rPr>
        <w:t>保障基地运转</w:t>
      </w:r>
      <w:r>
        <w:rPr>
          <w:rFonts w:ascii="Times New Roman" w:eastAsia="仿宋_GB2312"/>
          <w:b w:val="0"/>
          <w:sz w:val="32"/>
          <w:szCs w:val="32"/>
        </w:rPr>
        <w:t>等支出；社会保障和就业 （类）支出52.47万元，占14.1%，主要用于</w:t>
      </w:r>
      <w:r>
        <w:rPr>
          <w:rFonts w:hint="eastAsia" w:ascii="Times New Roman" w:eastAsia="仿宋_GB2312"/>
          <w:b w:val="0"/>
          <w:sz w:val="32"/>
          <w:szCs w:val="32"/>
          <w:lang w:val="en-US" w:eastAsia="zh-CN"/>
        </w:rPr>
        <w:t>人员养老保险费</w:t>
      </w:r>
      <w:r>
        <w:rPr>
          <w:rFonts w:ascii="Times New Roman" w:eastAsia="仿宋_GB2312"/>
          <w:b w:val="0"/>
          <w:sz w:val="32"/>
          <w:szCs w:val="32"/>
        </w:rPr>
        <w:t>等支出；卫生健康（类）支出7.76万元，占2.1%，主要用于</w:t>
      </w:r>
      <w:r>
        <w:rPr>
          <w:rFonts w:hint="eastAsia" w:ascii="Times New Roman" w:eastAsia="仿宋_GB2312"/>
          <w:b w:val="0"/>
          <w:sz w:val="32"/>
          <w:szCs w:val="32"/>
          <w:lang w:val="en-US" w:eastAsia="zh-CN"/>
        </w:rPr>
        <w:t>人员医疗保险</w:t>
      </w:r>
      <w:r>
        <w:rPr>
          <w:rFonts w:ascii="Times New Roman" w:eastAsia="仿宋_GB2312"/>
          <w:b w:val="0"/>
          <w:sz w:val="32"/>
          <w:szCs w:val="32"/>
        </w:rPr>
        <w:t>等支出；住房保障（类）支出12.70万元，占3.4%，主要用于</w:t>
      </w:r>
      <w:r>
        <w:rPr>
          <w:rFonts w:hint="eastAsia" w:ascii="Times New Roman" w:eastAsia="仿宋_GB2312"/>
          <w:b w:val="0"/>
          <w:sz w:val="32"/>
          <w:szCs w:val="32"/>
          <w:lang w:val="en-US" w:eastAsia="zh-CN"/>
        </w:rPr>
        <w:t>人员住房公积金</w:t>
      </w:r>
      <w:r>
        <w:rPr>
          <w:rFonts w:ascii="Times New Roman" w:eastAsia="仿宋_GB2312"/>
          <w:b w:val="0"/>
          <w:sz w:val="32"/>
          <w:szCs w:val="32"/>
        </w:rPr>
        <w:t>等支出。</w:t>
      </w:r>
    </w:p>
    <w:p w14:paraId="1B9CAB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393E8CB">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城乡社区（类）支出52.51万元，占14.2%，</w:t>
      </w:r>
      <w:r>
        <w:rPr>
          <w:rFonts w:ascii="Times New Roman" w:eastAsia="仿宋_GB2312"/>
          <w:b w:val="0"/>
          <w:sz w:val="32"/>
          <w:szCs w:val="32"/>
          <w:highlight w:val="none"/>
        </w:rPr>
        <w:t>主要用于</w:t>
      </w:r>
      <w:r>
        <w:rPr>
          <w:rFonts w:hint="eastAsia" w:ascii="Times New Roman" w:eastAsia="仿宋_GB2312"/>
          <w:b w:val="0"/>
          <w:sz w:val="32"/>
          <w:szCs w:val="32"/>
          <w:highlight w:val="none"/>
          <w:lang w:val="en-US" w:eastAsia="zh-CN"/>
        </w:rPr>
        <w:t>清偿化解拖欠企业账款</w:t>
      </w:r>
      <w:r>
        <w:rPr>
          <w:rFonts w:ascii="Times New Roman" w:eastAsia="仿宋_GB2312"/>
          <w:b w:val="0"/>
          <w:sz w:val="32"/>
          <w:szCs w:val="32"/>
          <w:highlight w:val="none"/>
        </w:rPr>
        <w:t>支出；其他（类）支出90.62万元，占24.4%，主要用于</w:t>
      </w:r>
      <w:r>
        <w:rPr>
          <w:rFonts w:hint="eastAsia" w:ascii="Times New Roman" w:eastAsia="仿宋_GB2312"/>
          <w:b w:val="0"/>
          <w:sz w:val="32"/>
          <w:szCs w:val="32"/>
          <w:highlight w:val="none"/>
          <w:lang w:val="en-US" w:eastAsia="zh-CN"/>
        </w:rPr>
        <w:t>清偿化解拖欠企业账款</w:t>
      </w:r>
      <w:r>
        <w:rPr>
          <w:rFonts w:ascii="Times New Roman" w:eastAsia="仿宋_GB2312"/>
          <w:b w:val="0"/>
          <w:sz w:val="32"/>
          <w:szCs w:val="32"/>
          <w:highlight w:val="none"/>
        </w:rPr>
        <w:t>支出。</w:t>
      </w:r>
    </w:p>
    <w:p w14:paraId="00D3AE4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A57198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2025年度财政拨款基本支出216.42万元，其中：</w:t>
      </w:r>
    </w:p>
    <w:p w14:paraId="6566D1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人员经费201.14万元，主要包括基本工资、津贴补贴、绩效工资、机关事业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基本养老保险缴费、职业年金缴费、职工基本医疗保险缴费、公务员医疗补助缴费、住房公积金、其他社会保障缴费</w:t>
      </w:r>
      <w:r>
        <w:rPr>
          <w:rFonts w:hint="eastAsia" w:ascii="Times New Roman" w:eastAsia="仿宋_GB2312"/>
          <w:b w:val="0"/>
          <w:sz w:val="32"/>
          <w:szCs w:val="32"/>
          <w:lang w:eastAsia="zh-CN"/>
        </w:rPr>
        <w:t>、</w:t>
      </w:r>
      <w:r>
        <w:rPr>
          <w:rFonts w:ascii="Times New Roman" w:eastAsia="仿宋_GB2312"/>
          <w:b w:val="0"/>
          <w:sz w:val="32"/>
          <w:szCs w:val="32"/>
        </w:rPr>
        <w:t>退休费、生活补助。</w:t>
      </w:r>
    </w:p>
    <w:p w14:paraId="102D7A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公用经费15.28万元，主要包括办公费、电费、邮电费、差旅费、维修（护）费、工会经费、福利费、办公设备购置。</w:t>
      </w:r>
    </w:p>
    <w:p w14:paraId="5100BF6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4671B4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02889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年度“三公”经费财政拨款支出预算为0万元，支出决算为0万元，完成预算的0%，较预算增加0万元，增长0%，主要原因是</w:t>
      </w:r>
      <w:r>
        <w:rPr>
          <w:rFonts w:hint="eastAsia" w:ascii="Times New Roman" w:eastAsia="仿宋_GB2312"/>
          <w:b w:val="0"/>
          <w:sz w:val="32"/>
          <w:szCs w:val="32"/>
          <w:lang w:val="en-US" w:eastAsia="zh-CN"/>
        </w:rPr>
        <w:t>我单位无“三公”三公经费预算</w:t>
      </w:r>
      <w:r>
        <w:rPr>
          <w:rFonts w:ascii="Times New Roman" w:eastAsia="仿宋_GB2312"/>
          <w:b w:val="0"/>
          <w:sz w:val="32"/>
          <w:szCs w:val="32"/>
        </w:rPr>
        <w:t>；较202</w:t>
      </w:r>
      <w:r>
        <w:rPr>
          <w:rFonts w:hint="eastAsia" w:ascii="Times New Roman" w:eastAsia="仿宋_GB2312"/>
          <w:b w:val="0"/>
          <w:sz w:val="32"/>
          <w:szCs w:val="32"/>
          <w:lang w:val="en-US" w:eastAsia="zh-CN"/>
        </w:rPr>
        <w:t>4</w:t>
      </w:r>
      <w:r>
        <w:rPr>
          <w:rFonts w:ascii="Times New Roman" w:eastAsia="仿宋_GB2312"/>
          <w:b w:val="0"/>
          <w:sz w:val="32"/>
          <w:szCs w:val="32"/>
        </w:rPr>
        <w:t>年度决算增加0万元，增长0%，主要原因是</w:t>
      </w:r>
      <w:r>
        <w:rPr>
          <w:rFonts w:hint="eastAsia" w:ascii="Times New Roman" w:eastAsia="仿宋_GB2312"/>
          <w:b w:val="0"/>
          <w:sz w:val="32"/>
          <w:szCs w:val="32"/>
          <w:lang w:val="en-US" w:eastAsia="zh-CN"/>
        </w:rPr>
        <w:t>我单位无“三公”三公经费预算</w:t>
      </w:r>
      <w:r>
        <w:rPr>
          <w:rFonts w:ascii="Times New Roman" w:eastAsia="仿宋_GB2312"/>
          <w:b w:val="0"/>
          <w:sz w:val="32"/>
          <w:szCs w:val="32"/>
        </w:rPr>
        <w:t>。</w:t>
      </w:r>
    </w:p>
    <w:p w14:paraId="5E9EB17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2D4641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年度因公出国（境）费支出预算为0万元,支出决算0万元。完成预算的0%。因公出国（境）费支出较预算增加0万元，增长0%,主要原因是</w:t>
      </w:r>
      <w:r>
        <w:rPr>
          <w:rFonts w:hint="eastAsia" w:ascii="Times New Roman" w:eastAsia="仿宋_GB2312"/>
          <w:b w:val="0"/>
          <w:sz w:val="32"/>
          <w:szCs w:val="32"/>
          <w:lang w:val="en-US" w:eastAsia="zh-CN"/>
        </w:rPr>
        <w:t>我单位无</w:t>
      </w:r>
      <w:r>
        <w:rPr>
          <w:rFonts w:ascii="Times New Roman" w:eastAsia="仿宋_GB2312"/>
          <w:b w:val="0"/>
          <w:sz w:val="32"/>
          <w:szCs w:val="32"/>
        </w:rPr>
        <w:t>因公出国（境）费支出预算；较上年增加0万元，增长0%,主要原因是</w:t>
      </w:r>
      <w:r>
        <w:rPr>
          <w:rFonts w:hint="eastAsia" w:ascii="Times New Roman" w:eastAsia="仿宋_GB2312"/>
          <w:b w:val="0"/>
          <w:sz w:val="32"/>
          <w:szCs w:val="32"/>
          <w:lang w:val="en-US" w:eastAsia="zh-CN"/>
        </w:rPr>
        <w:t>我单位无</w:t>
      </w:r>
      <w:r>
        <w:rPr>
          <w:rFonts w:ascii="Times New Roman" w:eastAsia="仿宋_GB2312"/>
          <w:b w:val="0"/>
          <w:sz w:val="32"/>
          <w:szCs w:val="32"/>
        </w:rPr>
        <w:t>因公出国（境）费支出预算。因公出国（境）团组0个、共0人、参加其他单位组织的因公出国（境）团组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5F2C714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年度公务用车购置及运行维护费预算为0万元，支出决算0万元，完成预算的0%,较预算增加0万元，增长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val="en-US" w:eastAsia="zh-CN"/>
        </w:rPr>
        <w:t>我单位无公务用车购置及运行维护费预算</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我单位无公务用车购置及运行维护费预算</w:t>
      </w:r>
      <w:r>
        <w:rPr>
          <w:rFonts w:ascii="Times New Roman" w:eastAsia="仿宋_GB2312"/>
          <w:b w:val="0"/>
          <w:sz w:val="32"/>
          <w:szCs w:val="32"/>
        </w:rPr>
        <w:t>。其中：</w:t>
      </w:r>
    </w:p>
    <w:p w14:paraId="16BC41D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年度公务用车购置量0辆，发生“公务用车购置”经费支出0万元。公务用车购置费支出较预算增加0万元，增长0%,主要原因是</w:t>
      </w:r>
      <w:r>
        <w:rPr>
          <w:rFonts w:hint="eastAsia" w:ascii="Times New Roman" w:eastAsia="仿宋_GB2312"/>
          <w:b w:val="0"/>
          <w:sz w:val="32"/>
          <w:szCs w:val="32"/>
          <w:lang w:val="en-US" w:eastAsia="zh-CN"/>
        </w:rPr>
        <w:t>我单位无公务用车购置预算</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我单位无公务用车购置预算</w:t>
      </w:r>
      <w:r>
        <w:rPr>
          <w:rFonts w:ascii="Times New Roman" w:eastAsia="仿宋_GB2312"/>
          <w:b w:val="0"/>
          <w:sz w:val="32"/>
          <w:szCs w:val="32"/>
        </w:rPr>
        <w:t>。</w:t>
      </w:r>
    </w:p>
    <w:p w14:paraId="23AC1EA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年度单位公务用车保有量0辆，发生运行维护费支出0万元。公车运行维护费支出较预算增加0万元，增长0%,主要原因是</w:t>
      </w:r>
      <w:r>
        <w:rPr>
          <w:rFonts w:hint="eastAsia" w:ascii="Times New Roman" w:eastAsia="仿宋_GB2312"/>
          <w:b w:val="0"/>
          <w:sz w:val="32"/>
          <w:szCs w:val="32"/>
          <w:lang w:val="en-US" w:eastAsia="zh-CN"/>
        </w:rPr>
        <w:t>我单位无公务用车运行维护费预算</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我单位无公务用车运行维护费预算</w:t>
      </w:r>
      <w:r>
        <w:rPr>
          <w:rFonts w:ascii="Times New Roman" w:eastAsia="仿宋_GB2312"/>
          <w:b w:val="0"/>
          <w:sz w:val="32"/>
          <w:szCs w:val="32"/>
        </w:rPr>
        <w:t>。</w:t>
      </w:r>
    </w:p>
    <w:p w14:paraId="2355A696">
      <w:pPr>
        <w:widowControl/>
        <w:numPr>
          <w:ilvl w:val="0"/>
          <w:numId w:val="2"/>
        </w:numPr>
        <w:spacing w:before="0" w:beforeLines="0" w:beforeAutospacing="0" w:after="0" w:afterLines="0" w:afterAutospacing="0" w:line="360" w:lineRule="auto"/>
        <w:ind w:firstLine="643" w:firstLineChars="200"/>
        <w:jc w:val="left"/>
        <w:outlineLvl w:val="1"/>
        <w:rPr>
          <w:rFonts w:ascii="Times New Roman" w:eastAsia="仿宋_GB2312"/>
          <w:b w:val="0"/>
          <w:sz w:val="32"/>
          <w:szCs w:val="32"/>
        </w:rPr>
      </w:pPr>
      <w:r>
        <w:rPr>
          <w:rFonts w:ascii="Times New Roman" w:eastAsia="楷体_GB2312"/>
          <w:b/>
          <w:sz w:val="32"/>
          <w:szCs w:val="32"/>
        </w:rPr>
        <w:t>公务接待费支出情况。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年度公务接待费支出预算为0万元，支出决算0万元，完成预算的0%。公务接待费支出较预算增加0万元，增长0%,主要原因是</w:t>
      </w:r>
      <w:r>
        <w:rPr>
          <w:rFonts w:hint="eastAsia" w:ascii="Times New Roman" w:eastAsia="仿宋_GB2312"/>
          <w:b w:val="0"/>
          <w:sz w:val="32"/>
          <w:szCs w:val="32"/>
          <w:lang w:val="en-US" w:eastAsia="zh-CN"/>
        </w:rPr>
        <w:t>我单位无公务接待费预算</w:t>
      </w:r>
      <w:r>
        <w:rPr>
          <w:rFonts w:ascii="Times New Roman" w:eastAsia="仿宋_GB2312"/>
          <w:b w:val="0"/>
          <w:sz w:val="32"/>
          <w:szCs w:val="32"/>
        </w:rPr>
        <w:t>；较上年度增加0万元，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我单位无公务接待费预算</w:t>
      </w:r>
      <w:r>
        <w:rPr>
          <w:rFonts w:ascii="Times New Roman" w:eastAsia="仿宋_GB2312"/>
          <w:b w:val="0"/>
          <w:sz w:val="32"/>
          <w:szCs w:val="32"/>
        </w:rPr>
        <w:t>。本年度共发生公务接待0批次、0人次。</w:t>
      </w:r>
    </w:p>
    <w:p w14:paraId="18AEB5C9">
      <w:pPr>
        <w:widowControl/>
        <w:numPr>
          <w:ilvl w:val="0"/>
          <w:numId w:val="0"/>
        </w:numPr>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CE0CFE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2025年度机关运行经费支出0万元，较2024年度增加0万元，增长0%。主要原因是</w:t>
      </w:r>
      <w:r>
        <w:rPr>
          <w:rFonts w:ascii="Times New Roman" w:eastAsia="仿宋_GB2312"/>
          <w:sz w:val="32"/>
          <w:szCs w:val="32"/>
        </w:rPr>
        <w:t>我单位为事业单位，无机关运行费开支</w:t>
      </w:r>
      <w:r>
        <w:rPr>
          <w:rFonts w:ascii="Times New Roman" w:eastAsia="仿宋_GB2312"/>
          <w:b w:val="0"/>
          <w:sz w:val="32"/>
          <w:szCs w:val="32"/>
        </w:rPr>
        <w:t>。</w:t>
      </w:r>
    </w:p>
    <w:p w14:paraId="4436603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C4436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2025年度政府采购支出总额0万元，从采购类型来看，政府采购货物支出0万元、政府采购工程支出0万元、政府采购服务支出0万元。授予中小企业合同金额0万元，占政府采购支出总额的</w:t>
      </w:r>
      <w:r>
        <w:rPr>
          <w:rFonts w:hint="eastAsia" w:ascii="Times New Roman" w:eastAsia="仿宋_GB2312"/>
          <w:b w:val="0"/>
          <w:sz w:val="32"/>
          <w:szCs w:val="32"/>
          <w:lang w:val="en-US" w:eastAsia="zh-CN"/>
        </w:rPr>
        <w:t>0</w:t>
      </w:r>
      <w:r>
        <w:rPr>
          <w:rFonts w:ascii="Times New Roman" w:eastAsia="仿宋_GB2312"/>
          <w:b w:val="0"/>
          <w:sz w:val="32"/>
          <w:szCs w:val="32"/>
        </w:rPr>
        <w:t>%，其中授予小微企业合同金额0万元，占政府采购支出总额的0%。</w:t>
      </w:r>
    </w:p>
    <w:p w14:paraId="19DFA6E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3FAA3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单位</w:t>
      </w:r>
      <w:r>
        <w:rPr>
          <w:rFonts w:ascii="Times New Roman" w:eastAsia="仿宋_GB2312"/>
          <w:b w:val="0"/>
          <w:sz w:val="32"/>
          <w:szCs w:val="32"/>
        </w:rPr>
        <w:t>共有车辆0辆，比上年减少1辆，主要是。其中，副部（省）级及以上领导用车0辆，主要负责人用车0辆，机要通信用车0辆，应急保障用车0辆，执法执勤用车0辆，特种专业技术用车0辆，离退休干部用车0辆，其他用车0辆。单位价值100万元（含）以上设备（不含车辆）1台（套）。</w:t>
      </w:r>
    </w:p>
    <w:p w14:paraId="7FF6748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CD0DC2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D16B9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w:t>
      </w:r>
      <w:r>
        <w:rPr>
          <w:rFonts w:ascii="Times New Roman" w:eastAsia="仿宋_GB2312"/>
          <w:b w:val="0"/>
          <w:sz w:val="32"/>
          <w:szCs w:val="32"/>
          <w:highlight w:val="none"/>
        </w:rPr>
        <w:t>，本</w:t>
      </w:r>
      <w:r>
        <w:rPr>
          <w:rFonts w:hint="eastAsia" w:ascii="Times New Roman" w:eastAsia="仿宋_GB2312"/>
          <w:b w:val="0"/>
          <w:sz w:val="32"/>
          <w:szCs w:val="32"/>
          <w:highlight w:val="none"/>
          <w:lang w:eastAsia="zh-CN"/>
        </w:rPr>
        <w:t>单位</w:t>
      </w:r>
      <w:r>
        <w:rPr>
          <w:rFonts w:ascii="Times New Roman" w:eastAsia="仿宋_GB2312"/>
          <w:b w:val="0"/>
          <w:sz w:val="32"/>
          <w:szCs w:val="32"/>
          <w:highlight w:val="none"/>
        </w:rPr>
        <w:t>组织对2025年度本级预算项目支出全面开展绩效自评，共涉及资金</w:t>
      </w:r>
      <w:r>
        <w:rPr>
          <w:rFonts w:hint="eastAsia" w:ascii="Times New Roman" w:eastAsia="仿宋_GB2312"/>
          <w:b w:val="0"/>
          <w:sz w:val="32"/>
          <w:szCs w:val="32"/>
          <w:highlight w:val="none"/>
          <w:lang w:val="en-US" w:eastAsia="zh-CN"/>
        </w:rPr>
        <w:t>154.63</w:t>
      </w:r>
      <w:r>
        <w:rPr>
          <w:rFonts w:ascii="Times New Roman" w:eastAsia="仿宋_GB2312"/>
          <w:b w:val="0"/>
          <w:sz w:val="32"/>
          <w:szCs w:val="32"/>
          <w:highlight w:val="none"/>
        </w:rPr>
        <w:t>万元（决算金额）。其中，一般公共预算项目</w:t>
      </w:r>
      <w:r>
        <w:rPr>
          <w:rFonts w:hint="eastAsia" w:ascii="Times New Roman" w:eastAsia="仿宋_GB2312"/>
          <w:b w:val="0"/>
          <w:sz w:val="32"/>
          <w:szCs w:val="32"/>
          <w:highlight w:val="none"/>
          <w:lang w:val="en-US" w:eastAsia="zh-CN"/>
        </w:rPr>
        <w:t>2</w:t>
      </w:r>
      <w:r>
        <w:rPr>
          <w:rFonts w:ascii="Times New Roman" w:eastAsia="仿宋_GB2312"/>
          <w:b w:val="0"/>
          <w:sz w:val="32"/>
          <w:szCs w:val="32"/>
          <w:highlight w:val="none"/>
        </w:rPr>
        <w:t>个，涉及资金</w:t>
      </w:r>
      <w:r>
        <w:rPr>
          <w:rFonts w:hint="eastAsia" w:ascii="Times New Roman" w:eastAsia="仿宋_GB2312"/>
          <w:b w:val="0"/>
          <w:sz w:val="32"/>
          <w:szCs w:val="32"/>
          <w:highlight w:val="none"/>
          <w:lang w:val="en-US" w:eastAsia="zh-CN"/>
        </w:rPr>
        <w:t>11.5</w:t>
      </w:r>
      <w:r>
        <w:rPr>
          <w:rFonts w:ascii="Times New Roman" w:eastAsia="仿宋_GB2312"/>
          <w:b w:val="0"/>
          <w:sz w:val="32"/>
          <w:szCs w:val="32"/>
          <w:highlight w:val="none"/>
        </w:rPr>
        <w:t>万元，占一般公共预算项目支出总额的</w:t>
      </w:r>
      <w:r>
        <w:rPr>
          <w:rFonts w:hint="eastAsia" w:ascii="Times New Roman" w:eastAsia="仿宋_GB2312"/>
          <w:b w:val="0"/>
          <w:sz w:val="32"/>
          <w:szCs w:val="32"/>
          <w:highlight w:val="none"/>
          <w:lang w:val="en-US" w:eastAsia="zh-CN"/>
        </w:rPr>
        <w:t>100</w:t>
      </w:r>
      <w:r>
        <w:rPr>
          <w:rFonts w:ascii="Times New Roman" w:eastAsia="仿宋_GB2312"/>
          <w:b w:val="0"/>
          <w:sz w:val="32"/>
          <w:szCs w:val="32"/>
          <w:highlight w:val="none"/>
        </w:rPr>
        <w:t>%；政府性基金预算项目</w:t>
      </w:r>
      <w:r>
        <w:rPr>
          <w:rFonts w:hint="eastAsia" w:ascii="Times New Roman" w:eastAsia="仿宋_GB2312"/>
          <w:b w:val="0"/>
          <w:sz w:val="32"/>
          <w:szCs w:val="32"/>
          <w:highlight w:val="none"/>
          <w:lang w:val="en-US" w:eastAsia="zh-CN"/>
        </w:rPr>
        <w:t>4</w:t>
      </w:r>
      <w:r>
        <w:rPr>
          <w:rFonts w:ascii="Times New Roman" w:eastAsia="仿宋_GB2312"/>
          <w:b w:val="0"/>
          <w:sz w:val="32"/>
          <w:szCs w:val="32"/>
          <w:highlight w:val="none"/>
        </w:rPr>
        <w:t>个，涉及资金</w:t>
      </w:r>
      <w:r>
        <w:rPr>
          <w:rFonts w:hint="eastAsia" w:ascii="Times New Roman" w:eastAsia="仿宋_GB2312"/>
          <w:b w:val="0"/>
          <w:sz w:val="32"/>
          <w:szCs w:val="32"/>
          <w:highlight w:val="none"/>
          <w:lang w:val="en-US" w:eastAsia="zh-CN"/>
        </w:rPr>
        <w:t>8.38</w:t>
      </w:r>
      <w:r>
        <w:rPr>
          <w:rFonts w:ascii="Times New Roman" w:eastAsia="仿宋_GB2312"/>
          <w:b w:val="0"/>
          <w:sz w:val="32"/>
          <w:szCs w:val="32"/>
          <w:highlight w:val="none"/>
        </w:rPr>
        <w:t>万元，占政府性基金预算项目支出总额的</w:t>
      </w:r>
      <w:r>
        <w:rPr>
          <w:rFonts w:hint="eastAsia" w:ascii="Times New Roman" w:eastAsia="仿宋_GB2312"/>
          <w:b w:val="0"/>
          <w:sz w:val="32"/>
          <w:szCs w:val="32"/>
          <w:highlight w:val="none"/>
          <w:lang w:val="en-US" w:eastAsia="zh-CN"/>
        </w:rPr>
        <w:t>100</w:t>
      </w:r>
      <w:r>
        <w:rPr>
          <w:rFonts w:ascii="Times New Roman" w:eastAsia="仿宋_GB2312"/>
          <w:b w:val="0"/>
          <w:sz w:val="32"/>
          <w:szCs w:val="32"/>
          <w:highlight w:val="none"/>
        </w:rPr>
        <w:t>%；国有资本经营预算项目</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个，涉及资金</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万元，占国有资本经营预算项</w:t>
      </w:r>
      <w:r>
        <w:rPr>
          <w:rFonts w:ascii="Times New Roman" w:eastAsia="仿宋_GB2312"/>
          <w:b w:val="0"/>
          <w:sz w:val="32"/>
          <w:szCs w:val="32"/>
        </w:rPr>
        <w:t>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576420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highlight w:val="none"/>
        </w:rPr>
        <w:t>组织对</w:t>
      </w:r>
      <w:r>
        <w:rPr>
          <w:rFonts w:hint="eastAsia" w:ascii="Times New Roman" w:eastAsia="仿宋_GB2312"/>
          <w:b w:val="0"/>
          <w:sz w:val="32"/>
          <w:szCs w:val="32"/>
          <w:highlight w:val="none"/>
        </w:rPr>
        <w:t>民兵基地营院维护费</w:t>
      </w:r>
      <w:r>
        <w:rPr>
          <w:rFonts w:ascii="Times New Roman" w:eastAsia="仿宋_GB2312"/>
          <w:b w:val="0"/>
          <w:sz w:val="32"/>
          <w:szCs w:val="32"/>
          <w:highlight w:val="none"/>
        </w:rPr>
        <w:t>项目开展了</w:t>
      </w:r>
      <w:r>
        <w:rPr>
          <w:rFonts w:hint="eastAsia" w:ascii="Times New Roman" w:eastAsia="仿宋_GB2312"/>
          <w:b w:val="0"/>
          <w:sz w:val="32"/>
          <w:szCs w:val="32"/>
          <w:highlight w:val="none"/>
          <w:lang w:eastAsia="zh-CN"/>
        </w:rPr>
        <w:t>单位</w:t>
      </w:r>
      <w:r>
        <w:rPr>
          <w:rFonts w:ascii="Times New Roman" w:eastAsia="仿宋_GB2312"/>
          <w:b w:val="0"/>
          <w:sz w:val="32"/>
          <w:szCs w:val="32"/>
          <w:highlight w:val="none"/>
        </w:rPr>
        <w:t>重点评价，涉及一般公共预算支出</w:t>
      </w:r>
      <w:r>
        <w:rPr>
          <w:rFonts w:hint="eastAsia" w:ascii="Times New Roman" w:eastAsia="仿宋_GB2312"/>
          <w:b w:val="0"/>
          <w:sz w:val="32"/>
          <w:szCs w:val="32"/>
          <w:highlight w:val="none"/>
          <w:lang w:val="en-US" w:eastAsia="zh-CN"/>
        </w:rPr>
        <w:t>1.5</w:t>
      </w:r>
      <w:r>
        <w:rPr>
          <w:rFonts w:ascii="Times New Roman" w:eastAsia="仿宋_GB2312"/>
          <w:b w:val="0"/>
          <w:sz w:val="32"/>
          <w:szCs w:val="32"/>
          <w:highlight w:val="none"/>
        </w:rPr>
        <w:t>万元，政府性基金预算支出</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万</w:t>
      </w:r>
      <w:r>
        <w:rPr>
          <w:rFonts w:ascii="Times New Roman" w:eastAsia="仿宋_GB2312"/>
          <w:b w:val="0"/>
          <w:sz w:val="32"/>
          <w:szCs w:val="32"/>
        </w:rPr>
        <w:t>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ascii="Times New Roman" w:eastAsia="仿宋_GB2312"/>
          <w:b w:val="0"/>
          <w:sz w:val="32"/>
          <w:szCs w:val="32"/>
          <w:highlight w:val="none"/>
        </w:rPr>
        <w:t>，</w:t>
      </w:r>
      <w:r>
        <w:rPr>
          <w:rFonts w:hint="eastAsia" w:ascii="Times New Roman" w:eastAsia="仿宋_GB2312"/>
          <w:b w:val="0"/>
          <w:sz w:val="32"/>
          <w:szCs w:val="32"/>
          <w:highlight w:val="none"/>
        </w:rPr>
        <w:t>对基地营房及其配套设施进行维修维护，保障参训人员住宿和训练设施，确保各类训练正常开展</w:t>
      </w:r>
      <w:r>
        <w:rPr>
          <w:rFonts w:ascii="Times New Roman" w:eastAsia="仿宋_GB2312"/>
          <w:b w:val="0"/>
          <w:sz w:val="32"/>
          <w:szCs w:val="32"/>
          <w:highlight w:val="none"/>
        </w:rPr>
        <w:t>。</w:t>
      </w:r>
    </w:p>
    <w:p w14:paraId="5AA9E9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5BBC11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Times New Roman" w:eastAsia="仿宋_GB2312"/>
          <w:b w:val="0"/>
          <w:sz w:val="32"/>
          <w:szCs w:val="32"/>
          <w:highlight w:val="none"/>
          <w:lang w:val="en-US" w:eastAsia="zh-CN"/>
        </w:rPr>
        <w:t>民兵基地营院维护费</w:t>
      </w:r>
      <w:r>
        <w:rPr>
          <w:rFonts w:ascii="Times New Roman" w:eastAsia="仿宋_GB2312"/>
          <w:b w:val="0"/>
          <w:sz w:val="32"/>
          <w:szCs w:val="32"/>
          <w:highlight w:val="none"/>
        </w:rPr>
        <w:t>等</w:t>
      </w:r>
      <w:r>
        <w:rPr>
          <w:rFonts w:hint="eastAsia" w:ascii="Times New Roman" w:eastAsia="仿宋_GB2312"/>
          <w:b w:val="0"/>
          <w:sz w:val="32"/>
          <w:szCs w:val="32"/>
          <w:highlight w:val="none"/>
          <w:lang w:val="en-US" w:eastAsia="zh-CN"/>
        </w:rPr>
        <w:t>2</w:t>
      </w:r>
      <w:r>
        <w:rPr>
          <w:rFonts w:ascii="Times New Roman" w:eastAsia="仿宋_GB2312"/>
          <w:b w:val="0"/>
          <w:sz w:val="32"/>
          <w:szCs w:val="32"/>
        </w:rPr>
        <w:t>个项目绩效自评结果。</w:t>
      </w:r>
    </w:p>
    <w:p w14:paraId="046DCB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11.5</w:t>
      </w:r>
      <w:r>
        <w:rPr>
          <w:rFonts w:ascii="Times New Roman" w:eastAsia="仿宋_GB2312"/>
          <w:b w:val="0"/>
          <w:sz w:val="32"/>
          <w:szCs w:val="32"/>
        </w:rPr>
        <w:t>万元，执行数为</w:t>
      </w:r>
      <w:r>
        <w:rPr>
          <w:rFonts w:hint="eastAsia" w:ascii="Times New Roman" w:eastAsia="仿宋_GB2312"/>
          <w:b w:val="0"/>
          <w:sz w:val="32"/>
          <w:szCs w:val="32"/>
          <w:lang w:val="en-US" w:eastAsia="zh-CN"/>
        </w:rPr>
        <w:t>11.5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保障的基地日常的需求</w:t>
      </w:r>
      <w:r>
        <w:rPr>
          <w:rFonts w:ascii="Times New Roman" w:eastAsia="仿宋_GB2312"/>
          <w:b w:val="0"/>
          <w:sz w:val="32"/>
          <w:szCs w:val="32"/>
        </w:rPr>
        <w:t>。</w:t>
      </w:r>
    </w:p>
    <w:p w14:paraId="54F42214">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2DFD9144">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3AC7EBB3">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538F040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05FF9274">
      <w:pPr>
        <w:widowControl/>
        <w:spacing w:before="0" w:beforeLines="0" w:beforeAutospacing="0" w:after="0" w:afterLines="0" w:afterAutospacing="0" w:line="360" w:lineRule="auto"/>
        <w:jc w:val="left"/>
        <w:rPr>
          <w:rFonts w:ascii="Times New Roman" w:eastAsia="仿宋_GB2312"/>
          <w:b/>
          <w:sz w:val="32"/>
          <w:szCs w:val="32"/>
        </w:rPr>
      </w:pPr>
      <w:r>
        <w:rPr>
          <w:rFonts w:ascii="Times New Roman" w:eastAsia="仿宋_GB2312"/>
          <w:b/>
          <w:sz w:val="32"/>
          <w:szCs w:val="32"/>
        </w:rPr>
        <w:object>
          <v:shape id="_x0000_i1025" o:spt="75" type="#_x0000_t75" style="height:478.85pt;width:453.2pt;" o:ole="t" filled="f" o:preferrelative="t" stroked="f" coordsize="21600,21600">
            <v:path/>
            <v:fill on="f" focussize="0,0"/>
            <v:stroke on="f"/>
            <v:imagedata r:id="rId20" o:title=""/>
            <o:lock v:ext="edit" aspectratio="f"/>
            <w10:wrap type="none"/>
            <w10:anchorlock/>
          </v:shape>
          <o:OLEObject Type="Embed" ProgID="Excel.Sheet.8" ShapeID="_x0000_i1025" DrawAspect="Content" ObjectID="_1468075725" r:id="rId19">
            <o:LockedField>false</o:LockedField>
          </o:OLEObject>
        </w:object>
      </w:r>
    </w:p>
    <w:p w14:paraId="78BDD5FE">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6EFF6BAB">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56EFB5AD">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4CB834F7">
      <w:pPr>
        <w:widowControl/>
        <w:spacing w:before="0" w:beforeLines="0" w:beforeAutospacing="0" w:after="0" w:afterLines="0" w:afterAutospacing="0" w:line="360" w:lineRule="auto"/>
        <w:jc w:val="left"/>
        <w:rPr>
          <w:rFonts w:ascii="Times New Roman" w:eastAsia="仿宋_GB2312"/>
          <w:b/>
          <w:sz w:val="32"/>
          <w:szCs w:val="32"/>
        </w:rPr>
      </w:pPr>
      <w:r>
        <w:rPr>
          <w:rFonts w:ascii="Times New Roman" w:eastAsia="仿宋_GB2312"/>
          <w:b/>
          <w:sz w:val="32"/>
          <w:szCs w:val="32"/>
        </w:rPr>
        <w:object>
          <v:shape id="_x0000_i1026" o:spt="75" type="#_x0000_t75" style="height:506.7pt;width:453.2pt;" o:ole="t" filled="f" o:preferrelative="t" stroked="f" coordsize="21600,21600">
            <v:path/>
            <v:fill on="f" focussize="0,0"/>
            <v:stroke on="f"/>
            <v:imagedata r:id="rId22" o:title=""/>
            <o:lock v:ext="edit" aspectratio="f"/>
            <w10:wrap type="none"/>
            <w10:anchorlock/>
          </v:shape>
          <o:OLEObject Type="Embed" ProgID="Excel.Sheet.8" ShapeID="_x0000_i1026" DrawAspect="Content" ObjectID="_1468075726" r:id="rId21">
            <o:LockedField>false</o:LockedField>
          </o:OLEObject>
        </w:object>
      </w:r>
    </w:p>
    <w:p w14:paraId="74CAF77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4A5708EC">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21A4D1AB">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B10735D">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944060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03088752">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hint="eastAsia" w:ascii="Times New Roman" w:eastAsia="仿宋_GB2312"/>
          <w:sz w:val="32"/>
          <w:szCs w:val="32"/>
          <w:lang w:val="en-US" w:eastAsia="zh-CN"/>
        </w:rPr>
        <w:t>我单位无部门评价项目。</w:t>
      </w:r>
    </w:p>
    <w:p w14:paraId="10809EE5">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22655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单位</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2EBCF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F5000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D832B7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3AC1FD6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550A2D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297BD6C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01129A5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B9DBC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56717B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FD213C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50A68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30463F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3B3EA1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25037A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048CB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3646A7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A4BB98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7467AE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67EE34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50698AB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4A26272-85F5-43F7-8B99-4C5D86FAA419}"/>
  </w:font>
  <w:font w:name="黑体">
    <w:panose1 w:val="02010609060101010101"/>
    <w:charset w:val="86"/>
    <w:family w:val="auto"/>
    <w:pitch w:val="default"/>
    <w:sig w:usb0="800002BF" w:usb1="38CF7CFA" w:usb2="00000016" w:usb3="00000000" w:csb0="00040001" w:csb1="00000000"/>
    <w:embedRegular r:id="rId2" w:fontKey="{B6A4C478-9F02-485D-A3CA-C48627B50B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A87EFE9-FA76-427D-8F28-71BB78CC040F}"/>
  </w:font>
  <w:font w:name="仿宋">
    <w:panose1 w:val="02010609060101010101"/>
    <w:charset w:val="86"/>
    <w:family w:val="modern"/>
    <w:pitch w:val="default"/>
    <w:sig w:usb0="800002BF" w:usb1="38CF7CFA" w:usb2="00000016" w:usb3="00000000" w:csb0="00040001" w:csb1="00000000"/>
    <w:embedRegular r:id="rId4" w:fontKey="{8C14537B-AD05-4E36-A3AF-62F7BC4BC08F}"/>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28365A27-4D43-4A46-8B6A-8329C8F653F8}"/>
  </w:font>
  <w:font w:name="楷体_GB2312">
    <w:panose1 w:val="02010609030101010101"/>
    <w:charset w:val="86"/>
    <w:family w:val="auto"/>
    <w:pitch w:val="default"/>
    <w:sig w:usb0="00000001" w:usb1="080E0000" w:usb2="00000000" w:usb3="00000000" w:csb0="00040000" w:csb1="00000000"/>
    <w:embedRegular r:id="rId6" w:fontKey="{67FA9806-0A96-46A6-8745-5FCE4BF7D76A}"/>
  </w:font>
  <w:font w:name="微软雅黑">
    <w:panose1 w:val="020B0503020204020204"/>
    <w:charset w:val="86"/>
    <w:family w:val="auto"/>
    <w:pitch w:val="default"/>
    <w:sig w:usb0="80000287" w:usb1="2ACF3C50" w:usb2="00000016" w:usb3="00000000" w:csb0="0004001F" w:csb1="00000000"/>
    <w:embedRegular r:id="rId7" w:fontKey="{0C39FF65-EBA1-470E-9215-F1846C15ADDE}"/>
  </w:font>
  <w:font w:name="方正小标宋_GBK">
    <w:panose1 w:val="02000000000000000000"/>
    <w:charset w:val="86"/>
    <w:family w:val="script"/>
    <w:pitch w:val="default"/>
    <w:sig w:usb0="A00002BF" w:usb1="38CF7CFA" w:usb2="00082016" w:usb3="00000000" w:csb0="00040001" w:csb1="00000000"/>
    <w:embedRegular r:id="rId8" w:fontKey="{A4788C45-C487-498C-A27A-5721E601E583}"/>
  </w:font>
  <w:font w:name="仿宋_GB2312">
    <w:panose1 w:val="02010609030101010101"/>
    <w:charset w:val="86"/>
    <w:family w:val="auto"/>
    <w:pitch w:val="default"/>
    <w:sig w:usb0="00000001" w:usb1="080E0000" w:usb2="00000000" w:usb3="00000000" w:csb0="00040000" w:csb1="00000000"/>
    <w:embedRegular r:id="rId9" w:fontKey="{C0FBDCA0-88CB-4087-BC10-1A3370F257B8}"/>
  </w:font>
  <w:font w:name="ArialUnicodeMS">
    <w:altName w:val="Malgun Gothic"/>
    <w:panose1 w:val="00000000000000000000"/>
    <w:charset w:val="81"/>
    <w:family w:val="auto"/>
    <w:pitch w:val="default"/>
    <w:sig w:usb0="00000000" w:usb1="00000000" w:usb2="00000010" w:usb3="00000000" w:csb0="00080001" w:csb1="00000000"/>
    <w:embedRegular r:id="rId10" w:fontKey="{43AB2EE0-2A4A-4050-B352-589661609151}"/>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A4FC9">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F13DA">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41A0B">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FB4A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65E132F4"/>
    <w:multiLevelType w:val="singleLevel"/>
    <w:tmpl w:val="65E132F4"/>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EE16595"/>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0266FB"/>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3A2C6B"/>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10029"/>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9F2828"/>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4F632AE"/>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710B30"/>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555F92"/>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682666"/>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3.emf"/><Relationship Id="rId21" Type="http://schemas.openxmlformats.org/officeDocument/2006/relationships/oleObject" Target="embeddings/oleObject2.bin"/><Relationship Id="rId20" Type="http://schemas.openxmlformats.org/officeDocument/2006/relationships/image" Target="media/image2.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年度收支总计对比图（万元）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2025年度</c:v>
                </c:pt>
                <c:pt idx="1">
                  <c:v>2024年度</c:v>
                </c:pt>
              </c:strCache>
            </c:strRef>
          </c:cat>
          <c:val>
            <c:numRef>
              <c:f>Sheet1!$B$2:$B$3</c:f>
              <c:numCache>
                <c:formatCode>0.00_);[Red]\(0.00\)</c:formatCode>
                <c:ptCount val="2"/>
                <c:pt idx="0">
                  <c:v>371.05</c:v>
                </c:pt>
                <c:pt idx="1">
                  <c:v>260.39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财政拨款收入 100%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上级补助收入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事业收入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经营收入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附属单位上缴收入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其他收入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3710530.29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0857695902183663"/>
                  <c:y val="0.2161974075647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上缴上级支出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经营支出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对附属单位补助支出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2164190.29</c:v>
                </c:pt>
                <c:pt idx="1">
                  <c:v>1546340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年度财政拨款收支对比图（万元）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strCache>
            </c:strRef>
          </c:cat>
          <c:val>
            <c:numRef>
              <c:f>Sheet1!$B$2:$B$7</c:f>
              <c:numCache>
                <c:formatCode>General</c:formatCode>
                <c:ptCount val="6"/>
                <c:pt idx="0">
                  <c:v>260.39</c:v>
                </c:pt>
                <c:pt idx="1">
                  <c:v>260.39</c:v>
                </c:pt>
                <c:pt idx="2">
                  <c:v>260.39</c:v>
                </c:pt>
                <c:pt idx="3">
                  <c:v>260.39</c:v>
                </c:pt>
                <c:pt idx="4">
                  <c:v>0</c:v>
                </c:pt>
                <c:pt idx="5">
                  <c:v>0</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strCache>
            </c:strRef>
          </c:cat>
          <c:val>
            <c:numRef>
              <c:f>Sheet1!$C$2:$C$7</c:f>
              <c:numCache>
                <c:formatCode>General</c:formatCode>
                <c:ptCount val="6"/>
                <c:pt idx="0">
                  <c:v>371.05</c:v>
                </c:pt>
                <c:pt idx="1">
                  <c:v>371.05</c:v>
                </c:pt>
                <c:pt idx="2">
                  <c:v>227.92</c:v>
                </c:pt>
                <c:pt idx="3">
                  <c:v>227.92</c:v>
                </c:pt>
                <c:pt idx="4">
                  <c:v>143.13</c:v>
                </c:pt>
                <c:pt idx="5">
                  <c:v>143.13</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strCache>
            </c:strRef>
          </c:cat>
          <c:val>
            <c:numRef>
              <c:f>Sheet1!$B$2:$B$7</c:f>
              <c:numCache>
                <c:formatCode>General</c:formatCode>
                <c:ptCount val="6"/>
                <c:pt idx="0">
                  <c:v>209.89</c:v>
                </c:pt>
                <c:pt idx="1">
                  <c:v>209.89</c:v>
                </c:pt>
                <c:pt idx="2">
                  <c:v>209.89</c:v>
                </c:pt>
                <c:pt idx="3">
                  <c:v>209.89</c:v>
                </c:pt>
                <c:pt idx="4">
                  <c:v>0</c:v>
                </c:pt>
                <c:pt idx="5">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strCache>
            </c:strRef>
          </c:cat>
          <c:val>
            <c:numRef>
              <c:f>Sheet1!$C$2:$C$7</c:f>
              <c:numCache>
                <c:formatCode>General</c:formatCode>
                <c:ptCount val="6"/>
                <c:pt idx="0">
                  <c:v>371.05</c:v>
                </c:pt>
                <c:pt idx="1">
                  <c:v>371.05</c:v>
                </c:pt>
                <c:pt idx="2">
                  <c:v>227.92</c:v>
                </c:pt>
                <c:pt idx="3">
                  <c:v>227.92</c:v>
                </c:pt>
                <c:pt idx="4">
                  <c:v>143.13</c:v>
                </c:pt>
                <c:pt idx="5">
                  <c:v>143.13</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2033</Words>
  <Characters>2170</Characters>
  <Lines>86</Lines>
  <Paragraphs>24</Paragraphs>
  <TotalTime>0</TotalTime>
  <ScaleCrop>false</ScaleCrop>
  <LinksUpToDate>false</LinksUpToDate>
  <CharactersWithSpaces>2292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 zzz</cp:lastModifiedBy>
  <cp:lastPrinted>2023-08-04T01:00:00Z</cp:lastPrinted>
  <dcterms:modified xsi:type="dcterms:W3CDTF">2026-10-13T14:54:08Z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75C3A8A5374547A99BC73639F28AC530_13</vt:lpwstr>
  </property>
  <property fmtid="{D5CDD505-2E9C-101B-9397-08002B2CF9AE}" pid="4" name="KSOTemplateUUID">
    <vt:lpwstr>v1.0_mb_S7ajbG3IpAnL1wSthNCxfw==</vt:lpwstr>
  </property>
  <property fmtid="{D5CDD505-2E9C-101B-9397-08002B2CF9AE}" pid="5" name="KSOTemplateDocerSaveRecord">
    <vt:lpwstr>eyJoZGlkIjoiMzEwYWJmODFjZWI5YTQxYTk2OWU2ODI5Mzg1ZjU5YWQiLCJ1c2VySWQiOiI3NTc1MjkyNDQifQ==</vt:lpwstr>
  </property>
</Properties>
</file>