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正定县人力资源和社会保障局（本级）</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317001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jc w:val="center"/>
        <w:rPr>
          <w:rFonts w:hint="eastAsia" w:ascii="黑体" w:hAnsi="黑体" w:eastAsia="黑体" w:cs="黑体"/>
          <w:b/>
          <w:bCs/>
          <w:sz w:val="52"/>
          <w:szCs w:val="52"/>
          <w:highlight w:val="yellow"/>
        </w:rPr>
      </w:pPr>
    </w:p>
    <w:p>
      <w:pPr>
        <w:widowControl/>
        <w:spacing w:before="0" w:beforeLines="0" w:beforeAutospacing="0" w:after="0" w:afterLines="0" w:afterAutospacing="0" w:line="360" w:lineRule="auto"/>
        <w:jc w:val="center"/>
        <w:rPr>
          <w:rFonts w:hint="eastAsia" w:ascii="黑体" w:hAnsi="黑体" w:eastAsia="黑体" w:cs="黑体"/>
          <w:sz w:val="52"/>
          <w:szCs w:val="52"/>
        </w:rPr>
      </w:pPr>
      <w:r>
        <w:rPr>
          <w:rFonts w:hint="eastAsia" w:ascii="黑体" w:hAnsi="黑体" w:eastAsia="黑体" w:cs="黑体"/>
          <w:b w:val="0"/>
          <w:sz w:val="52"/>
          <w:szCs w:val="52"/>
        </w:rPr>
        <w:t>2025年度部门决算公开文本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spacing w:line="480" w:lineRule="auto"/>
        <w:jc w:val="both"/>
        <w:rPr>
          <w:rFonts w:ascii="黑体" w:hAnsi="黑体" w:eastAsia="黑体" w:cs="黑体"/>
          <w:sz w:val="56"/>
          <w:szCs w:val="72"/>
        </w:rPr>
      </w:pPr>
    </w:p>
    <w:p>
      <w:pPr>
        <w:spacing w:line="480" w:lineRule="auto"/>
        <w:jc w:val="both"/>
        <w:rPr>
          <w:rFonts w:ascii="黑体" w:hAnsi="黑体" w:eastAsia="黑体" w:cs="黑体"/>
          <w:sz w:val="56"/>
          <w:szCs w:val="72"/>
        </w:rPr>
      </w:pPr>
    </w:p>
    <w:p>
      <w:pPr>
        <w:spacing w:line="480" w:lineRule="auto"/>
        <w:jc w:val="both"/>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正定县人力资源和社会保障局（本级）</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r>
        <w:rPr>
          <w:rFonts w:ascii="Times New Roman" w:eastAsia="黑体"/>
          <w:b w:val="0"/>
          <w:sz w:val="32"/>
          <w:szCs w:val="32"/>
        </w:rPr>
        <w:t>第四部分 名词解释</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hint="eastAsia" w:ascii="黑体" w:hAnsi="宋体" w:eastAsia="黑体" w:cs="黑体"/>
          <w:i w:val="0"/>
          <w:iCs w:val="0"/>
          <w:caps w:val="0"/>
          <w:color w:val="000000"/>
          <w:spacing w:val="0"/>
          <w:sz w:val="72"/>
          <w:szCs w:val="72"/>
          <w:highlight w:val="none"/>
          <w:shd w:val="clear" w:fill="FFFFFF"/>
          <w:lang w:val="en-US" w:eastAsia="zh-CN"/>
        </w:rPr>
      </w:pPr>
      <w:r>
        <w:rPr>
          <w:rFonts w:ascii="Times New Roman" w:eastAsia="黑体"/>
          <w:b w:val="0"/>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 xml:space="preserve">（一）贯彻执行国家有关人力资源和社会保障工作的法律和政策，监督检查人力资源和社会保障法律、法规执行情况，依法行使国家人力资源和社会保障监督检查职权。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 xml:space="preserve">（二）负责管理政府系统企事业单位一般工作人员的流动、调整、调配以及档案管理工作；负责全县事业单位管理人员及专业技术人员统计管理工作。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 xml:space="preserve">（三）综合管理全县专业技术人员工作。负责专业技术人员队伍建设和继续教育工作。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（四）培育发展人才市场，搞活人才交流，合理配置人才。负责非师范类大中专毕业生的就业指导工作。</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 xml:space="preserve">（五）拟定全县事业单位人事制度改革总体方案，贯彻落实事业单位工作人员管理的政策规定；归口管理全县专业技术人员职称工作，完善专业职务聘任制度，推行专业技术执业资格制度，完善专业技术资格考试制度。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 xml:space="preserve">（六）负责全县事业单位工作人员的工资基金、社会保险、工资福利以及离休、退休、退职等工作。组织全县机关事业单位的工人技术等级培训、考核及发证工作。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 xml:space="preserve">（七）承办县政府奖励、表彰工作。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 xml:space="preserve">（八）负责全县人事教育培训工作。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 xml:space="preserve">（九）负责促进就业工作，拟订统筹城乡的就业发展规划和政策，完善公共就业服务体系，执行就业援助政策，完善职业资格制度，统筹建立面向城乡劳动者的职业培训制度，协调指导全县人力资源的合理流动，促进农村富余劳动力向非农产业转移。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 xml:space="preserve">（十）会同有关单位共同推动农民工相关政策的落实，协调解决重点难点问题，维护农民工合法权益。负责消除非法使用童工并组织实施女工、未成年工的特殊劳动保护，组织实施劳动监察，协调劳动者维权工作，依法查处违法案件。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 xml:space="preserve">（十一）受理涉及本单位的行政来信来访，统筹管理劳动、人事争议仲裁工作，加大行政调解工作力度，完善劳动关系协调机制。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 xml:space="preserve">（十二）对全县职工工资及其他劳动报酬进行宏观管理，协调各类人员工资及其他劳动报酬分配关系，负责企业职工及灵活就业人员的离休、退休工作。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 xml:space="preserve">（十三）综合管理全县职业技能开发工作，实行职业资格证书制度。管理各类职工技能训练机构和职业技能鉴定工作，指导企业职工培训工作，实施劳动预备役制度。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 xml:space="preserve">（十四）负责劳动关系调整和劳动合同、集体合同制度的实施。对用人单位执行《中华人民共和国劳动法》、《中华人民共和国劳动合同法》、《中华人民共和国社会保险法》等法律法规、维护劳动者合法权益情况进行监督检查。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 xml:space="preserve">（十五）指导全县企业职工工资收入及其它劳动报酬的调整政策；指导企业实施工资集体协商、工资指导线和最低工资保障的实施及管理；综合协调外商投资企业劳动工资政策。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 xml:space="preserve">（十六）统筹覆盖城乡的社会保障体系建设工作。负责全县机关、事业、企业单位和农村的基本养老保险和补充养老保险政策的实施；负责全县机关、企事业单位工伤认定及劳动能力鉴定工作；贯彻执行养老、失业、工伤等社会保险法律法规政策，并监督实施。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（十七）负责对全县社会保险基金支付、管理、运营工作实施行政监督；负责社会保险机构的管理；负责社会保险社会化管理服务体系建设规划并组织实施。</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（十八）完成县委、县政府交办的其他事项。</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正定县人力资源和社会保障局（本级）</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 w:hAnsi="仿宋" w:eastAsia="仿宋" w:cs="仿宋"/>
                <w:kern w:val="0"/>
                <w:sz w:val="28"/>
                <w:szCs w:val="28"/>
                <w:lang w:eastAsia="zh-CN"/>
              </w:rPr>
              <w:t>行政单位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widowControl/>
        <w:spacing w:before="0" w:beforeLines="0" w:beforeAutospacing="0" w:after="0" w:afterLines="0" w:afterAutospacing="0" w:line="360" w:lineRule="auto"/>
        <w:ind w:firstLine="880" w:firstLineChars="200"/>
        <w:jc w:val="both"/>
        <w:outlineLvl w:val="0"/>
        <w:rPr>
          <w:rFonts w:hint="default"/>
          <w:lang w:val="en-US" w:eastAsia="zh-CN"/>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部门（单位）：正定县人力资源和社会保障局（本级）</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2,112.85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2,044.71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2,112.85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2,112.85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部门（单位）：正定县人力资源和社会保障局（本级）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2,112.85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2,112.85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2,044.71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2,044.71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人力资源和社会保障管理事务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2080104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综合业务管理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294.51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294.51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2080105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劳动保障监察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2080108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信息化建设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2080112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劳动人事争议调解仲裁</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313.35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313.35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就业补助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881.80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881.80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就业创业服务补助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857.13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857.13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2080704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社会保险补贴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2080711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就业见习补贴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死亡抚恤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医疗保障管理事务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部门（单位）：正定县人力资源和社会保障局（本级）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2,112.85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912.20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1,200.65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2,044.71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844.06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1,200.65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人力资源和社会保障管理事务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479.16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480.31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479.16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综合业务管理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294.51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294.51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劳动保障监察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信息化建设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劳动人事争议调解仲裁</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313.35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313.35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262.36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262.36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就业补助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881.80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881.80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就业创业服务补助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857.13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857.13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社会保险补贴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就业见习补贴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25.88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医疗保障管理事务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部门（单位）：正定县人力资源和社会保障局（本级）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2,112.85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2,044.71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2,044.71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25.88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25.88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2,112.85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2,112.85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2,112.85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2,112.85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2,112.85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2,112.85</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10"/>
        <w:gridCol w:w="3262"/>
        <w:gridCol w:w="1044"/>
        <w:gridCol w:w="503"/>
        <w:gridCol w:w="526"/>
        <w:gridCol w:w="363"/>
        <w:gridCol w:w="11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部门（单位）：正定县人力资源和社会保障局（本级）</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2,112.85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912.20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1,200.65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2,044.71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844.06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人力资源和社会保障管理事务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479.16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480.31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479.16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综合业务管理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294.51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294.51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劳动保障监察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信息化建设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劳动人事争议调解仲裁</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313.35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313.35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262.36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262.36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就业补助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881.80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就业创业服务补助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857.13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857.13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社会保险补贴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就业见习补贴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25.88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医疗保障管理事务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部门（单位）：正定县人力资源和社会保障局（本级）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554.13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42.65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140.61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11.02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72.51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101.58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96.14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51.89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16.56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42.25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22.16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315.41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262.36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51.56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869.55</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部门（单位）：正定县人力资源和社会保障局（本级）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部门（单位）：正定县人力资源和社会保障局（本级）</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部门（单位）：正定县人力资源和社会保障局（本级）</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2.28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2.28</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2.28</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2.25</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2.25</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2.25</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_GB2312" w:hAnsi="宋体" w:eastAsia="仿宋_GB2312"/>
          <w:b/>
          <w:color w:val="auto"/>
          <w:kern w:val="0"/>
          <w:sz w:val="32"/>
          <w:szCs w:val="32"/>
          <w:highlight w:val="none"/>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本单位2025年度收、支总计（含结转和结余）均为2,112.85万元。与2024年度决算相比，收支各增加17.88万元，增长0.9%，主要原因是本年度新增人员，人员经费拨款及相应支出增长。</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本单位2025年度本年收入合计2,112.85万元，其中：财政拨款收入2,112.85万元，占100.0%；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本单位2025年度本年支出合计2,112.85万元，其中：基本支出912.20万元，占43.2%；项目支出1,200.65万元，占56.8%；</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本单位2025年度财政拨款收、支总计（含结转和结余）均为2,112.85万元。与2024年度相比，财政拨款收支各增加17.88万元，增长0.9%，主要原因是本年度新增</w:t>
      </w:r>
      <w:r>
        <w:rPr>
          <w:rFonts w:hint="eastAsia" w:ascii="Times New Roman" w:eastAsia="仿宋_GB2312"/>
          <w:b w:val="0"/>
          <w:sz w:val="32"/>
          <w:szCs w:val="32"/>
          <w:lang w:eastAsia="zh-CN"/>
        </w:rPr>
        <w:t>在职</w:t>
      </w:r>
      <w:r>
        <w:rPr>
          <w:rFonts w:ascii="Times New Roman" w:eastAsia="仿宋_GB2312"/>
          <w:b w:val="0"/>
          <w:sz w:val="32"/>
          <w:szCs w:val="32"/>
        </w:rPr>
        <w:t>人员，人员经费拨款及相应支出增长。</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本单位2025年度财政拨款本年收入2,112.85万元,比上年增加17.88万元，增长0.9%，主要原因是本年度新增人员，人员经费拨款增长；本年支出2,112.85万元，比上年增加17.88万元，增长0.9%，主要原因是本年度新增</w:t>
      </w:r>
      <w:r>
        <w:rPr>
          <w:rFonts w:hint="eastAsia" w:ascii="Times New Roman" w:eastAsia="仿宋_GB2312"/>
          <w:b w:val="0"/>
          <w:sz w:val="32"/>
          <w:szCs w:val="32"/>
          <w:lang w:eastAsia="zh-CN"/>
        </w:rPr>
        <w:t>在职</w:t>
      </w:r>
      <w:r>
        <w:rPr>
          <w:rFonts w:ascii="Times New Roman" w:eastAsia="仿宋_GB2312"/>
          <w:b w:val="0"/>
          <w:sz w:val="32"/>
          <w:szCs w:val="32"/>
        </w:rPr>
        <w:t>人员，人员经费相应支出增长。具体情况如下：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一般公共预算财政拨款本年收入2,112.85万元,比上年增加17.88万元，增长0.9%，主要原因是新增</w:t>
      </w:r>
      <w:r>
        <w:rPr>
          <w:rFonts w:hint="eastAsia" w:ascii="Times New Roman" w:eastAsia="仿宋_GB2312"/>
          <w:b w:val="0"/>
          <w:sz w:val="32"/>
          <w:szCs w:val="32"/>
          <w:lang w:eastAsia="zh-CN"/>
        </w:rPr>
        <w:t>在职</w:t>
      </w:r>
      <w:r>
        <w:rPr>
          <w:rFonts w:ascii="Times New Roman" w:eastAsia="仿宋_GB2312"/>
          <w:b w:val="0"/>
          <w:sz w:val="32"/>
          <w:szCs w:val="32"/>
        </w:rPr>
        <w:t>人员，人员经费拨款及相应支出增长；本年支出2,112.85万元，比上年增加17.88万元，增长0.9%，主要原因是新增</w:t>
      </w:r>
      <w:r>
        <w:rPr>
          <w:rFonts w:hint="eastAsia" w:ascii="Times New Roman" w:eastAsia="仿宋_GB2312"/>
          <w:b w:val="0"/>
          <w:sz w:val="32"/>
          <w:szCs w:val="32"/>
          <w:lang w:eastAsia="zh-CN"/>
        </w:rPr>
        <w:t>在职</w:t>
      </w:r>
      <w:r>
        <w:rPr>
          <w:rFonts w:ascii="Times New Roman" w:eastAsia="仿宋_GB2312"/>
          <w:b w:val="0"/>
          <w:sz w:val="32"/>
          <w:szCs w:val="32"/>
        </w:rPr>
        <w:t>人员，人员经费拨款及相应支出增长。</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w:t>
      </w:r>
      <w:r>
        <w:rPr>
          <w:rFonts w:hint="eastAsia" w:ascii="Times New Roman" w:eastAsia="仿宋_GB2312"/>
          <w:b w:val="0"/>
          <w:sz w:val="32"/>
          <w:szCs w:val="32"/>
          <w:lang w:eastAsia="zh-CN"/>
        </w:rPr>
        <w:t>与上年持平</w:t>
      </w:r>
      <w:r>
        <w:rPr>
          <w:rFonts w:ascii="Times New Roman" w:eastAsia="仿宋_GB2312"/>
          <w:b w:val="0"/>
          <w:sz w:val="32"/>
          <w:szCs w:val="32"/>
        </w:rPr>
        <w:t>；本年支出0.00万元，</w:t>
      </w:r>
      <w:r>
        <w:rPr>
          <w:rFonts w:hint="eastAsia" w:ascii="Times New Roman" w:eastAsia="仿宋_GB2312"/>
          <w:b w:val="0"/>
          <w:sz w:val="32"/>
          <w:szCs w:val="32"/>
          <w:lang w:eastAsia="zh-CN"/>
        </w:rPr>
        <w:t>与上年持平</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w:t>
      </w:r>
      <w:r>
        <w:rPr>
          <w:rFonts w:hint="eastAsia" w:ascii="Times New Roman" w:eastAsia="仿宋_GB2312"/>
          <w:b w:val="0"/>
          <w:sz w:val="32"/>
          <w:szCs w:val="32"/>
          <w:lang w:eastAsia="zh-CN"/>
        </w:rPr>
        <w:t>与上年持平</w:t>
      </w:r>
      <w:r>
        <w:rPr>
          <w:rFonts w:ascii="Times New Roman" w:eastAsia="仿宋_GB2312"/>
          <w:b w:val="0"/>
          <w:sz w:val="32"/>
          <w:szCs w:val="32"/>
        </w:rPr>
        <w:t>；本年支出0.00万元，</w:t>
      </w:r>
      <w:r>
        <w:rPr>
          <w:rFonts w:hint="eastAsia" w:ascii="Times New Roman" w:eastAsia="仿宋_GB2312"/>
          <w:b w:val="0"/>
          <w:sz w:val="32"/>
          <w:szCs w:val="32"/>
          <w:lang w:eastAsia="zh-CN"/>
        </w:rPr>
        <w:t>与上年持平</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2,112.85万元，完成年初预算的97.2%，比年初预算减少61.31万元，决算数小于预算数主要原因是上级拨付就业补助专款资金减少；本年支出2,112.85万元，完成年初预算的97.2%，比年初预算减少61.31万元，决算数小于预算数主要原因是上级拨付就业补助专款资金减少。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97.2%，比年初预算减少61.31万元，主要原因是上级拨付就业补助专款资金减少；支出完成年初预算的97.2%，比年初预算减少61.31万元，主要原因是上级拨付就业补助专款资金减少。</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w:t>
      </w:r>
      <w:r>
        <w:rPr>
          <w:rFonts w:hint="eastAsia" w:ascii="Times New Roman" w:eastAsia="仿宋_GB2312"/>
          <w:b w:val="0"/>
          <w:sz w:val="32"/>
          <w:szCs w:val="32"/>
          <w:lang w:eastAsia="zh-CN"/>
        </w:rPr>
        <w:t>与上年持平</w:t>
      </w:r>
      <w:r>
        <w:rPr>
          <w:rFonts w:ascii="Times New Roman" w:eastAsia="仿宋_GB2312"/>
          <w:b w:val="0"/>
          <w:sz w:val="32"/>
          <w:szCs w:val="32"/>
        </w:rPr>
        <w:t>；支出完成年初预算的0.0%，</w:t>
      </w:r>
      <w:r>
        <w:rPr>
          <w:rFonts w:hint="eastAsia" w:ascii="Times New Roman" w:eastAsia="仿宋_GB2312"/>
          <w:b w:val="0"/>
          <w:sz w:val="32"/>
          <w:szCs w:val="32"/>
          <w:lang w:eastAsia="zh-CN"/>
        </w:rPr>
        <w:t>与上年持平</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w:t>
      </w:r>
      <w:r>
        <w:rPr>
          <w:rFonts w:hint="eastAsia" w:ascii="Times New Roman" w:eastAsia="仿宋_GB2312"/>
          <w:b w:val="0"/>
          <w:sz w:val="32"/>
          <w:szCs w:val="32"/>
          <w:lang w:eastAsia="zh-CN"/>
        </w:rPr>
        <w:t>与上年持平</w:t>
      </w:r>
      <w:r>
        <w:rPr>
          <w:rFonts w:ascii="Times New Roman" w:eastAsia="仿宋_GB2312"/>
          <w:b w:val="0"/>
          <w:sz w:val="32"/>
          <w:szCs w:val="32"/>
        </w:rPr>
        <w:t>；支出完成年初预算的0.0%，</w:t>
      </w:r>
      <w:r>
        <w:rPr>
          <w:rFonts w:hint="eastAsia" w:ascii="Times New Roman" w:eastAsia="仿宋_GB2312"/>
          <w:b w:val="0"/>
          <w:sz w:val="32"/>
          <w:szCs w:val="32"/>
          <w:lang w:eastAsia="zh-CN"/>
        </w:rPr>
        <w:t>与上年持平</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2025年度财政拨款支出2,112.85万元，主要用于以下方面：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社会保障和就业 （类）支出2,044.71万元，占96.8%，主要用于社会保障事务及相关就业补助等支出；卫生健康（类）支出25.88万元，占1.2%，主要用于职工医保缴纳等支出；住房保障（类）支出42.25万元，占2.0%，主要用于职工住房相关保障性开支</w:t>
      </w:r>
    </w:p>
    <w:p>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hint="eastAsia" w:ascii="Times New Roman" w:eastAsia="仿宋_GB2312"/>
          <w:b w:val="0"/>
          <w:bCs/>
          <w:sz w:val="32"/>
          <w:szCs w:val="32"/>
          <w:lang w:eastAsia="zh-CN"/>
        </w:rPr>
      </w:pPr>
      <w:r>
        <w:rPr>
          <w:rFonts w:hint="eastAsia" w:ascii="Times New Roman" w:eastAsia="仿宋_GB2312"/>
          <w:b w:val="0"/>
          <w:bCs/>
          <w:sz w:val="32"/>
          <w:szCs w:val="32"/>
          <w:lang w:eastAsia="zh-CN"/>
        </w:rPr>
        <w:t>无</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hint="eastAsia" w:ascii="Times New Roman" w:eastAsia="楷体_GB2312"/>
          <w:b w:val="0"/>
          <w:bCs/>
          <w:sz w:val="32"/>
          <w:szCs w:val="32"/>
          <w:lang w:eastAsia="zh-CN"/>
        </w:rPr>
      </w:pPr>
      <w:r>
        <w:rPr>
          <w:rFonts w:hint="eastAsia" w:ascii="Times New Roman" w:eastAsia="楷体_GB2312"/>
          <w:b w:val="0"/>
          <w:bCs/>
          <w:sz w:val="32"/>
          <w:szCs w:val="32"/>
          <w:lang w:eastAsia="zh-CN"/>
        </w:rPr>
        <w:t>无</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2025年度财政拨款基本支出912.20万元，其中：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869.55万元，主要包括基本工资、津贴补贴、奖金、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42.65万元，主要包括办公费、印刷费、手续费、邮电费、差旅费、维修（护）费、租赁费、、委托业务费、工会经费、福利费、公务用车运行维护费、其他交通费用、税金及附加费用、其他商品和服务支出、办公设备购置、专用设备购置、信息网络及软件购置更新</w:t>
      </w:r>
      <w:r>
        <w:rPr>
          <w:rFonts w:hint="eastAsia" w:ascii="Times New Roman" w:eastAsia="仿宋_GB2312"/>
          <w:b w:val="0"/>
          <w:sz w:val="32"/>
          <w:szCs w:val="32"/>
          <w:lang w:eastAsia="zh-CN"/>
        </w:rPr>
        <w:t>及</w:t>
      </w:r>
      <w:r>
        <w:rPr>
          <w:rFonts w:ascii="Times New Roman" w:eastAsia="仿宋_GB2312"/>
          <w:b w:val="0"/>
          <w:sz w:val="32"/>
          <w:szCs w:val="32"/>
        </w:rPr>
        <w:t>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2.28万元，支出决算为2.25万元，完成预算的98.7%，较预算减少0.03万元，降低1.3%，主要原因是公务用车支出减少；较2024年度决算增加0.01万元，增长0.9%，主要原因是公务用车支出增多。</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hint="eastAsia" w:ascii="Times New Roman" w:eastAsia="仿宋_GB2312"/>
          <w:b w:val="0"/>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w:t>
      </w:r>
      <w:r>
        <w:rPr>
          <w:rFonts w:hint="eastAsia" w:ascii="Times New Roman" w:eastAsia="仿宋_GB2312"/>
          <w:b w:val="0"/>
          <w:sz w:val="32"/>
          <w:szCs w:val="32"/>
        </w:rPr>
        <w:t>因公出国（境）费支出较预算持平。因公出国（境）团组 0 个、共 0 人、参加其他单位组织的因公出国（境）团组个、共0人/无本部门组织的出国（境）团组。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2.28万元，支出决算2.25万元，完成预算的98.7%,较预算减少0.03万元，降低1.3%,主要原因是公务用车支出减少；较上年增加0.01万元，增长0.9%,主要原因是公务用车支出增多。其中：</w:t>
      </w:r>
    </w:p>
    <w:p>
      <w:pPr>
        <w:widowControl/>
        <w:spacing w:before="0" w:beforeLines="0" w:beforeAutospacing="0" w:after="0" w:afterLines="0" w:afterAutospacing="0" w:line="360" w:lineRule="auto"/>
        <w:ind w:firstLine="643" w:firstLineChars="200"/>
        <w:jc w:val="left"/>
        <w:rPr>
          <w:rFonts w:hint="eastAsia" w:ascii="Times New Roman" w:eastAsia="仿宋_GB2312"/>
          <w:b w:val="0"/>
          <w:sz w:val="32"/>
          <w:szCs w:val="32"/>
          <w:lang w:eastAsia="zh-CN"/>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w:t>
      </w:r>
      <w:r>
        <w:rPr>
          <w:rFonts w:hint="eastAsia" w:ascii="Times New Roman" w:eastAsia="仿宋_GB2312"/>
          <w:b w:val="0"/>
          <w:sz w:val="32"/>
          <w:szCs w:val="32"/>
          <w:lang w:eastAsia="zh-CN"/>
        </w:rPr>
        <w:t>与上年持平。</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公务用车运行维护费支出2.25万元：</w:t>
      </w:r>
      <w:r>
        <w:rPr>
          <w:rFonts w:ascii="Times New Roman" w:eastAsia="仿宋_GB2312"/>
          <w:b w:val="0"/>
          <w:sz w:val="32"/>
          <w:szCs w:val="32"/>
        </w:rPr>
        <w:t>本单位2025年度单位公务用车保有量2辆，发生运行维护费支出2.25万元。公车运行维护费支出较预算减少0.03万元，降低1.3%,主要原因是公务用车支出减少；较上年增加0.01万元，增长0.9%，主要原因是公务用车支出增多。</w:t>
      </w:r>
    </w:p>
    <w:p>
      <w:pPr>
        <w:widowControl/>
        <w:spacing w:before="0" w:beforeLines="0" w:beforeAutospacing="0" w:after="0" w:afterLines="0" w:afterAutospacing="0" w:line="360" w:lineRule="auto"/>
        <w:ind w:firstLine="643" w:firstLineChars="200"/>
        <w:jc w:val="left"/>
        <w:rPr>
          <w:rFonts w:hint="eastAsia" w:ascii="Times New Roman" w:eastAsia="仿宋_GB2312"/>
          <w:sz w:val="32"/>
          <w:szCs w:val="32"/>
          <w:lang w:eastAsia="zh-CN"/>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w:t>
      </w:r>
      <w:r>
        <w:rPr>
          <w:rFonts w:hint="eastAsia" w:ascii="Times New Roman" w:eastAsia="仿宋_GB2312"/>
          <w:b w:val="0"/>
          <w:sz w:val="32"/>
          <w:szCs w:val="32"/>
          <w:lang w:eastAsia="zh-CN"/>
        </w:rPr>
        <w:t>与上年持平。</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本单位2025年度机关运行经费支出42.65万元，较2024年度减少4.99万元，降低10.5%。主要原因是办公经费支出减少。</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2辆，比上年增加0辆，主要是未购入或处置车辆。其中，副部（省）级及以上领导用车0辆，主要负责人用车0辆，机要通信用车2辆，应急保障用车0辆，执法执勤用车0辆，特种专业技术用车0辆，离退休干部用车0辆，其他用车0辆，其他用车主要是。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根据预算绩效管理要求，本单位组织对2025年度本级预算项目支出全面开展绩效自评，共涉及资金1,200.65万元（决算金额）。其中，一般公共预算项目</w:t>
      </w:r>
      <w:r>
        <w:rPr>
          <w:rFonts w:hint="eastAsia" w:ascii="Times New Roman" w:eastAsia="仿宋_GB2312"/>
          <w:b w:val="0"/>
          <w:sz w:val="32"/>
          <w:szCs w:val="32"/>
          <w:lang w:val="en-US" w:eastAsia="zh-CN"/>
        </w:rPr>
        <w:t>8</w:t>
      </w:r>
      <w:r>
        <w:rPr>
          <w:rFonts w:ascii="Times New Roman" w:eastAsia="仿宋_GB2312"/>
          <w:b w:val="0"/>
          <w:sz w:val="32"/>
          <w:szCs w:val="32"/>
        </w:rPr>
        <w:t>个，涉及资金1,200.65万元，占一般公共预算项目支出总额的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组织对就业补助资金项目开展了部门重点评价，涉及一般公共预算支出</w:t>
      </w:r>
      <w:r>
        <w:rPr>
          <w:rFonts w:hint="eastAsia" w:ascii="Times New Roman" w:eastAsia="仿宋_GB2312"/>
          <w:b w:val="0"/>
          <w:sz w:val="32"/>
          <w:szCs w:val="32"/>
          <w:lang w:eastAsia="zh-CN"/>
        </w:rPr>
        <w:t>就业</w:t>
      </w:r>
      <w:r>
        <w:rPr>
          <w:rFonts w:hint="eastAsia" w:ascii="Times New Roman" w:eastAsia="仿宋_GB2312"/>
          <w:b w:val="0"/>
          <w:sz w:val="32"/>
          <w:szCs w:val="32"/>
          <w:lang w:val="en-US" w:eastAsia="zh-CN"/>
        </w:rPr>
        <w:t>908.41</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76.66</w:t>
      </w:r>
      <w:r>
        <w:rPr>
          <w:rFonts w:ascii="Times New Roman" w:eastAsia="仿宋_GB2312"/>
          <w:b w:val="0"/>
          <w:sz w:val="32"/>
          <w:szCs w:val="32"/>
        </w:rPr>
        <w:t>%；政府性基金预算支出0万元，国有资本经营预算支出0万元</w:t>
      </w:r>
      <w:r>
        <w:rPr>
          <w:rFonts w:hint="eastAsia" w:ascii="Times New Roman" w:eastAsia="仿宋_GB2312"/>
          <w:b w:val="0"/>
          <w:sz w:val="32"/>
          <w:szCs w:val="32"/>
          <w:lang w:eastAsia="zh-CN"/>
        </w:rPr>
        <w:t>。</w:t>
      </w:r>
      <w:r>
        <w:rPr>
          <w:rFonts w:ascii="Times New Roman" w:eastAsia="仿宋_GB2312"/>
          <w:b w:val="0"/>
          <w:sz w:val="32"/>
          <w:szCs w:val="32"/>
        </w:rPr>
        <w:t>从评价情况来看，2025年单位项目支出较好地完成了绩效目标，基本实现了预算绩效管理，强化了财政资金的有效使用。</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本单位在今年部门决算公开中反映就业补助资金等项目绩效自评结果。</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i w:val="0"/>
          <w:iCs w:val="0"/>
          <w:caps w:val="0"/>
          <w:color w:val="0F1115"/>
          <w:spacing w:val="0"/>
          <w:sz w:val="32"/>
          <w:szCs w:val="32"/>
          <w:shd w:val="clear" w:fill="FFFFFF"/>
        </w:rPr>
      </w:pPr>
      <w:r>
        <w:rPr>
          <w:rFonts w:hint="eastAsia" w:ascii="Times New Roman" w:eastAsia="仿宋_GB2312"/>
          <w:b w:val="0"/>
          <w:sz w:val="32"/>
          <w:szCs w:val="32"/>
          <w:lang w:val="en-US" w:eastAsia="zh-CN"/>
        </w:rPr>
        <w:t>1、</w:t>
      </w:r>
      <w:r>
        <w:rPr>
          <w:rFonts w:ascii="Times New Roman" w:eastAsia="仿宋_GB2312"/>
          <w:b w:val="0"/>
          <w:sz w:val="32"/>
          <w:szCs w:val="32"/>
        </w:rPr>
        <w:t>就业资金补助项目绩效自评情况：根据年初设定的绩效目标，项目绩效自评得分为100分（绩效自评表附后）。全年预算数为857.13万元，执行数为857.13万元，完成预算的100%。项目绩效目标完成情况：完成了年初设定的各项绩效目标</w:t>
      </w:r>
      <w:r>
        <w:rPr>
          <w:rFonts w:hint="eastAsia" w:ascii="仿宋_GB2312" w:hAnsi="仿宋_GB2312" w:eastAsia="仿宋_GB2312" w:cs="仿宋_GB2312"/>
          <w:i w:val="0"/>
          <w:iCs w:val="0"/>
          <w:caps w:val="0"/>
          <w:color w:val="0F1115"/>
          <w:spacing w:val="0"/>
          <w:sz w:val="32"/>
          <w:szCs w:val="32"/>
          <w:shd w:val="clear" w:fill="FFFFFF"/>
        </w:rPr>
        <w:t>。</w:t>
      </w:r>
    </w:p>
    <w:p>
      <w:pPr>
        <w:widowControl/>
        <w:spacing w:before="0" w:beforeLines="0" w:beforeAutospacing="0" w:after="0" w:afterLines="0" w:afterAutospacing="0" w:line="360" w:lineRule="auto"/>
        <w:ind w:firstLine="643" w:firstLineChars="200"/>
        <w:jc w:val="left"/>
        <w:rPr>
          <w:rFonts w:hint="eastAsia" w:ascii="仿宋_GB2312" w:hAnsi="仿宋_GB2312" w:eastAsia="仿宋_GB2312" w:cs="仿宋_GB2312"/>
          <w:i w:val="0"/>
          <w:iCs w:val="0"/>
          <w:caps w:val="0"/>
          <w:color w:val="0F1115"/>
          <w:spacing w:val="0"/>
          <w:sz w:val="32"/>
          <w:szCs w:val="32"/>
          <w:shd w:val="clear" w:fill="FFFFFF"/>
        </w:rPr>
      </w:pPr>
      <w:r>
        <w:rPr>
          <w:rStyle w:val="14"/>
          <w:rFonts w:hint="eastAsia" w:ascii="仿宋_GB2312" w:hAnsi="仿宋_GB2312" w:eastAsia="仿宋_GB2312" w:cs="仿宋_GB2312"/>
          <w:b/>
          <w:bCs/>
          <w:i w:val="0"/>
          <w:iCs w:val="0"/>
          <w:caps w:val="0"/>
          <w:color w:val="0F1115"/>
          <w:spacing w:val="0"/>
          <w:sz w:val="32"/>
          <w:szCs w:val="32"/>
          <w:shd w:val="clear" w:fill="FFFFFF"/>
        </w:rPr>
        <w:t>一是促进重点群体就业精准有效。</w:t>
      </w:r>
      <w:r>
        <w:rPr>
          <w:rFonts w:hint="eastAsia" w:ascii="仿宋_GB2312" w:hAnsi="仿宋_GB2312" w:eastAsia="仿宋_GB2312" w:cs="仿宋_GB2312"/>
          <w:i w:val="0"/>
          <w:iCs w:val="0"/>
          <w:caps w:val="0"/>
          <w:color w:val="0F1115"/>
          <w:spacing w:val="0"/>
          <w:sz w:val="32"/>
          <w:szCs w:val="32"/>
          <w:shd w:val="clear" w:fill="FFFFFF"/>
        </w:rPr>
        <w:t>扎实推进高校毕业生就业服务攻坚行动，为</w:t>
      </w:r>
      <w:r>
        <w:rPr>
          <w:rFonts w:hint="eastAsia" w:ascii="仿宋_GB2312" w:hAnsi="仿宋_GB2312" w:eastAsia="仿宋_GB2312" w:cs="仿宋_GB2312"/>
          <w:i w:val="0"/>
          <w:iCs w:val="0"/>
          <w:caps w:val="0"/>
          <w:color w:val="0F1115"/>
          <w:spacing w:val="0"/>
          <w:sz w:val="32"/>
          <w:szCs w:val="32"/>
          <w:shd w:val="clear" w:fill="FFFFFF"/>
          <w:lang w:val="en-US" w:eastAsia="zh-CN"/>
        </w:rPr>
        <w:t>1516</w:t>
      </w:r>
      <w:r>
        <w:rPr>
          <w:rFonts w:hint="eastAsia" w:ascii="仿宋_GB2312" w:hAnsi="仿宋_GB2312" w:eastAsia="仿宋_GB2312" w:cs="仿宋_GB2312"/>
          <w:i w:val="0"/>
          <w:iCs w:val="0"/>
          <w:caps w:val="0"/>
          <w:color w:val="0F1115"/>
          <w:spacing w:val="0"/>
          <w:sz w:val="32"/>
          <w:szCs w:val="32"/>
          <w:shd w:val="clear" w:fill="FFFFFF"/>
        </w:rPr>
        <w:t>名离校未就业毕业生提供“1131”实名制帮扶，</w:t>
      </w:r>
      <w:r>
        <w:rPr>
          <w:rFonts w:hint="eastAsia" w:ascii="仿宋_GB2312" w:hAnsi="仿宋_GB2312" w:eastAsia="仿宋_GB2312" w:cs="仿宋_GB2312"/>
          <w:i w:val="0"/>
          <w:iCs w:val="0"/>
          <w:caps w:val="0"/>
          <w:color w:val="0F1115"/>
          <w:spacing w:val="0"/>
          <w:sz w:val="32"/>
          <w:szCs w:val="32"/>
          <w:shd w:val="clear" w:fill="FFFFFF"/>
          <w:lang w:eastAsia="zh-CN"/>
        </w:rPr>
        <w:t>核实</w:t>
      </w:r>
      <w:r>
        <w:rPr>
          <w:rFonts w:hint="eastAsia" w:ascii="仿宋_GB2312" w:hAnsi="仿宋_GB2312" w:eastAsia="仿宋_GB2312" w:cs="仿宋_GB2312"/>
          <w:i w:val="0"/>
          <w:iCs w:val="0"/>
          <w:caps w:val="0"/>
          <w:color w:val="0F1115"/>
          <w:spacing w:val="0"/>
          <w:sz w:val="32"/>
          <w:szCs w:val="32"/>
          <w:shd w:val="clear" w:fill="FFFFFF"/>
        </w:rPr>
        <w:t>率100%</w:t>
      </w:r>
      <w:r>
        <w:rPr>
          <w:rFonts w:hint="eastAsia" w:ascii="仿宋_GB2312" w:hAnsi="仿宋_GB2312" w:eastAsia="仿宋_GB2312" w:cs="仿宋_GB2312"/>
          <w:i w:val="0"/>
          <w:iCs w:val="0"/>
          <w:caps w:val="0"/>
          <w:color w:val="0F1115"/>
          <w:spacing w:val="0"/>
          <w:sz w:val="32"/>
          <w:szCs w:val="32"/>
          <w:shd w:val="clear" w:fill="FFFFFF"/>
          <w:lang w:eastAsia="zh-CN"/>
        </w:rPr>
        <w:t>，就业率</w:t>
      </w:r>
      <w:r>
        <w:rPr>
          <w:rFonts w:hint="eastAsia" w:ascii="仿宋_GB2312" w:hAnsi="仿宋_GB2312" w:eastAsia="仿宋_GB2312" w:cs="仿宋_GB2312"/>
          <w:i w:val="0"/>
          <w:iCs w:val="0"/>
          <w:caps w:val="0"/>
          <w:color w:val="0F1115"/>
          <w:spacing w:val="0"/>
          <w:sz w:val="32"/>
          <w:szCs w:val="32"/>
          <w:shd w:val="clear" w:fill="FFFFFF"/>
          <w:lang w:val="en-US" w:eastAsia="zh-CN"/>
        </w:rPr>
        <w:t>97.16%</w:t>
      </w:r>
      <w:r>
        <w:rPr>
          <w:rFonts w:hint="eastAsia" w:ascii="仿宋_GB2312" w:hAnsi="仿宋_GB2312" w:eastAsia="仿宋_GB2312" w:cs="仿宋_GB2312"/>
          <w:i w:val="0"/>
          <w:iCs w:val="0"/>
          <w:caps w:val="0"/>
          <w:color w:val="0F1115"/>
          <w:spacing w:val="0"/>
          <w:sz w:val="32"/>
          <w:szCs w:val="32"/>
          <w:shd w:val="clear" w:fill="FFFFFF"/>
        </w:rPr>
        <w:t>。强化农民工就业服务，发挥“正定木匠”、“正定农家女”等劳务品牌效应，其中“正定木匠”劳务品牌促进农村劳动力转移就业的创新实践入选河北省城乡融合发展综合试点典型案例，全年向京津地区有组织输送劳动力</w:t>
      </w:r>
      <w:r>
        <w:rPr>
          <w:rFonts w:hint="eastAsia" w:ascii="仿宋_GB2312" w:hAnsi="仿宋_GB2312" w:eastAsia="仿宋_GB2312" w:cs="仿宋_GB2312"/>
          <w:i w:val="0"/>
          <w:iCs w:val="0"/>
          <w:caps w:val="0"/>
          <w:color w:val="0F1115"/>
          <w:spacing w:val="0"/>
          <w:sz w:val="32"/>
          <w:szCs w:val="32"/>
          <w:shd w:val="clear" w:fill="FFFFFF"/>
          <w:lang w:val="en-US" w:eastAsia="zh-CN"/>
        </w:rPr>
        <w:t>2227</w:t>
      </w:r>
      <w:r>
        <w:rPr>
          <w:rFonts w:hint="eastAsia" w:ascii="仿宋_GB2312" w:hAnsi="仿宋_GB2312" w:eastAsia="仿宋_GB2312" w:cs="仿宋_GB2312"/>
          <w:i w:val="0"/>
          <w:iCs w:val="0"/>
          <w:caps w:val="0"/>
          <w:color w:val="0F1115"/>
          <w:spacing w:val="0"/>
          <w:sz w:val="32"/>
          <w:szCs w:val="32"/>
          <w:shd w:val="clear" w:fill="FFFFFF"/>
        </w:rPr>
        <w:t>人。加强困难人员就业援助，脱贫人口外出务工</w:t>
      </w:r>
      <w:r>
        <w:rPr>
          <w:rFonts w:hint="eastAsia" w:ascii="仿宋_GB2312" w:hAnsi="仿宋_GB2312" w:eastAsia="仿宋_GB2312" w:cs="仿宋_GB2312"/>
          <w:i w:val="0"/>
          <w:iCs w:val="0"/>
          <w:caps w:val="0"/>
          <w:color w:val="0F1115"/>
          <w:spacing w:val="0"/>
          <w:sz w:val="32"/>
          <w:szCs w:val="32"/>
          <w:shd w:val="clear" w:fill="FFFFFF"/>
          <w:lang w:val="en-US" w:eastAsia="zh-CN"/>
        </w:rPr>
        <w:t>1036</w:t>
      </w:r>
      <w:r>
        <w:rPr>
          <w:rFonts w:hint="eastAsia" w:ascii="仿宋_GB2312" w:hAnsi="仿宋_GB2312" w:eastAsia="仿宋_GB2312" w:cs="仿宋_GB2312"/>
          <w:i w:val="0"/>
          <w:iCs w:val="0"/>
          <w:caps w:val="0"/>
          <w:color w:val="0F1115"/>
          <w:spacing w:val="0"/>
          <w:sz w:val="32"/>
          <w:szCs w:val="32"/>
          <w:shd w:val="clear" w:fill="FFFFFF"/>
        </w:rPr>
        <w:t>人，超额完成目标任务。</w:t>
      </w:r>
    </w:p>
    <w:p>
      <w:pPr>
        <w:widowControl/>
        <w:spacing w:before="0" w:beforeLines="0" w:beforeAutospacing="0" w:after="0" w:afterLines="0" w:afterAutospacing="0" w:line="360" w:lineRule="auto"/>
        <w:ind w:firstLine="643" w:firstLineChars="200"/>
        <w:jc w:val="left"/>
        <w:rPr>
          <w:rFonts w:hint="eastAsia" w:ascii="仿宋_GB2312" w:hAnsi="仿宋_GB2312" w:eastAsia="仿宋_GB2312" w:cs="仿宋_GB2312"/>
          <w:i w:val="0"/>
          <w:iCs w:val="0"/>
          <w:caps w:val="0"/>
          <w:color w:val="0F1115"/>
          <w:spacing w:val="0"/>
          <w:sz w:val="32"/>
          <w:szCs w:val="32"/>
          <w:shd w:val="clear" w:fill="FFFFFF"/>
        </w:rPr>
      </w:pPr>
      <w:r>
        <w:rPr>
          <w:rStyle w:val="14"/>
          <w:rFonts w:hint="eastAsia" w:ascii="仿宋_GB2312" w:hAnsi="仿宋_GB2312" w:eastAsia="仿宋_GB2312" w:cs="仿宋_GB2312"/>
          <w:b/>
          <w:bCs/>
          <w:i w:val="0"/>
          <w:iCs w:val="0"/>
          <w:caps w:val="0"/>
          <w:color w:val="0F1115"/>
          <w:spacing w:val="0"/>
          <w:sz w:val="32"/>
          <w:szCs w:val="32"/>
          <w:shd w:val="clear" w:fill="FFFFFF"/>
        </w:rPr>
        <w:t>二是就业服务供给持续优化。</w:t>
      </w:r>
      <w:r>
        <w:rPr>
          <w:rFonts w:hint="eastAsia" w:ascii="仿宋_GB2312" w:hAnsi="仿宋_GB2312" w:eastAsia="仿宋_GB2312" w:cs="仿宋_GB2312"/>
          <w:i w:val="0"/>
          <w:iCs w:val="0"/>
          <w:caps w:val="0"/>
          <w:color w:val="0F1115"/>
          <w:spacing w:val="0"/>
          <w:sz w:val="32"/>
          <w:szCs w:val="32"/>
          <w:shd w:val="clear" w:fill="FFFFFF"/>
        </w:rPr>
        <w:t> 创新“线上+线下”融合招聘模式，</w:t>
      </w:r>
      <w:r>
        <w:rPr>
          <w:rFonts w:hint="eastAsia" w:ascii="仿宋_GB2312" w:hAnsi="仿宋_GB2312" w:eastAsia="仿宋_GB2312" w:cs="仿宋_GB2312"/>
          <w:i w:val="0"/>
          <w:iCs w:val="0"/>
          <w:caps w:val="0"/>
          <w:color w:val="0F1115"/>
          <w:spacing w:val="0"/>
          <w:sz w:val="32"/>
          <w:szCs w:val="32"/>
          <w:shd w:val="clear" w:fill="FFFFFF"/>
          <w:lang w:eastAsia="zh-CN"/>
        </w:rPr>
        <w:t>在</w:t>
      </w:r>
      <w:r>
        <w:rPr>
          <w:rFonts w:hint="eastAsia" w:ascii="仿宋_GB2312" w:hAnsi="仿宋_GB2312" w:eastAsia="仿宋_GB2312" w:cs="仿宋_GB2312"/>
          <w:i w:val="0"/>
          <w:iCs w:val="0"/>
          <w:caps w:val="0"/>
          <w:color w:val="0F1115"/>
          <w:spacing w:val="0"/>
          <w:sz w:val="32"/>
          <w:szCs w:val="32"/>
          <w:shd w:val="clear" w:fill="FFFFFF"/>
          <w:lang w:val="en-US" w:eastAsia="zh-CN"/>
        </w:rPr>
        <w:t>北城门广场、三里屯、曲阳桥举办三场线下“春风行动”招聘会，</w:t>
      </w:r>
      <w:r>
        <w:rPr>
          <w:rFonts w:hint="eastAsia" w:ascii="仿宋_GB2312" w:hAnsi="仿宋_GB2312" w:eastAsia="仿宋_GB2312" w:cs="仿宋_GB2312"/>
          <w:i w:val="0"/>
          <w:iCs w:val="0"/>
          <w:caps w:val="0"/>
          <w:color w:val="0F1115"/>
          <w:spacing w:val="0"/>
          <w:sz w:val="32"/>
          <w:szCs w:val="32"/>
          <w:shd w:val="clear" w:fill="FFFFFF"/>
        </w:rPr>
        <w:t>全年举办各类招聘活动</w:t>
      </w:r>
      <w:r>
        <w:rPr>
          <w:rFonts w:hint="eastAsia" w:ascii="仿宋_GB2312" w:hAnsi="仿宋_GB2312" w:eastAsia="仿宋_GB2312" w:cs="仿宋_GB2312"/>
          <w:i w:val="0"/>
          <w:iCs w:val="0"/>
          <w:caps w:val="0"/>
          <w:color w:val="0F1115"/>
          <w:spacing w:val="0"/>
          <w:sz w:val="32"/>
          <w:szCs w:val="32"/>
          <w:shd w:val="clear" w:fill="FFFFFF"/>
          <w:lang w:val="en-US" w:eastAsia="zh-CN"/>
        </w:rPr>
        <w:t>70</w:t>
      </w:r>
      <w:r>
        <w:rPr>
          <w:rFonts w:hint="eastAsia" w:ascii="仿宋_GB2312" w:hAnsi="仿宋_GB2312" w:eastAsia="仿宋_GB2312" w:cs="仿宋_GB2312"/>
          <w:i w:val="0"/>
          <w:iCs w:val="0"/>
          <w:caps w:val="0"/>
          <w:color w:val="0F1115"/>
          <w:spacing w:val="0"/>
          <w:sz w:val="32"/>
          <w:szCs w:val="32"/>
          <w:shd w:val="clear" w:fill="FFFFFF"/>
        </w:rPr>
        <w:t>场，服务企业</w:t>
      </w:r>
      <w:r>
        <w:rPr>
          <w:rFonts w:hint="eastAsia" w:ascii="仿宋_GB2312" w:hAnsi="仿宋_GB2312" w:eastAsia="仿宋_GB2312" w:cs="仿宋_GB2312"/>
          <w:i w:val="0"/>
          <w:iCs w:val="0"/>
          <w:caps w:val="0"/>
          <w:color w:val="0F1115"/>
          <w:spacing w:val="0"/>
          <w:sz w:val="32"/>
          <w:szCs w:val="32"/>
          <w:shd w:val="clear" w:fill="FFFFFF"/>
          <w:lang w:val="en-US" w:eastAsia="zh-CN"/>
        </w:rPr>
        <w:t>4453</w:t>
      </w:r>
      <w:r>
        <w:rPr>
          <w:rFonts w:hint="eastAsia" w:ascii="仿宋_GB2312" w:hAnsi="仿宋_GB2312" w:eastAsia="仿宋_GB2312" w:cs="仿宋_GB2312"/>
          <w:i w:val="0"/>
          <w:iCs w:val="0"/>
          <w:caps w:val="0"/>
          <w:color w:val="0F1115"/>
          <w:spacing w:val="0"/>
          <w:sz w:val="32"/>
          <w:szCs w:val="32"/>
          <w:shd w:val="clear" w:fill="FFFFFF"/>
        </w:rPr>
        <w:t>家次，提供岗位2.</w:t>
      </w:r>
      <w:r>
        <w:rPr>
          <w:rFonts w:hint="eastAsia" w:ascii="仿宋_GB2312" w:hAnsi="仿宋_GB2312" w:eastAsia="仿宋_GB2312" w:cs="仿宋_GB2312"/>
          <w:i w:val="0"/>
          <w:iCs w:val="0"/>
          <w:caps w:val="0"/>
          <w:color w:val="0F1115"/>
          <w:spacing w:val="0"/>
          <w:sz w:val="32"/>
          <w:szCs w:val="32"/>
          <w:shd w:val="clear" w:fill="FFFFFF"/>
          <w:lang w:val="en-US" w:eastAsia="zh-CN"/>
        </w:rPr>
        <w:t>89</w:t>
      </w:r>
      <w:r>
        <w:rPr>
          <w:rFonts w:hint="eastAsia" w:ascii="仿宋_GB2312" w:hAnsi="仿宋_GB2312" w:eastAsia="仿宋_GB2312" w:cs="仿宋_GB2312"/>
          <w:i w:val="0"/>
          <w:iCs w:val="0"/>
          <w:caps w:val="0"/>
          <w:color w:val="0F1115"/>
          <w:spacing w:val="0"/>
          <w:sz w:val="32"/>
          <w:szCs w:val="32"/>
          <w:shd w:val="clear" w:fill="FFFFFF"/>
        </w:rPr>
        <w:t>万个，初步达成意向40</w:t>
      </w:r>
      <w:r>
        <w:rPr>
          <w:rFonts w:hint="eastAsia" w:ascii="仿宋_GB2312" w:hAnsi="仿宋_GB2312" w:eastAsia="仿宋_GB2312" w:cs="仿宋_GB2312"/>
          <w:i w:val="0"/>
          <w:iCs w:val="0"/>
          <w:caps w:val="0"/>
          <w:color w:val="0F1115"/>
          <w:spacing w:val="0"/>
          <w:sz w:val="32"/>
          <w:szCs w:val="32"/>
          <w:shd w:val="clear" w:fill="FFFFFF"/>
          <w:lang w:val="en-US" w:eastAsia="zh-CN"/>
        </w:rPr>
        <w:t>5</w:t>
      </w:r>
      <w:r>
        <w:rPr>
          <w:rFonts w:hint="eastAsia" w:ascii="仿宋_GB2312" w:hAnsi="仿宋_GB2312" w:eastAsia="仿宋_GB2312" w:cs="仿宋_GB2312"/>
          <w:i w:val="0"/>
          <w:iCs w:val="0"/>
          <w:caps w:val="0"/>
          <w:color w:val="0F1115"/>
          <w:spacing w:val="0"/>
          <w:sz w:val="32"/>
          <w:szCs w:val="32"/>
          <w:shd w:val="clear" w:fill="FFFFFF"/>
        </w:rPr>
        <w:t>0人。率先建成规范化的“零工市场”，并以此为枢纽建成71家“家门口”就业服务站，成功构建“15分钟就业服务圈”，全年促成灵活就业8040人次。</w:t>
      </w:r>
    </w:p>
    <w:p>
      <w:pPr>
        <w:widowControl/>
        <w:spacing w:before="0" w:beforeLines="0" w:beforeAutospacing="0" w:after="0" w:afterLines="0" w:afterAutospacing="0" w:line="360" w:lineRule="auto"/>
        <w:ind w:firstLine="643" w:firstLineChars="200"/>
        <w:jc w:val="left"/>
        <w:rPr>
          <w:rFonts w:hint="eastAsia" w:ascii="仿宋_GB2312" w:hAnsi="仿宋_GB2312" w:eastAsia="仿宋_GB2312" w:cs="仿宋_GB2312"/>
          <w:i w:val="0"/>
          <w:iCs w:val="0"/>
          <w:caps w:val="0"/>
          <w:color w:val="0F1115"/>
          <w:spacing w:val="0"/>
          <w:sz w:val="32"/>
          <w:szCs w:val="32"/>
          <w:shd w:val="clear" w:fill="FFFFFF"/>
        </w:rPr>
      </w:pPr>
      <w:r>
        <w:rPr>
          <w:rStyle w:val="14"/>
          <w:rFonts w:hint="eastAsia" w:ascii="仿宋_GB2312" w:hAnsi="仿宋_GB2312" w:eastAsia="仿宋_GB2312" w:cs="仿宋_GB2312"/>
          <w:b/>
          <w:bCs/>
          <w:i w:val="0"/>
          <w:iCs w:val="0"/>
          <w:caps w:val="0"/>
          <w:color w:val="0F1115"/>
          <w:spacing w:val="0"/>
          <w:sz w:val="32"/>
          <w:szCs w:val="32"/>
          <w:shd w:val="clear" w:fill="FFFFFF"/>
        </w:rPr>
        <w:t>三是创业带动效应显著增强。</w:t>
      </w:r>
      <w:r>
        <w:rPr>
          <w:rFonts w:hint="eastAsia" w:ascii="仿宋_GB2312" w:hAnsi="仿宋_GB2312" w:eastAsia="仿宋_GB2312" w:cs="仿宋_GB2312"/>
          <w:i w:val="0"/>
          <w:iCs w:val="0"/>
          <w:caps w:val="0"/>
          <w:color w:val="0F1115"/>
          <w:spacing w:val="0"/>
          <w:sz w:val="32"/>
          <w:szCs w:val="32"/>
          <w:shd w:val="clear" w:fill="FFFFFF"/>
        </w:rPr>
        <w:t> 创业孵化基地在孵企业</w:t>
      </w:r>
      <w:r>
        <w:rPr>
          <w:rFonts w:hint="eastAsia" w:ascii="仿宋_GB2312" w:hAnsi="仿宋_GB2312" w:eastAsia="仿宋_GB2312" w:cs="仿宋_GB2312"/>
          <w:i w:val="0"/>
          <w:iCs w:val="0"/>
          <w:caps w:val="0"/>
          <w:color w:val="0F1115"/>
          <w:spacing w:val="0"/>
          <w:sz w:val="32"/>
          <w:szCs w:val="32"/>
          <w:shd w:val="clear" w:fill="FFFFFF"/>
          <w:lang w:val="en-US" w:eastAsia="zh-CN"/>
        </w:rPr>
        <w:t>69</w:t>
      </w:r>
      <w:r>
        <w:rPr>
          <w:rFonts w:hint="eastAsia" w:ascii="仿宋_GB2312" w:hAnsi="仿宋_GB2312" w:eastAsia="仿宋_GB2312" w:cs="仿宋_GB2312"/>
          <w:i w:val="0"/>
          <w:iCs w:val="0"/>
          <w:caps w:val="0"/>
          <w:color w:val="0F1115"/>
          <w:spacing w:val="0"/>
          <w:sz w:val="32"/>
          <w:szCs w:val="32"/>
          <w:shd w:val="clear" w:fill="FFFFFF"/>
        </w:rPr>
        <w:t>户，带动就业</w:t>
      </w:r>
      <w:r>
        <w:rPr>
          <w:rFonts w:hint="eastAsia" w:ascii="仿宋_GB2312" w:hAnsi="仿宋_GB2312" w:eastAsia="仿宋_GB2312" w:cs="仿宋_GB2312"/>
          <w:i w:val="0"/>
          <w:iCs w:val="0"/>
          <w:caps w:val="0"/>
          <w:color w:val="0F1115"/>
          <w:spacing w:val="0"/>
          <w:sz w:val="32"/>
          <w:szCs w:val="32"/>
          <w:shd w:val="clear" w:fill="FFFFFF"/>
          <w:lang w:val="en-US" w:eastAsia="zh-CN"/>
        </w:rPr>
        <w:t>131</w:t>
      </w:r>
      <w:r>
        <w:rPr>
          <w:rFonts w:hint="eastAsia" w:ascii="仿宋_GB2312" w:hAnsi="仿宋_GB2312" w:eastAsia="仿宋_GB2312" w:cs="仿宋_GB2312"/>
          <w:i w:val="0"/>
          <w:iCs w:val="0"/>
          <w:caps w:val="0"/>
          <w:color w:val="0F1115"/>
          <w:spacing w:val="0"/>
          <w:sz w:val="32"/>
          <w:szCs w:val="32"/>
          <w:shd w:val="clear" w:fill="FFFFFF"/>
        </w:rPr>
        <w:t>人。深入实施“贷你创业”专项行动，发放创业担保贷款1001万元，直接带动就业82人。开展创业培训</w:t>
      </w:r>
      <w:r>
        <w:rPr>
          <w:rFonts w:hint="eastAsia" w:ascii="仿宋_GB2312" w:hAnsi="仿宋_GB2312" w:eastAsia="仿宋_GB2312" w:cs="仿宋_GB2312"/>
          <w:i w:val="0"/>
          <w:iCs w:val="0"/>
          <w:caps w:val="0"/>
          <w:color w:val="0F1115"/>
          <w:spacing w:val="0"/>
          <w:sz w:val="32"/>
          <w:szCs w:val="32"/>
          <w:shd w:val="clear" w:fill="FFFFFF"/>
          <w:lang w:val="en-US" w:eastAsia="zh-CN"/>
        </w:rPr>
        <w:t>213</w:t>
      </w:r>
      <w:r>
        <w:rPr>
          <w:rFonts w:hint="eastAsia" w:ascii="仿宋_GB2312" w:hAnsi="仿宋_GB2312" w:eastAsia="仿宋_GB2312" w:cs="仿宋_GB2312"/>
          <w:i w:val="0"/>
          <w:iCs w:val="0"/>
          <w:caps w:val="0"/>
          <w:color w:val="0F1115"/>
          <w:spacing w:val="0"/>
          <w:sz w:val="32"/>
          <w:szCs w:val="32"/>
          <w:shd w:val="clear" w:fill="FFFFFF"/>
        </w:rPr>
        <w:t>人次，创业服务体系更加健全。</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lang w:val="en-US" w:eastAsia="zh-CN"/>
        </w:rPr>
        <w:t>2、劳动监察办案经费县级资金自评情况：</w:t>
      </w:r>
      <w:r>
        <w:rPr>
          <w:rFonts w:ascii="Times New Roman" w:eastAsia="仿宋_GB2312"/>
          <w:b w:val="0"/>
          <w:sz w:val="32"/>
          <w:szCs w:val="32"/>
        </w:rPr>
        <w:t>根据年初设定的绩效目标，项目绩效自评得分为100分（绩效自评表附后）。全年预算数为</w:t>
      </w:r>
      <w:r>
        <w:rPr>
          <w:rFonts w:hint="eastAsia" w:ascii="Times New Roman" w:eastAsia="仿宋_GB2312"/>
          <w:b w:val="0"/>
          <w:sz w:val="32"/>
          <w:szCs w:val="32"/>
          <w:lang w:val="en-US" w:eastAsia="zh-CN"/>
        </w:rPr>
        <w:t>9.6</w:t>
      </w:r>
      <w:r>
        <w:rPr>
          <w:rFonts w:ascii="Times New Roman" w:eastAsia="仿宋_GB2312"/>
          <w:b w:val="0"/>
          <w:sz w:val="32"/>
          <w:szCs w:val="32"/>
        </w:rPr>
        <w:t>万元，执行数为</w:t>
      </w:r>
      <w:r>
        <w:rPr>
          <w:rFonts w:hint="eastAsia" w:ascii="Times New Roman" w:eastAsia="仿宋_GB2312"/>
          <w:b w:val="0"/>
          <w:sz w:val="32"/>
          <w:szCs w:val="32"/>
          <w:lang w:val="en-US" w:eastAsia="zh-CN"/>
        </w:rPr>
        <w:t>9.6</w:t>
      </w:r>
      <w:r>
        <w:rPr>
          <w:rFonts w:ascii="Times New Roman" w:eastAsia="仿宋_GB2312"/>
          <w:b w:val="0"/>
          <w:sz w:val="32"/>
          <w:szCs w:val="32"/>
        </w:rPr>
        <w:t>万元，完成预算的100%。项目绩效目标完成情况：完成了年初设定的各项绩效目标</w:t>
      </w:r>
      <w:r>
        <w:rPr>
          <w:rFonts w:hint="eastAsia" w:ascii="仿宋_GB2312" w:hAnsi="仿宋_GB2312" w:eastAsia="仿宋_GB2312" w:cs="仿宋_GB2312"/>
          <w:i w:val="0"/>
          <w:iCs w:val="0"/>
          <w:caps w:val="0"/>
          <w:color w:val="0F1115"/>
          <w:spacing w:val="0"/>
          <w:sz w:val="32"/>
          <w:szCs w:val="32"/>
          <w:shd w:val="clear" w:fill="FFFFFF"/>
        </w:rPr>
        <w:t>。</w:t>
      </w:r>
    </w:p>
    <w:p>
      <w:pPr>
        <w:widowControl/>
        <w:spacing w:before="0" w:beforeLines="0" w:beforeAutospacing="0" w:after="0" w:afterLines="0" w:afterAutospacing="0" w:line="360" w:lineRule="auto"/>
        <w:ind w:firstLine="960" w:firstLineChars="300"/>
        <w:jc w:val="left"/>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lang w:eastAsia="zh-CN"/>
        </w:rPr>
        <w:t>劳动维权中心</w:t>
      </w:r>
      <w:r>
        <w:rPr>
          <w:rFonts w:hint="eastAsia" w:ascii="仿宋_GB2312" w:hAnsi="仿宋_GB2312" w:eastAsia="仿宋_GB2312" w:cs="仿宋_GB2312"/>
          <w:i w:val="0"/>
          <w:iCs w:val="0"/>
          <w:caps w:val="0"/>
          <w:color w:val="0F1115"/>
          <w:spacing w:val="0"/>
          <w:sz w:val="32"/>
          <w:szCs w:val="32"/>
          <w:shd w:val="clear" w:fill="FFFFFF"/>
        </w:rPr>
        <w:t>认真落实上级及县委、县政府治欠要求，坚持源头治理、依法治理、综合治理，多次召开就劳联会议，研究安排治欠工作，切实维护劳动者合法权益。。先后组织开展春季行动、信访攻坚、信访双月攻坚、欠薪问题清零行动以及冬季行动等5项专项行动，对违法用工行为依法从严查处，全年实施行政处罚8起，移送公安机关案件4件，聚焦工程建设领域特别是政府、国企项目，开展整治政府项目、国企项目拖欠农民工工资问题行动，排查项目20个，解决欠薪11起。全年受理处置各类欠薪线索2596件，为500余名劳动者追回工资250万余元，实施行政处罚8起。案件按期结案率保持在90%以上。</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3.、劳动仲裁办案经费县级资金：</w:t>
      </w:r>
      <w:r>
        <w:rPr>
          <w:rFonts w:ascii="Times New Roman" w:eastAsia="仿宋_GB2312"/>
          <w:b w:val="0"/>
          <w:sz w:val="32"/>
          <w:szCs w:val="32"/>
        </w:rPr>
        <w:t>根据年初设定的绩效目标，项目绩效自评得分为</w:t>
      </w:r>
      <w:r>
        <w:rPr>
          <w:rFonts w:hint="eastAsia" w:ascii="Times New Roman" w:eastAsia="仿宋_GB2312"/>
          <w:b w:val="0"/>
          <w:sz w:val="32"/>
          <w:szCs w:val="32"/>
          <w:lang w:val="en-US" w:eastAsia="zh-CN"/>
        </w:rPr>
        <w:t>90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3.28</w:t>
      </w:r>
      <w:r>
        <w:rPr>
          <w:rFonts w:ascii="Times New Roman" w:eastAsia="仿宋_GB2312"/>
          <w:b w:val="0"/>
          <w:sz w:val="32"/>
          <w:szCs w:val="32"/>
        </w:rPr>
        <w:t>万元，执行数为</w:t>
      </w:r>
      <w:r>
        <w:rPr>
          <w:rFonts w:hint="eastAsia" w:ascii="Times New Roman" w:eastAsia="仿宋_GB2312"/>
          <w:b w:val="0"/>
          <w:sz w:val="32"/>
          <w:szCs w:val="32"/>
          <w:lang w:val="en-US" w:eastAsia="zh-CN"/>
        </w:rPr>
        <w:t>3.28</w:t>
      </w:r>
      <w:r>
        <w:rPr>
          <w:rFonts w:ascii="Times New Roman" w:eastAsia="仿宋_GB2312"/>
          <w:b w:val="0"/>
          <w:sz w:val="32"/>
          <w:szCs w:val="32"/>
        </w:rPr>
        <w:t>万元，完成预算的100%。项目绩效目标完成情况：完成了年初设定的各项绩效目标</w:t>
      </w:r>
      <w:r>
        <w:rPr>
          <w:rFonts w:hint="eastAsia" w:ascii="仿宋_GB2312" w:hAnsi="仿宋_GB2312" w:eastAsia="仿宋_GB2312" w:cs="仿宋_GB2312"/>
          <w:i w:val="0"/>
          <w:iCs w:val="0"/>
          <w:caps w:val="0"/>
          <w:color w:val="0F1115"/>
          <w:spacing w:val="0"/>
          <w:sz w:val="32"/>
          <w:szCs w:val="32"/>
          <w:shd w:val="clear" w:fill="FFFFFF"/>
        </w:rPr>
        <w:t>。</w:t>
      </w:r>
    </w:p>
    <w:p>
      <w:pPr>
        <w:widowControl/>
        <w:numPr>
          <w:ilvl w:val="0"/>
          <w:numId w:val="0"/>
        </w:numPr>
        <w:spacing w:before="0" w:beforeLines="0" w:beforeAutospacing="0" w:after="0" w:afterLines="0" w:afterAutospacing="0" w:line="360" w:lineRule="auto"/>
        <w:ind w:firstLine="640" w:firstLineChars="200"/>
        <w:jc w:val="left"/>
        <w:rPr>
          <w:rFonts w:hint="default"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rPr>
        <w:t>劳动人事争议调解仲裁保持高效运行，开辟农民工工资争议“绿色通道”，实行“快立、快审、快调、快结”，案件按期结案率保持在90%以上。全年接待群众咨询超4000人次。</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4、2025年度专业技术支持评审费县级资金。</w:t>
      </w:r>
      <w:r>
        <w:rPr>
          <w:rFonts w:ascii="Times New Roman" w:eastAsia="仿宋_GB2312"/>
          <w:b w:val="0"/>
          <w:sz w:val="32"/>
          <w:szCs w:val="32"/>
        </w:rPr>
        <w:t>根据年初设定的绩效目标，项目绩效自评得分为100分（绩效自评表附后）。全年预算数为</w:t>
      </w:r>
      <w:r>
        <w:rPr>
          <w:rFonts w:hint="eastAsia" w:ascii="Times New Roman" w:eastAsia="仿宋_GB2312"/>
          <w:b w:val="0"/>
          <w:sz w:val="32"/>
          <w:szCs w:val="32"/>
          <w:lang w:val="en-US" w:eastAsia="zh-CN"/>
        </w:rPr>
        <w:t>8.629</w:t>
      </w:r>
      <w:r>
        <w:rPr>
          <w:rFonts w:ascii="Times New Roman" w:eastAsia="仿宋_GB2312"/>
          <w:b w:val="0"/>
          <w:sz w:val="32"/>
          <w:szCs w:val="32"/>
        </w:rPr>
        <w:t>万元，执行数为</w:t>
      </w:r>
      <w:r>
        <w:rPr>
          <w:rFonts w:hint="eastAsia" w:ascii="Times New Roman" w:eastAsia="仿宋_GB2312"/>
          <w:b w:val="0"/>
          <w:sz w:val="32"/>
          <w:szCs w:val="32"/>
          <w:lang w:val="en-US" w:eastAsia="zh-CN"/>
        </w:rPr>
        <w:t>8.629</w:t>
      </w:r>
      <w:r>
        <w:rPr>
          <w:rFonts w:ascii="Times New Roman" w:eastAsia="仿宋_GB2312"/>
          <w:b w:val="0"/>
          <w:sz w:val="32"/>
          <w:szCs w:val="32"/>
        </w:rPr>
        <w:t>万元，完成预算的100%。项目绩效目标完成情况：完成了年初设定的各项绩效目标</w:t>
      </w:r>
      <w:r>
        <w:rPr>
          <w:rFonts w:hint="eastAsia" w:ascii="仿宋_GB2312" w:hAnsi="仿宋_GB2312" w:eastAsia="仿宋_GB2312" w:cs="仿宋_GB2312"/>
          <w:i w:val="0"/>
          <w:iCs w:val="0"/>
          <w:caps w:val="0"/>
          <w:color w:val="0F1115"/>
          <w:spacing w:val="0"/>
          <w:sz w:val="32"/>
          <w:szCs w:val="32"/>
          <w:shd w:val="clear" w:fill="FFFFFF"/>
        </w:rPr>
        <w:t>。</w:t>
      </w:r>
    </w:p>
    <w:p>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rPr>
        <w:t>职称评审工作规范有序，全年向上级择优推荐高级职称157人、中级职称212人。</w:t>
      </w:r>
    </w:p>
    <w:p>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p>
    <w:p>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p>
    <w:p>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p>
    <w:p>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p>
    <w:p>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p>
    <w:p>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p>
    <w:p>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p>
    <w:tbl>
      <w:tblPr>
        <w:tblStyle w:val="11"/>
        <w:tblW w:w="5058" w:type="pct"/>
        <w:tblInd w:w="0" w:type="dxa"/>
        <w:shd w:val="clear" w:color="auto" w:fill="auto"/>
        <w:tblLayout w:type="autofit"/>
        <w:tblCellMar>
          <w:top w:w="0" w:type="dxa"/>
          <w:left w:w="0" w:type="dxa"/>
          <w:bottom w:w="0" w:type="dxa"/>
          <w:right w:w="0" w:type="dxa"/>
        </w:tblCellMar>
      </w:tblPr>
      <w:tblGrid>
        <w:gridCol w:w="567"/>
        <w:gridCol w:w="560"/>
        <w:gridCol w:w="1234"/>
        <w:gridCol w:w="1545"/>
        <w:gridCol w:w="1258"/>
        <w:gridCol w:w="753"/>
        <w:gridCol w:w="448"/>
        <w:gridCol w:w="661"/>
        <w:gridCol w:w="466"/>
        <w:gridCol w:w="521"/>
        <w:gridCol w:w="661"/>
        <w:gridCol w:w="534"/>
      </w:tblGrid>
      <w:tr>
        <w:tblPrEx>
          <w:shd w:val="clear" w:color="auto" w:fill="auto"/>
          <w:tblCellMar>
            <w:top w:w="0" w:type="dxa"/>
            <w:left w:w="0" w:type="dxa"/>
            <w:bottom w:w="0" w:type="dxa"/>
            <w:right w:w="0" w:type="dxa"/>
          </w:tblCellMar>
        </w:tblPrEx>
        <w:trPr>
          <w:trHeight w:val="450" w:hRule="atLeast"/>
        </w:trPr>
        <w:tc>
          <w:tcPr>
            <w:tcW w:w="5000" w:type="pct"/>
            <w:gridSpan w:val="12"/>
            <w:vMerge w:val="restar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36"/>
                <w:szCs w:val="36"/>
                <w:u w:val="none"/>
              </w:rPr>
            </w:pPr>
            <w:r>
              <w:rPr>
                <w:rFonts w:ascii="宋体" w:hAnsi="宋体" w:eastAsia="宋体" w:cs="宋体"/>
                <w:b/>
                <w:i w:val="0"/>
                <w:color w:val="000000"/>
                <w:kern w:val="0"/>
                <w:sz w:val="36"/>
                <w:szCs w:val="36"/>
                <w:u w:val="none"/>
                <w:lang w:val="en-US" w:eastAsia="zh-CN" w:bidi="ar"/>
              </w:rPr>
              <w:t>2025年度预算项目绩效自评表</w:t>
            </w:r>
          </w:p>
        </w:tc>
      </w:tr>
      <w:tr>
        <w:tblPrEx>
          <w:tblCellMar>
            <w:top w:w="0" w:type="dxa"/>
            <w:left w:w="0" w:type="dxa"/>
            <w:bottom w:w="0" w:type="dxa"/>
            <w:right w:w="0" w:type="dxa"/>
          </w:tblCellMar>
        </w:tblPrEx>
        <w:trPr>
          <w:trHeight w:val="450" w:hRule="atLeast"/>
        </w:trPr>
        <w:tc>
          <w:tcPr>
            <w:tcW w:w="5000" w:type="pct"/>
            <w:gridSpan w:val="12"/>
            <w:vMerge w:val="continue"/>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36"/>
                <w:szCs w:val="36"/>
                <w:u w:val="none"/>
              </w:rPr>
            </w:pPr>
          </w:p>
        </w:tc>
      </w:tr>
      <w:tr>
        <w:tblPrEx>
          <w:tblCellMar>
            <w:top w:w="0" w:type="dxa"/>
            <w:left w:w="0" w:type="dxa"/>
            <w:bottom w:w="0" w:type="dxa"/>
            <w:right w:w="0" w:type="dxa"/>
          </w:tblCellMar>
        </w:tblPrEx>
        <w:trPr>
          <w:trHeight w:val="900"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一、基本情况</w:t>
            </w:r>
          </w:p>
        </w:tc>
        <w:tc>
          <w:tcPr>
            <w:tcW w:w="3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项目名称</w:t>
            </w:r>
          </w:p>
        </w:tc>
        <w:tc>
          <w:tcPr>
            <w:tcW w:w="1508"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2025年度就业补助资金</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项目级次</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本级</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实施主管单位</w:t>
            </w:r>
          </w:p>
        </w:tc>
        <w:tc>
          <w:tcPr>
            <w:tcW w:w="5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317001-正定县人力资源和社会保障局本级</w:t>
            </w:r>
          </w:p>
        </w:tc>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金额单位</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r>
      <w:tr>
        <w:tblPrEx>
          <w:tblCellMar>
            <w:top w:w="0" w:type="dxa"/>
            <w:left w:w="0" w:type="dxa"/>
            <w:bottom w:w="0" w:type="dxa"/>
            <w:right w:w="0" w:type="dxa"/>
          </w:tblCellMar>
        </w:tblPrEx>
        <w:trPr>
          <w:trHeight w:val="450" w:hRule="atLeast"/>
        </w:trPr>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二、预算执行</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813"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预算安排情况(调整后)</w:t>
            </w:r>
          </w:p>
        </w:tc>
        <w:tc>
          <w:tcPr>
            <w:tcW w:w="109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资金到位情况</w:t>
            </w:r>
          </w:p>
        </w:tc>
        <w:tc>
          <w:tcPr>
            <w:tcW w:w="1138"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资金执行情况</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预算执行进度(%)</w:t>
            </w: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97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预算数</w:t>
            </w:r>
          </w:p>
        </w:tc>
        <w:tc>
          <w:tcPr>
            <w:tcW w:w="8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908.41</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908.41</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执行数</w:t>
            </w:r>
          </w:p>
        </w:tc>
        <w:tc>
          <w:tcPr>
            <w:tcW w:w="5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908.41</w:t>
            </w:r>
          </w:p>
        </w:tc>
        <w:tc>
          <w:tcPr>
            <w:tcW w:w="64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97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8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908.41</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908.41</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5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908.41</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97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8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5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97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8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5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97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8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5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97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8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5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三、目标完成</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2496"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年度预期目标</w:t>
            </w:r>
          </w:p>
        </w:tc>
        <w:tc>
          <w:tcPr>
            <w:tcW w:w="1547"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具体完成情况</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总体完成率(%)</w:t>
            </w: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2496"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保持本县就业形势基本稳定</w:t>
            </w:r>
          </w:p>
        </w:tc>
        <w:tc>
          <w:tcPr>
            <w:tcW w:w="1547"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四、年度绩效</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指标完成情况</w:t>
            </w:r>
          </w:p>
        </w:tc>
        <w:tc>
          <w:tcPr>
            <w:tcW w:w="304"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一级指标</w:t>
            </w:r>
          </w:p>
        </w:tc>
        <w:tc>
          <w:tcPr>
            <w:tcW w:w="66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二级指标</w:t>
            </w:r>
          </w:p>
        </w:tc>
        <w:tc>
          <w:tcPr>
            <w:tcW w:w="83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三级指标</w:t>
            </w:r>
          </w:p>
        </w:tc>
        <w:tc>
          <w:tcPr>
            <w:tcW w:w="68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指标说明</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指标分值</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预期指标值</w:t>
            </w:r>
          </w:p>
        </w:tc>
        <w:tc>
          <w:tcPr>
            <w:tcW w:w="28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实际完成值</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完成情况</w:t>
            </w:r>
          </w:p>
        </w:tc>
        <w:tc>
          <w:tcPr>
            <w:tcW w:w="28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自评得分</w:t>
            </w:r>
          </w:p>
        </w:tc>
      </w:tr>
      <w:tr>
        <w:tblPrEx>
          <w:tblCellMar>
            <w:top w:w="0" w:type="dxa"/>
            <w:left w:w="0" w:type="dxa"/>
            <w:bottom w:w="0" w:type="dxa"/>
            <w:right w:w="0" w:type="dxa"/>
          </w:tblCellMar>
        </w:tblPrEx>
        <w:trPr>
          <w:trHeight w:val="2255"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6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83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8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符号</w:t>
            </w:r>
          </w:p>
        </w:tc>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值</w:t>
            </w:r>
          </w:p>
        </w:tc>
        <w:tc>
          <w:tcPr>
            <w:tcW w:w="2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单位(文字描述)</w:t>
            </w:r>
          </w:p>
        </w:tc>
        <w:tc>
          <w:tcPr>
            <w:tcW w:w="28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28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66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04"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产出指标</w:t>
            </w:r>
          </w:p>
        </w:tc>
        <w:tc>
          <w:tcPr>
            <w:tcW w:w="66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数量指标</w:t>
            </w:r>
          </w:p>
        </w:tc>
        <w:tc>
          <w:tcPr>
            <w:tcW w:w="8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招聘会数量</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开展“春风行动”、“民营企业”</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2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w:t>
            </w:r>
          </w:p>
        </w:tc>
        <w:tc>
          <w:tcPr>
            <w:tcW w:w="2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次</w:t>
            </w:r>
          </w:p>
        </w:tc>
        <w:tc>
          <w:tcPr>
            <w:tcW w:w="2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tblPrEx>
          <w:tblCellMar>
            <w:top w:w="0" w:type="dxa"/>
            <w:left w:w="0" w:type="dxa"/>
            <w:bottom w:w="0" w:type="dxa"/>
            <w:right w:w="0" w:type="dxa"/>
          </w:tblCellMar>
        </w:tblPrEx>
        <w:trPr>
          <w:trHeight w:val="66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6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质量指标</w:t>
            </w:r>
          </w:p>
        </w:tc>
        <w:tc>
          <w:tcPr>
            <w:tcW w:w="8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新增就业人员数量</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年度内新增就业人员数量</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30</w:t>
            </w:r>
          </w:p>
        </w:tc>
        <w:tc>
          <w:tcPr>
            <w:tcW w:w="2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4000</w:t>
            </w:r>
          </w:p>
        </w:tc>
        <w:tc>
          <w:tcPr>
            <w:tcW w:w="2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w:t>
            </w:r>
          </w:p>
        </w:tc>
        <w:tc>
          <w:tcPr>
            <w:tcW w:w="2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6870</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6870</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30</w:t>
            </w:r>
          </w:p>
        </w:tc>
      </w:tr>
      <w:tr>
        <w:tblPrEx>
          <w:tblCellMar>
            <w:top w:w="0" w:type="dxa"/>
            <w:left w:w="0" w:type="dxa"/>
            <w:bottom w:w="0" w:type="dxa"/>
            <w:right w:w="0" w:type="dxa"/>
          </w:tblCellMar>
        </w:tblPrEx>
        <w:trPr>
          <w:trHeight w:val="66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6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时效指标</w:t>
            </w:r>
          </w:p>
        </w:tc>
        <w:tc>
          <w:tcPr>
            <w:tcW w:w="8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资金发放准时率</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资金发放准时率</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2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2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98</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98</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13</w:t>
            </w:r>
          </w:p>
        </w:tc>
      </w:tr>
      <w:tr>
        <w:tblPrEx>
          <w:tblCellMar>
            <w:top w:w="0" w:type="dxa"/>
            <w:left w:w="0" w:type="dxa"/>
            <w:bottom w:w="0" w:type="dxa"/>
            <w:right w:w="0" w:type="dxa"/>
          </w:tblCellMar>
        </w:tblPrEx>
        <w:trPr>
          <w:trHeight w:val="66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6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成本指标</w:t>
            </w:r>
          </w:p>
        </w:tc>
        <w:tc>
          <w:tcPr>
            <w:tcW w:w="8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公益性岗位补贴人均标准</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公益性岗位补贴人均标准</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2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2200</w:t>
            </w:r>
          </w:p>
        </w:tc>
        <w:tc>
          <w:tcPr>
            <w:tcW w:w="2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元</w:t>
            </w:r>
          </w:p>
        </w:tc>
        <w:tc>
          <w:tcPr>
            <w:tcW w:w="2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2200</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66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效益指标</w:t>
            </w:r>
          </w:p>
        </w:tc>
        <w:tc>
          <w:tcPr>
            <w:tcW w:w="66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促进就业创业</w:t>
            </w:r>
          </w:p>
        </w:tc>
        <w:tc>
          <w:tcPr>
            <w:tcW w:w="8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促进就业创业</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文字描述</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2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促进就业创业</w:t>
            </w:r>
          </w:p>
        </w:tc>
        <w:tc>
          <w:tcPr>
            <w:tcW w:w="2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66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满意度指标</w:t>
            </w:r>
          </w:p>
        </w:tc>
        <w:tc>
          <w:tcPr>
            <w:tcW w:w="66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服务对象满意度指标</w:t>
            </w:r>
          </w:p>
        </w:tc>
        <w:tc>
          <w:tcPr>
            <w:tcW w:w="8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2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85</w:t>
            </w:r>
          </w:p>
        </w:tc>
        <w:tc>
          <w:tcPr>
            <w:tcW w:w="2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满意</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满意</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66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预算执行率</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预算执行率</w:t>
            </w:r>
          </w:p>
        </w:tc>
        <w:tc>
          <w:tcPr>
            <w:tcW w:w="8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自评总分</w:t>
            </w:r>
          </w:p>
        </w:tc>
        <w:tc>
          <w:tcPr>
            <w:tcW w:w="4387" w:type="pct"/>
            <w:gridSpan w:val="10"/>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98</w:t>
            </w:r>
          </w:p>
        </w:tc>
      </w:tr>
      <w:tr>
        <w:tblPrEx>
          <w:tblCellMar>
            <w:top w:w="0" w:type="dxa"/>
            <w:left w:w="0" w:type="dxa"/>
            <w:bottom w:w="0" w:type="dxa"/>
            <w:right w:w="0" w:type="dxa"/>
          </w:tblCellMar>
        </w:tblPrEx>
        <w:trPr>
          <w:trHeight w:val="450" w:hRule="atLeast"/>
        </w:trPr>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五、存在问题</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原因及整改措施</w:t>
            </w:r>
          </w:p>
        </w:tc>
        <w:tc>
          <w:tcPr>
            <w:tcW w:w="4691" w:type="pct"/>
            <w:gridSpan w:val="11"/>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w:t>
            </w:r>
          </w:p>
        </w:tc>
      </w:tr>
      <w:tr>
        <w:tblPrEx>
          <w:tblCellMar>
            <w:top w:w="0" w:type="dxa"/>
            <w:left w:w="0" w:type="dxa"/>
            <w:bottom w:w="0" w:type="dxa"/>
            <w:right w:w="0" w:type="dxa"/>
          </w:tblCellMar>
        </w:tblPrEx>
        <w:trPr>
          <w:trHeight w:val="74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691" w:type="pct"/>
            <w:gridSpan w:val="11"/>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r>
    </w:tbl>
    <w:p/>
    <w:p/>
    <w:p/>
    <w:p/>
    <w:p/>
    <w:p/>
    <w:p/>
    <w:p/>
    <w:p/>
    <w:p/>
    <w:p/>
    <w:p/>
    <w:p/>
    <w:p/>
    <w:p/>
    <w:p/>
    <w:p/>
    <w:p/>
    <w:p/>
    <w:tbl>
      <w:tblPr>
        <w:tblStyle w:val="11"/>
        <w:tblW w:w="0" w:type="auto"/>
        <w:tblInd w:w="0" w:type="dxa"/>
        <w:shd w:val="clear" w:color="auto" w:fill="auto"/>
        <w:tblLayout w:type="autofit"/>
        <w:tblCellMar>
          <w:top w:w="0" w:type="dxa"/>
          <w:left w:w="0" w:type="dxa"/>
          <w:bottom w:w="0" w:type="dxa"/>
          <w:right w:w="0" w:type="dxa"/>
        </w:tblCellMar>
      </w:tblPr>
      <w:tblGrid>
        <w:gridCol w:w="672"/>
        <w:gridCol w:w="411"/>
        <w:gridCol w:w="1290"/>
        <w:gridCol w:w="1130"/>
        <w:gridCol w:w="1392"/>
        <w:gridCol w:w="731"/>
        <w:gridCol w:w="526"/>
        <w:gridCol w:w="421"/>
        <w:gridCol w:w="730"/>
        <w:gridCol w:w="697"/>
        <w:gridCol w:w="551"/>
        <w:gridCol w:w="551"/>
      </w:tblGrid>
      <w:tr>
        <w:tblPrEx>
          <w:shd w:val="clear" w:color="auto" w:fill="auto"/>
          <w:tblCellMar>
            <w:top w:w="0" w:type="dxa"/>
            <w:left w:w="0" w:type="dxa"/>
            <w:bottom w:w="0" w:type="dxa"/>
            <w:right w:w="0" w:type="dxa"/>
          </w:tblCellMar>
        </w:tblPrEx>
        <w:trPr>
          <w:trHeight w:val="450" w:hRule="atLeast"/>
        </w:trPr>
        <w:tc>
          <w:tcPr>
            <w:tcW w:w="0" w:type="auto"/>
            <w:gridSpan w:val="12"/>
            <w:vMerge w:val="restar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kern w:val="0"/>
                <w:sz w:val="36"/>
                <w:szCs w:val="36"/>
                <w:u w:val="none"/>
                <w:lang w:val="en-US" w:eastAsia="zh-CN" w:bidi="ar"/>
              </w:rPr>
            </w:pPr>
          </w:p>
          <w:p>
            <w:pPr>
              <w:keepNext w:val="0"/>
              <w:keepLines w:val="0"/>
              <w:widowControl/>
              <w:suppressLineNumbers w:val="0"/>
              <w:jc w:val="center"/>
              <w:textAlignment w:val="center"/>
              <w:rPr>
                <w:rFonts w:ascii="宋体" w:hAnsi="宋体" w:eastAsia="宋体" w:cs="宋体"/>
                <w:b/>
                <w:i w:val="0"/>
                <w:color w:val="000000"/>
                <w:sz w:val="36"/>
                <w:szCs w:val="36"/>
                <w:u w:val="none"/>
              </w:rPr>
            </w:pPr>
            <w:r>
              <w:rPr>
                <w:rFonts w:ascii="宋体" w:hAnsi="宋体" w:eastAsia="宋体" w:cs="宋体"/>
                <w:b/>
                <w:i w:val="0"/>
                <w:color w:val="000000"/>
                <w:kern w:val="0"/>
                <w:sz w:val="36"/>
                <w:szCs w:val="36"/>
                <w:u w:val="none"/>
                <w:lang w:val="en-US" w:eastAsia="zh-CN" w:bidi="ar"/>
              </w:rPr>
              <w:t>2025年度预算项目绩效自评表</w:t>
            </w:r>
          </w:p>
        </w:tc>
      </w:tr>
      <w:tr>
        <w:tblPrEx>
          <w:tblCellMar>
            <w:top w:w="0" w:type="dxa"/>
            <w:left w:w="0" w:type="dxa"/>
            <w:bottom w:w="0" w:type="dxa"/>
            <w:right w:w="0" w:type="dxa"/>
          </w:tblCellMar>
        </w:tblPrEx>
        <w:trPr>
          <w:trHeight w:val="450" w:hRule="atLeast"/>
        </w:trPr>
        <w:tc>
          <w:tcPr>
            <w:tcW w:w="0" w:type="auto"/>
            <w:gridSpan w:val="12"/>
            <w:vMerge w:val="continue"/>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36"/>
                <w:szCs w:val="36"/>
                <w:u w:val="none"/>
              </w:rPr>
            </w:pPr>
          </w:p>
        </w:tc>
      </w:tr>
      <w:tr>
        <w:tblPrEx>
          <w:tblCellMar>
            <w:top w:w="0" w:type="dxa"/>
            <w:left w:w="0" w:type="dxa"/>
            <w:bottom w:w="0" w:type="dxa"/>
            <w:right w:w="0" w:type="dxa"/>
          </w:tblCellMar>
        </w:tblPrEx>
        <w:trPr>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项目名称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2025年度劳动仲裁办案经费县级资金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项目级次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本级</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实施主管单位</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317001-正定县人力资源和社会保障局本级</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金额单位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r>
      <w:tr>
        <w:tblPrEx>
          <w:tblCellMar>
            <w:top w:w="0" w:type="dxa"/>
            <w:left w:w="0" w:type="dxa"/>
            <w:bottom w:w="0" w:type="dxa"/>
            <w:right w:w="0"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二、预算执行</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预算安排情况(调整后)</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资金到位情况</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资金执行情况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预算执行进度(%)</w:t>
            </w:r>
          </w:p>
        </w:tc>
      </w:tr>
      <w:tr>
        <w:tblPrEx>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3.2795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到位数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3.2795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执行数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3.2795</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tblPrEx>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3.2795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3.2795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3.2795</w:t>
            </w: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三、目标完成</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年度预期目标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具体完成情况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总体完成率(%)</w:t>
            </w:r>
          </w:p>
        </w:tc>
      </w:tr>
      <w:tr>
        <w:tblPrEx>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提高劳动仲裁办案质量</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四、年度绩效</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指标完成情况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指标说明</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指标分值</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预期指标值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实际完成值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完成情况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自评得分</w:t>
            </w:r>
          </w:p>
        </w:tc>
      </w:tr>
      <w:tr>
        <w:tblPrEx>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单位(文字描述)</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受理仲裁案件数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年度受理仲裁案件数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tblPrEx>
          <w:tblCellMar>
            <w:top w:w="0" w:type="dxa"/>
            <w:left w:w="0" w:type="dxa"/>
            <w:bottom w:w="0" w:type="dxa"/>
            <w:right w:w="0" w:type="dxa"/>
          </w:tblCellMar>
        </w:tblPrEx>
        <w:trPr>
          <w:trHeight w:val="9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仲裁结案率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全县劳动人事争议仲裁案件按时结案数占总受理数的比例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tblPrEx>
          <w:tblCellMar>
            <w:top w:w="0" w:type="dxa"/>
            <w:left w:w="0" w:type="dxa"/>
            <w:bottom w:w="0" w:type="dxa"/>
            <w:right w:w="0"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资金拨付及时率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资金拨付及时率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兼职仲裁员补贴金额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兼职仲裁员每案补贴金额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规定范围</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规定范围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有效促进全省劳动关系和谐稳定</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妥善处理各类劳动人事争议纠纷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完成年初计划</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55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满意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满意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108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自评总分</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r>
      <w:tr>
        <w:tblPrEx>
          <w:tblCellMar>
            <w:top w:w="0" w:type="dxa"/>
            <w:left w:w="0" w:type="dxa"/>
            <w:bottom w:w="0" w:type="dxa"/>
            <w:right w:w="0"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五、存在问题</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原因及整改措施</w:t>
            </w:r>
          </w:p>
        </w:tc>
        <w:tc>
          <w:tcPr>
            <w:tcW w:w="0" w:type="auto"/>
            <w:gridSpan w:val="11"/>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lang w:eastAsia="zh-CN"/>
              </w:rPr>
            </w:pPr>
            <w:r>
              <w:rPr>
                <w:rFonts w:hint="eastAsia" w:ascii="宋体" w:hAnsi="宋体" w:eastAsia="宋体" w:cs="宋体"/>
                <w:i w:val="0"/>
                <w:color w:val="000000"/>
                <w:sz w:val="22"/>
                <w:szCs w:val="22"/>
                <w:u w:val="none"/>
                <w:lang w:eastAsia="zh-CN"/>
              </w:rPr>
              <w:t>无</w:t>
            </w:r>
          </w:p>
        </w:tc>
      </w:tr>
      <w:tr>
        <w:tblPrEx>
          <w:tblCellMar>
            <w:top w:w="0" w:type="dxa"/>
            <w:left w:w="0" w:type="dxa"/>
            <w:bottom w:w="0" w:type="dxa"/>
            <w:right w:w="0" w:type="dxa"/>
          </w:tblCellMar>
        </w:tblPrEx>
        <w:trPr>
          <w:trHeight w:val="1124"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0" w:type="auto"/>
            <w:gridSpan w:val="11"/>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r>
    </w:tbl>
    <w:p/>
    <w:p/>
    <w:p/>
    <w:p/>
    <w:p/>
    <w:p/>
    <w:p/>
    <w:p/>
    <w:p/>
    <w:tbl>
      <w:tblPr>
        <w:tblStyle w:val="11"/>
        <w:tblW w:w="5000" w:type="pct"/>
        <w:tblInd w:w="0" w:type="dxa"/>
        <w:shd w:val="clear" w:color="auto" w:fill="auto"/>
        <w:tblLayout w:type="autofit"/>
        <w:tblCellMar>
          <w:top w:w="0" w:type="dxa"/>
          <w:left w:w="0" w:type="dxa"/>
          <w:bottom w:w="0" w:type="dxa"/>
          <w:right w:w="0" w:type="dxa"/>
        </w:tblCellMar>
      </w:tblPr>
      <w:tblGrid>
        <w:gridCol w:w="735"/>
        <w:gridCol w:w="662"/>
        <w:gridCol w:w="1130"/>
        <w:gridCol w:w="659"/>
        <w:gridCol w:w="1257"/>
        <w:gridCol w:w="756"/>
        <w:gridCol w:w="598"/>
        <w:gridCol w:w="689"/>
        <w:gridCol w:w="689"/>
        <w:gridCol w:w="470"/>
        <w:gridCol w:w="874"/>
        <w:gridCol w:w="583"/>
      </w:tblGrid>
      <w:tr>
        <w:tblPrEx>
          <w:shd w:val="clear" w:color="auto" w:fill="auto"/>
          <w:tblCellMar>
            <w:top w:w="0" w:type="dxa"/>
            <w:left w:w="0" w:type="dxa"/>
            <w:bottom w:w="0" w:type="dxa"/>
            <w:right w:w="0" w:type="dxa"/>
          </w:tblCellMar>
        </w:tblPrEx>
        <w:trPr>
          <w:trHeight w:val="450" w:hRule="atLeast"/>
        </w:trPr>
        <w:tc>
          <w:tcPr>
            <w:tcW w:w="5000" w:type="pct"/>
            <w:gridSpan w:val="12"/>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36"/>
                <w:szCs w:val="36"/>
                <w:u w:val="none"/>
              </w:rPr>
            </w:pPr>
            <w:r>
              <w:rPr>
                <w:rFonts w:ascii="宋体" w:hAnsi="宋体" w:eastAsia="宋体" w:cs="宋体"/>
                <w:b/>
                <w:i w:val="0"/>
                <w:color w:val="000000"/>
                <w:kern w:val="0"/>
                <w:sz w:val="36"/>
                <w:szCs w:val="36"/>
                <w:u w:val="none"/>
                <w:lang w:val="en-US" w:eastAsia="zh-CN" w:bidi="ar"/>
              </w:rPr>
              <w:t>2025年度预算项目绩效自评表</w:t>
            </w:r>
          </w:p>
        </w:tc>
      </w:tr>
      <w:tr>
        <w:tblPrEx>
          <w:tblCellMar>
            <w:top w:w="0" w:type="dxa"/>
            <w:left w:w="0" w:type="dxa"/>
            <w:bottom w:w="0" w:type="dxa"/>
            <w:right w:w="0" w:type="dxa"/>
          </w:tblCellMar>
        </w:tblPrEx>
        <w:trPr>
          <w:trHeight w:val="450" w:hRule="atLeast"/>
        </w:trPr>
        <w:tc>
          <w:tcPr>
            <w:tcW w:w="5000" w:type="pct"/>
            <w:gridSpan w:val="1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36"/>
                <w:szCs w:val="36"/>
                <w:u w:val="none"/>
              </w:rPr>
            </w:pPr>
          </w:p>
        </w:tc>
      </w:tr>
      <w:tr>
        <w:tblPrEx>
          <w:tblCellMar>
            <w:top w:w="0" w:type="dxa"/>
            <w:left w:w="0" w:type="dxa"/>
            <w:bottom w:w="0" w:type="dxa"/>
            <w:right w:w="0" w:type="dxa"/>
          </w:tblCellMar>
        </w:tblPrEx>
        <w:trPr>
          <w:trHeight w:val="840"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一、基本情况</w:t>
            </w:r>
          </w:p>
        </w:tc>
        <w:tc>
          <w:tcPr>
            <w:tcW w:w="3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项目名称</w:t>
            </w:r>
          </w:p>
        </w:tc>
        <w:tc>
          <w:tcPr>
            <w:tcW w:w="79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2025年度劳动监察大队办案经费县级资金</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项目级次</w:t>
            </w:r>
          </w:p>
        </w:tc>
        <w:tc>
          <w:tcPr>
            <w:tcW w:w="44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本级</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实施主管单位</w:t>
            </w:r>
          </w:p>
        </w:tc>
        <w:tc>
          <w:tcPr>
            <w:tcW w:w="62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317001-正定县人力资源和社会保障局本级</w:t>
            </w:r>
          </w:p>
        </w:tc>
        <w:tc>
          <w:tcPr>
            <w:tcW w:w="5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金额单位</w:t>
            </w:r>
          </w:p>
        </w:tc>
        <w:tc>
          <w:tcPr>
            <w:tcW w:w="3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r>
      <w:tr>
        <w:tblPrEx>
          <w:tblCellMar>
            <w:top w:w="0" w:type="dxa"/>
            <w:left w:w="0" w:type="dxa"/>
            <w:bottom w:w="0" w:type="dxa"/>
            <w:right w:w="0" w:type="dxa"/>
          </w:tblCellMar>
        </w:tblPrEx>
        <w:trPr>
          <w:trHeight w:val="450" w:hRule="atLeast"/>
        </w:trPr>
        <w:tc>
          <w:tcPr>
            <w:tcW w:w="4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二、预算执行</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18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预算安排情况(调整后)</w:t>
            </w: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资金到位情况</w:t>
            </w:r>
          </w:p>
        </w:tc>
        <w:tc>
          <w:tcPr>
            <w:tcW w:w="138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资金执行情况</w:t>
            </w:r>
          </w:p>
        </w:tc>
        <w:tc>
          <w:tcPr>
            <w:tcW w:w="84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预算执行进度(%)</w:t>
            </w:r>
          </w:p>
        </w:tc>
      </w:tr>
      <w:tr>
        <w:tblPrEx>
          <w:tblCellMar>
            <w:top w:w="0" w:type="dxa"/>
            <w:left w:w="0" w:type="dxa"/>
            <w:bottom w:w="0" w:type="dxa"/>
            <w:right w:w="0" w:type="dxa"/>
          </w:tblCellMar>
        </w:tblPrEx>
        <w:trPr>
          <w:trHeight w:val="45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79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预算数</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9.6</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到位数</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9.6</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执行数</w:t>
            </w:r>
          </w:p>
        </w:tc>
        <w:tc>
          <w:tcPr>
            <w:tcW w:w="628"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9.6</w:t>
            </w:r>
          </w:p>
        </w:tc>
        <w:tc>
          <w:tcPr>
            <w:tcW w:w="84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tblPrEx>
          <w:tblCellMar>
            <w:top w:w="0" w:type="dxa"/>
            <w:left w:w="0" w:type="dxa"/>
            <w:bottom w:w="0" w:type="dxa"/>
            <w:right w:w="0" w:type="dxa"/>
          </w:tblCellMar>
        </w:tblPrEx>
        <w:trPr>
          <w:trHeight w:val="45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79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9.6</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9.6</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628"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9.6</w:t>
            </w:r>
          </w:p>
        </w:tc>
        <w:tc>
          <w:tcPr>
            <w:tcW w:w="8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79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628"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8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79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628"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8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79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628"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8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79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628"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8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4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三、目标完成</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年度预期目标</w:t>
            </w:r>
          </w:p>
        </w:tc>
        <w:tc>
          <w:tcPr>
            <w:tcW w:w="182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具体完成情况</w:t>
            </w:r>
          </w:p>
        </w:tc>
        <w:tc>
          <w:tcPr>
            <w:tcW w:w="84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总体完成率(%)</w:t>
            </w:r>
          </w:p>
        </w:tc>
      </w:tr>
      <w:tr>
        <w:tblPrEx>
          <w:tblCellMar>
            <w:top w:w="0" w:type="dxa"/>
            <w:left w:w="0" w:type="dxa"/>
            <w:bottom w:w="0" w:type="dxa"/>
            <w:right w:w="0" w:type="dxa"/>
          </w:tblCellMar>
        </w:tblPrEx>
        <w:trPr>
          <w:trHeight w:val="45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提高劳动监察大队结案率</w:t>
            </w:r>
          </w:p>
        </w:tc>
        <w:tc>
          <w:tcPr>
            <w:tcW w:w="182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84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4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四、年度绩效</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指标完成情况</w:t>
            </w:r>
          </w:p>
        </w:tc>
        <w:tc>
          <w:tcPr>
            <w:tcW w:w="38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一级指标</w:t>
            </w:r>
          </w:p>
        </w:tc>
        <w:tc>
          <w:tcPr>
            <w:tcW w:w="404"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二级指标</w:t>
            </w:r>
          </w:p>
        </w:tc>
        <w:tc>
          <w:tcPr>
            <w:tcW w:w="38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三级指标</w:t>
            </w:r>
          </w:p>
        </w:tc>
        <w:tc>
          <w:tcPr>
            <w:tcW w:w="714"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指标说明</w:t>
            </w:r>
          </w:p>
        </w:tc>
        <w:tc>
          <w:tcPr>
            <w:tcW w:w="440"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指标分值</w:t>
            </w:r>
          </w:p>
        </w:tc>
        <w:tc>
          <w:tcPr>
            <w:tcW w:w="115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预期指标值</w:t>
            </w:r>
          </w:p>
        </w:tc>
        <w:tc>
          <w:tcPr>
            <w:tcW w:w="225"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实际完成值</w:t>
            </w: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完成情况</w:t>
            </w:r>
          </w:p>
        </w:tc>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自评得分</w:t>
            </w:r>
          </w:p>
        </w:tc>
      </w:tr>
      <w:tr>
        <w:tblPrEx>
          <w:tblCellMar>
            <w:top w:w="0" w:type="dxa"/>
            <w:left w:w="0" w:type="dxa"/>
            <w:bottom w:w="0" w:type="dxa"/>
            <w:right w:w="0" w:type="dxa"/>
          </w:tblCellMar>
        </w:tblPrEx>
        <w:trPr>
          <w:trHeight w:val="72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0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71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符号</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值</w:t>
            </w:r>
          </w:p>
        </w:tc>
        <w:tc>
          <w:tcPr>
            <w:tcW w:w="40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单位(文字描述)</w:t>
            </w:r>
          </w:p>
        </w:tc>
        <w:tc>
          <w:tcPr>
            <w:tcW w:w="225"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68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8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产出指标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数量指标</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劳动保障监察受理案件数量</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劳动保障监察受理案件数量</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w:t>
            </w:r>
          </w:p>
        </w:tc>
        <w:tc>
          <w:tcPr>
            <w:tcW w:w="3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300</w:t>
            </w:r>
          </w:p>
        </w:tc>
        <w:tc>
          <w:tcPr>
            <w:tcW w:w="40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件</w:t>
            </w: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2596</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2596</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w:t>
            </w:r>
          </w:p>
        </w:tc>
      </w:tr>
      <w:tr>
        <w:tblPrEx>
          <w:tblCellMar>
            <w:top w:w="0" w:type="dxa"/>
            <w:left w:w="0" w:type="dxa"/>
            <w:bottom w:w="0" w:type="dxa"/>
            <w:right w:w="0" w:type="dxa"/>
          </w:tblCellMar>
        </w:tblPrEx>
        <w:trPr>
          <w:trHeight w:val="68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质量指标</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规模以上企业劳动合同签订率</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规模以上企业劳动合同签订数占应签订数之间的比率</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3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40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77</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77</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13</w:t>
            </w:r>
          </w:p>
        </w:tc>
      </w:tr>
      <w:tr>
        <w:tblPrEx>
          <w:tblCellMar>
            <w:top w:w="0" w:type="dxa"/>
            <w:left w:w="0" w:type="dxa"/>
            <w:bottom w:w="0" w:type="dxa"/>
            <w:right w:w="0" w:type="dxa"/>
          </w:tblCellMar>
        </w:tblPrEx>
        <w:trPr>
          <w:trHeight w:val="68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时效指标</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劳动保障监察案件到期结案率</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已结案的劳动监察案件占劳动监察案件总数的比例</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40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tblPrEx>
          <w:tblCellMar>
            <w:top w:w="0" w:type="dxa"/>
            <w:left w:w="0" w:type="dxa"/>
            <w:bottom w:w="0" w:type="dxa"/>
            <w:right w:w="0" w:type="dxa"/>
          </w:tblCellMar>
        </w:tblPrEx>
        <w:trPr>
          <w:trHeight w:val="68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成本指标</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公车运行维护费</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公车运行维护费</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&lt;</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1.15</w:t>
            </w:r>
          </w:p>
        </w:tc>
        <w:tc>
          <w:tcPr>
            <w:tcW w:w="40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1.15</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1.15</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68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效益指标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社会效益指标</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欠薪案件下降率</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全县年度处理欠薪案件、涉及劳动者人数和金额同比下降</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40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r>
      <w:tr>
        <w:tblPrEx>
          <w:tblCellMar>
            <w:top w:w="0" w:type="dxa"/>
            <w:left w:w="0" w:type="dxa"/>
            <w:bottom w:w="0" w:type="dxa"/>
            <w:right w:w="0" w:type="dxa"/>
          </w:tblCellMar>
        </w:tblPrEx>
        <w:trPr>
          <w:trHeight w:val="68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满意度指标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服务对象满意度指标</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75</w:t>
            </w:r>
          </w:p>
        </w:tc>
        <w:tc>
          <w:tcPr>
            <w:tcW w:w="40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满意</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满意</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68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预算执行率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68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自评总分</w:t>
            </w:r>
          </w:p>
        </w:tc>
        <w:tc>
          <w:tcPr>
            <w:tcW w:w="4181" w:type="pct"/>
            <w:gridSpan w:val="10"/>
            <w:tcBorders>
              <w:top w:val="single" w:color="000000" w:sz="4" w:space="0"/>
              <w:left w:val="single" w:color="000000" w:sz="4" w:space="0"/>
              <w:bottom w:val="single" w:color="000000" w:sz="4" w:space="0"/>
              <w:right w:val="single" w:color="000000" w:sz="4" w:space="0"/>
            </w:tcBorders>
            <w:shd w:val="clear" w:color="auto" w:fill="E9EFF6"/>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96</w:t>
            </w:r>
          </w:p>
        </w:tc>
      </w:tr>
      <w:tr>
        <w:tblPrEx>
          <w:tblCellMar>
            <w:top w:w="0" w:type="dxa"/>
            <w:left w:w="0" w:type="dxa"/>
            <w:bottom w:w="0" w:type="dxa"/>
            <w:right w:w="0" w:type="dxa"/>
          </w:tblCellMar>
        </w:tblPrEx>
        <w:trPr>
          <w:trHeight w:val="450" w:hRule="atLeast"/>
        </w:trPr>
        <w:tc>
          <w:tcPr>
            <w:tcW w:w="4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五、存在问题</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原因及整改措施</w:t>
            </w:r>
          </w:p>
        </w:tc>
        <w:tc>
          <w:tcPr>
            <w:tcW w:w="4570" w:type="pct"/>
            <w:gridSpan w:val="11"/>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w:t>
            </w:r>
          </w:p>
        </w:tc>
      </w:tr>
      <w:tr>
        <w:tblPrEx>
          <w:tblCellMar>
            <w:top w:w="0" w:type="dxa"/>
            <w:left w:w="0" w:type="dxa"/>
            <w:bottom w:w="0" w:type="dxa"/>
            <w:right w:w="0" w:type="dxa"/>
          </w:tblCellMar>
        </w:tblPrEx>
        <w:trPr>
          <w:trHeight w:val="96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570" w:type="pct"/>
            <w:gridSpan w:val="11"/>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r>
    </w:tbl>
    <w:p/>
    <w:p/>
    <w:p/>
    <w:tbl>
      <w:tblPr>
        <w:tblStyle w:val="11"/>
        <w:tblW w:w="5000" w:type="pct"/>
        <w:tblInd w:w="0" w:type="dxa"/>
        <w:shd w:val="clear" w:color="auto" w:fill="auto"/>
        <w:tblLayout w:type="autofit"/>
        <w:tblCellMar>
          <w:top w:w="0" w:type="dxa"/>
          <w:left w:w="0" w:type="dxa"/>
          <w:bottom w:w="0" w:type="dxa"/>
          <w:right w:w="0" w:type="dxa"/>
        </w:tblCellMar>
      </w:tblPr>
      <w:tblGrid>
        <w:gridCol w:w="530"/>
        <w:gridCol w:w="861"/>
        <w:gridCol w:w="1130"/>
        <w:gridCol w:w="1109"/>
        <w:gridCol w:w="1411"/>
        <w:gridCol w:w="572"/>
        <w:gridCol w:w="536"/>
        <w:gridCol w:w="691"/>
        <w:gridCol w:w="483"/>
        <w:gridCol w:w="620"/>
        <w:gridCol w:w="689"/>
        <w:gridCol w:w="470"/>
      </w:tblGrid>
      <w:tr>
        <w:tblPrEx>
          <w:shd w:val="clear" w:color="auto" w:fill="auto"/>
          <w:tblCellMar>
            <w:top w:w="0" w:type="dxa"/>
            <w:left w:w="0" w:type="dxa"/>
            <w:bottom w:w="0" w:type="dxa"/>
            <w:right w:w="0" w:type="dxa"/>
          </w:tblCellMar>
        </w:tblPrEx>
        <w:trPr>
          <w:trHeight w:val="450" w:hRule="atLeast"/>
        </w:trPr>
        <w:tc>
          <w:tcPr>
            <w:tcW w:w="5000" w:type="pct"/>
            <w:gridSpan w:val="12"/>
            <w:vMerge w:val="restar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kern w:val="0"/>
                <w:sz w:val="36"/>
                <w:szCs w:val="36"/>
                <w:u w:val="none"/>
                <w:lang w:val="en-US" w:eastAsia="zh-CN" w:bidi="ar"/>
              </w:rPr>
            </w:pPr>
            <w:r>
              <w:rPr>
                <w:rFonts w:ascii="宋体" w:hAnsi="宋体" w:eastAsia="宋体" w:cs="宋体"/>
                <w:b/>
                <w:i w:val="0"/>
                <w:color w:val="000000"/>
                <w:kern w:val="0"/>
                <w:sz w:val="36"/>
                <w:szCs w:val="36"/>
                <w:u w:val="none"/>
                <w:lang w:val="en-US" w:eastAsia="zh-CN" w:bidi="ar"/>
              </w:rPr>
              <w:t>2025年度预算项目绩效自评表</w:t>
            </w:r>
          </w:p>
          <w:p>
            <w:pPr>
              <w:keepNext w:val="0"/>
              <w:keepLines w:val="0"/>
              <w:widowControl/>
              <w:suppressLineNumbers w:val="0"/>
              <w:jc w:val="center"/>
              <w:textAlignment w:val="center"/>
              <w:rPr>
                <w:rFonts w:hint="default" w:ascii="宋体" w:hAnsi="宋体" w:eastAsia="宋体" w:cs="宋体"/>
                <w:b/>
                <w:i w:val="0"/>
                <w:color w:val="000000"/>
                <w:kern w:val="0"/>
                <w:sz w:val="36"/>
                <w:szCs w:val="36"/>
                <w:u w:val="none"/>
                <w:lang w:val="en-US" w:eastAsia="zh-CN" w:bidi="ar"/>
              </w:rPr>
            </w:pPr>
            <w:r>
              <w:rPr>
                <w:rFonts w:hint="eastAsia" w:ascii="宋体" w:hAnsi="宋体" w:eastAsia="宋体" w:cs="宋体"/>
                <w:b/>
                <w:i w:val="0"/>
                <w:color w:val="000000"/>
                <w:kern w:val="0"/>
                <w:sz w:val="36"/>
                <w:szCs w:val="36"/>
                <w:u w:val="none"/>
                <w:lang w:val="en-US" w:eastAsia="zh-CN" w:bidi="ar"/>
              </w:rPr>
              <w:t>2025年度</w:t>
            </w:r>
          </w:p>
        </w:tc>
      </w:tr>
      <w:tr>
        <w:tblPrEx>
          <w:tblCellMar>
            <w:top w:w="0" w:type="dxa"/>
            <w:left w:w="0" w:type="dxa"/>
            <w:bottom w:w="0" w:type="dxa"/>
            <w:right w:w="0" w:type="dxa"/>
          </w:tblCellMar>
        </w:tblPrEx>
        <w:trPr>
          <w:trHeight w:val="450" w:hRule="atLeast"/>
        </w:trPr>
        <w:tc>
          <w:tcPr>
            <w:tcW w:w="5000" w:type="pct"/>
            <w:gridSpan w:val="12"/>
            <w:vMerge w:val="continue"/>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36"/>
                <w:szCs w:val="36"/>
                <w:u w:val="none"/>
              </w:rPr>
            </w:pPr>
          </w:p>
        </w:tc>
      </w:tr>
      <w:tr>
        <w:tblPrEx>
          <w:tblCellMar>
            <w:top w:w="0" w:type="dxa"/>
            <w:left w:w="0" w:type="dxa"/>
            <w:bottom w:w="0" w:type="dxa"/>
            <w:right w:w="0" w:type="dxa"/>
          </w:tblCellMar>
        </w:tblPrEx>
        <w:trPr>
          <w:trHeight w:val="720"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一、基本情况</w:t>
            </w:r>
          </w:p>
        </w:tc>
        <w:tc>
          <w:tcPr>
            <w:tcW w:w="49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项目名称</w:t>
            </w:r>
          </w:p>
        </w:tc>
        <w:tc>
          <w:tcPr>
            <w:tcW w:w="108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2025年度金保工程光纤及双随机网络费县级资金</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项目级次</w:t>
            </w:r>
          </w:p>
        </w:tc>
        <w:tc>
          <w:tcPr>
            <w:tcW w:w="33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本级</w:t>
            </w:r>
          </w:p>
        </w:tc>
        <w:tc>
          <w:tcPr>
            <w:tcW w:w="70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实施主管单位</w:t>
            </w: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317001-正定县人力资源和社会保障局本级</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金额单位</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r>
      <w:tr>
        <w:tblPrEx>
          <w:tblCellMar>
            <w:top w:w="0" w:type="dxa"/>
            <w:left w:w="0" w:type="dxa"/>
            <w:bottom w:w="0" w:type="dxa"/>
            <w:right w:w="0" w:type="dxa"/>
          </w:tblCellMar>
        </w:tblPrEx>
        <w:trPr>
          <w:trHeight w:val="450" w:hRule="atLeast"/>
        </w:trPr>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二、预算执行</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576"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预算安排情况(调整后)</w:t>
            </w:r>
          </w:p>
        </w:tc>
        <w:tc>
          <w:tcPr>
            <w:tcW w:w="112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资金到位情况</w:t>
            </w:r>
          </w:p>
        </w:tc>
        <w:tc>
          <w:tcPr>
            <w:tcW w:w="1343"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资金执行情况</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预算执行进度(%)</w:t>
            </w: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预算数</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3.3</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到位数</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3.3</w:t>
            </w:r>
          </w:p>
        </w:tc>
        <w:tc>
          <w:tcPr>
            <w:tcW w:w="70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执行数</w:t>
            </w: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1.6</w:t>
            </w:r>
          </w:p>
        </w:tc>
        <w:tc>
          <w:tcPr>
            <w:tcW w:w="64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3.3</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3.3</w:t>
            </w:r>
          </w:p>
        </w:tc>
        <w:tc>
          <w:tcPr>
            <w:tcW w:w="70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1.6</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0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0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0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0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三、目标完成</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2368"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年度预期目标</w:t>
            </w:r>
          </w:p>
        </w:tc>
        <w:tc>
          <w:tcPr>
            <w:tcW w:w="167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具体完成情况</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总体完成率(%)</w:t>
            </w: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2368"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确保金保工程光纤及双随机网络费县级资金</w:t>
            </w:r>
          </w:p>
        </w:tc>
        <w:tc>
          <w:tcPr>
            <w:tcW w:w="167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已完成</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tblPrEx>
          <w:tblCellMar>
            <w:top w:w="0" w:type="dxa"/>
            <w:left w:w="0" w:type="dxa"/>
            <w:bottom w:w="0" w:type="dxa"/>
            <w:right w:w="0" w:type="dxa"/>
          </w:tblCellMar>
        </w:tblPrEx>
        <w:trPr>
          <w:trHeight w:val="450" w:hRule="atLeast"/>
        </w:trPr>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四、年度绩效</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指标完成情况</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一级指标</w:t>
            </w:r>
          </w:p>
        </w:tc>
        <w:tc>
          <w:tcPr>
            <w:tcW w:w="45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二级指标</w:t>
            </w:r>
          </w:p>
        </w:tc>
        <w:tc>
          <w:tcPr>
            <w:tcW w:w="6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三级指标</w:t>
            </w:r>
          </w:p>
        </w:tc>
        <w:tc>
          <w:tcPr>
            <w:tcW w:w="79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指标说明</w:t>
            </w: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指标分值</w:t>
            </w:r>
          </w:p>
        </w:tc>
        <w:tc>
          <w:tcPr>
            <w:tcW w:w="98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预期指标值</w:t>
            </w:r>
          </w:p>
        </w:tc>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实际完成值</w:t>
            </w:r>
          </w:p>
        </w:tc>
        <w:tc>
          <w:tcPr>
            <w:tcW w:w="395"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完成情况</w:t>
            </w:r>
          </w:p>
        </w:tc>
        <w:tc>
          <w:tcPr>
            <w:tcW w:w="25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自评得分</w:t>
            </w: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5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79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符号</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值</w:t>
            </w:r>
          </w:p>
        </w:tc>
        <w:tc>
          <w:tcPr>
            <w:tcW w:w="2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单位(文字描述)</w:t>
            </w:r>
          </w:p>
        </w:tc>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产出指标</w:t>
            </w:r>
          </w:p>
        </w:tc>
        <w:tc>
          <w:tcPr>
            <w:tcW w:w="4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数量指标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综合业务管理工作完成率</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综合业务管理工作完成情况</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95</w:t>
            </w:r>
          </w:p>
        </w:tc>
        <w:tc>
          <w:tcPr>
            <w:tcW w:w="2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tblPrEx>
          <w:tblCellMar>
            <w:top w:w="0" w:type="dxa"/>
            <w:left w:w="0" w:type="dxa"/>
            <w:bottom w:w="0" w:type="dxa"/>
            <w:right w:w="0" w:type="dxa"/>
          </w:tblCellMar>
        </w:tblPrEx>
        <w:trPr>
          <w:trHeight w:val="555"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质量指标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社会保障信息化保障支撑度</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社会保障信息化水平有效支撑社保事务正常开展情况</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2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时效指标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资金支付及时率</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资金支付及时率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2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成本指标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 xml:space="preserve">光纤租赁费用 </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 xml:space="preserve">光纤租赁费用 </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3.3</w:t>
            </w:r>
          </w:p>
        </w:tc>
        <w:tc>
          <w:tcPr>
            <w:tcW w:w="2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c>
          <w:tcPr>
            <w:tcW w:w="3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效益指标</w:t>
            </w:r>
          </w:p>
        </w:tc>
        <w:tc>
          <w:tcPr>
            <w:tcW w:w="4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费用支出增长率</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费用支出增长率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2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无变化</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无变化</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555"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满意度指标</w:t>
            </w:r>
          </w:p>
        </w:tc>
        <w:tc>
          <w:tcPr>
            <w:tcW w:w="4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80</w:t>
            </w:r>
          </w:p>
        </w:tc>
        <w:tc>
          <w:tcPr>
            <w:tcW w:w="2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满意</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满意</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预算执行率</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预算执行率</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7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28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自评总分</w:t>
            </w:r>
          </w:p>
        </w:tc>
        <w:tc>
          <w:tcPr>
            <w:tcW w:w="4200" w:type="pct"/>
            <w:gridSpan w:val="10"/>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tblPrEx>
          <w:tblCellMar>
            <w:top w:w="0" w:type="dxa"/>
            <w:left w:w="0" w:type="dxa"/>
            <w:bottom w:w="0" w:type="dxa"/>
            <w:right w:w="0" w:type="dxa"/>
          </w:tblCellMar>
        </w:tblPrEx>
        <w:trPr>
          <w:trHeight w:val="450" w:hRule="atLeast"/>
        </w:trPr>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五、存在问题</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原因及整改措施</w:t>
            </w:r>
          </w:p>
        </w:tc>
        <w:tc>
          <w:tcPr>
            <w:tcW w:w="4691" w:type="pct"/>
            <w:gridSpan w:val="11"/>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w:t>
            </w:r>
          </w:p>
        </w:tc>
      </w:tr>
      <w:tr>
        <w:tblPrEx>
          <w:tblCellMar>
            <w:top w:w="0" w:type="dxa"/>
            <w:left w:w="0" w:type="dxa"/>
            <w:bottom w:w="0" w:type="dxa"/>
            <w:right w:w="0" w:type="dxa"/>
          </w:tblCellMar>
        </w:tblPrEx>
        <w:trPr>
          <w:trHeight w:val="88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691" w:type="pct"/>
            <w:gridSpan w:val="11"/>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r>
    </w:tbl>
    <w:p/>
    <w:p/>
    <w:p/>
    <w:p/>
    <w:p/>
    <w:p/>
    <w:p/>
    <w:p/>
    <w:p/>
    <w:p/>
    <w:p/>
    <w:p/>
    <w:p/>
    <w:p/>
    <w:p/>
    <w:p/>
    <w:p/>
    <w:p/>
    <w:p/>
    <w:p/>
    <w:tbl>
      <w:tblPr>
        <w:tblStyle w:val="11"/>
        <w:tblW w:w="5000" w:type="pct"/>
        <w:tblInd w:w="0" w:type="dxa"/>
        <w:shd w:val="clear" w:color="auto" w:fill="auto"/>
        <w:tblLayout w:type="autofit"/>
        <w:tblCellMar>
          <w:top w:w="0" w:type="dxa"/>
          <w:left w:w="0" w:type="dxa"/>
          <w:bottom w:w="0" w:type="dxa"/>
          <w:right w:w="0" w:type="dxa"/>
        </w:tblCellMar>
      </w:tblPr>
      <w:tblGrid>
        <w:gridCol w:w="592"/>
        <w:gridCol w:w="461"/>
        <w:gridCol w:w="1130"/>
        <w:gridCol w:w="1060"/>
        <w:gridCol w:w="1190"/>
        <w:gridCol w:w="1020"/>
        <w:gridCol w:w="442"/>
        <w:gridCol w:w="473"/>
        <w:gridCol w:w="700"/>
        <w:gridCol w:w="434"/>
        <w:gridCol w:w="1130"/>
        <w:gridCol w:w="470"/>
      </w:tblGrid>
      <w:tr>
        <w:tblPrEx>
          <w:shd w:val="clear" w:color="auto" w:fill="auto"/>
          <w:tblCellMar>
            <w:top w:w="0" w:type="dxa"/>
            <w:left w:w="0" w:type="dxa"/>
            <w:bottom w:w="0" w:type="dxa"/>
            <w:right w:w="0" w:type="dxa"/>
          </w:tblCellMar>
        </w:tblPrEx>
        <w:trPr>
          <w:trHeight w:val="450" w:hRule="atLeast"/>
        </w:trPr>
        <w:tc>
          <w:tcPr>
            <w:tcW w:w="5000" w:type="pct"/>
            <w:gridSpan w:val="12"/>
            <w:vMerge w:val="restar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36"/>
                <w:szCs w:val="36"/>
                <w:u w:val="none"/>
              </w:rPr>
            </w:pPr>
            <w:r>
              <w:rPr>
                <w:rFonts w:ascii="宋体" w:hAnsi="宋体" w:eastAsia="宋体" w:cs="宋体"/>
                <w:b/>
                <w:i w:val="0"/>
                <w:color w:val="000000"/>
                <w:kern w:val="0"/>
                <w:sz w:val="36"/>
                <w:szCs w:val="36"/>
                <w:u w:val="none"/>
                <w:lang w:val="en-US" w:eastAsia="zh-CN" w:bidi="ar"/>
              </w:rPr>
              <w:t>2025年度预算项目绩效自评表</w:t>
            </w:r>
          </w:p>
        </w:tc>
      </w:tr>
      <w:tr>
        <w:tblPrEx>
          <w:tblCellMar>
            <w:top w:w="0" w:type="dxa"/>
            <w:left w:w="0" w:type="dxa"/>
            <w:bottom w:w="0" w:type="dxa"/>
            <w:right w:w="0" w:type="dxa"/>
          </w:tblCellMar>
        </w:tblPrEx>
        <w:trPr>
          <w:trHeight w:val="450" w:hRule="atLeast"/>
        </w:trPr>
        <w:tc>
          <w:tcPr>
            <w:tcW w:w="5000" w:type="pct"/>
            <w:gridSpan w:val="12"/>
            <w:vMerge w:val="continue"/>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36"/>
                <w:szCs w:val="36"/>
                <w:u w:val="none"/>
              </w:rPr>
            </w:pPr>
          </w:p>
        </w:tc>
      </w:tr>
      <w:tr>
        <w:tblPrEx>
          <w:tblCellMar>
            <w:top w:w="0" w:type="dxa"/>
            <w:left w:w="0" w:type="dxa"/>
            <w:bottom w:w="0" w:type="dxa"/>
            <w:right w:w="0" w:type="dxa"/>
          </w:tblCellMar>
        </w:tblPrEx>
        <w:trPr>
          <w:trHeight w:val="1000" w:hRule="atLeast"/>
        </w:trPr>
        <w:tc>
          <w:tcPr>
            <w:tcW w:w="391"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一、基本情况</w:t>
            </w:r>
          </w:p>
        </w:tc>
        <w:tc>
          <w:tcPr>
            <w:tcW w:w="319"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项目名称</w:t>
            </w:r>
          </w:p>
        </w:tc>
        <w:tc>
          <w:tcPr>
            <w:tcW w:w="987"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2025年度促进高校毕业生就业专项资金县级资金</w:t>
            </w:r>
          </w:p>
        </w:tc>
        <w:tc>
          <w:tcPr>
            <w:tcW w:w="719"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项目级次</w:t>
            </w:r>
          </w:p>
        </w:tc>
        <w:tc>
          <w:tcPr>
            <w:tcW w:w="445"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本级</w:t>
            </w:r>
          </w:p>
        </w:tc>
        <w:tc>
          <w:tcPr>
            <w:tcW w:w="633"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实施主管单位</w:t>
            </w:r>
          </w:p>
        </w:tc>
        <w:tc>
          <w:tcPr>
            <w:tcW w:w="752"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317001-正定县人力资源和社会保障局本级</w:t>
            </w:r>
          </w:p>
        </w:tc>
        <w:tc>
          <w:tcPr>
            <w:tcW w:w="441"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金额单位</w:t>
            </w:r>
          </w:p>
        </w:tc>
        <w:tc>
          <w:tcPr>
            <w:tcW w:w="308"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r>
      <w:tr>
        <w:tblPrEx>
          <w:tblCellMar>
            <w:top w:w="0" w:type="dxa"/>
            <w:left w:w="0" w:type="dxa"/>
            <w:bottom w:w="0" w:type="dxa"/>
            <w:right w:w="0" w:type="dxa"/>
          </w:tblCellMar>
        </w:tblPrEx>
        <w:trPr>
          <w:trHeight w:val="450" w:hRule="atLeast"/>
        </w:trPr>
        <w:tc>
          <w:tcPr>
            <w:tcW w:w="391" w:type="pct"/>
            <w:vMerge w:val="restar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二、预算执行</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307" w:type="pct"/>
            <w:gridSpan w:val="3"/>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预算安排情况(调整后)</w:t>
            </w:r>
          </w:p>
        </w:tc>
        <w:tc>
          <w:tcPr>
            <w:tcW w:w="1164"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资金到位情况</w:t>
            </w:r>
          </w:p>
        </w:tc>
        <w:tc>
          <w:tcPr>
            <w:tcW w:w="1385" w:type="pct"/>
            <w:gridSpan w:val="4"/>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资金执行情况</w:t>
            </w:r>
          </w:p>
        </w:tc>
        <w:tc>
          <w:tcPr>
            <w:tcW w:w="750"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预算执行进度(%)</w:t>
            </w:r>
          </w:p>
        </w:tc>
      </w:tr>
      <w:tr>
        <w:tblPrEx>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59"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预算数</w:t>
            </w:r>
          </w:p>
        </w:tc>
        <w:tc>
          <w:tcPr>
            <w:tcW w:w="648"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29.684542</w:t>
            </w:r>
          </w:p>
        </w:tc>
        <w:tc>
          <w:tcPr>
            <w:tcW w:w="719"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到位数</w:t>
            </w:r>
          </w:p>
        </w:tc>
        <w:tc>
          <w:tcPr>
            <w:tcW w:w="445"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29.684542</w:t>
            </w:r>
          </w:p>
        </w:tc>
        <w:tc>
          <w:tcPr>
            <w:tcW w:w="633"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执行数</w:t>
            </w:r>
          </w:p>
        </w:tc>
        <w:tc>
          <w:tcPr>
            <w:tcW w:w="752" w:type="pct"/>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29.684542</w:t>
            </w:r>
          </w:p>
        </w:tc>
        <w:tc>
          <w:tcPr>
            <w:tcW w:w="750" w:type="pct"/>
            <w:gridSpan w:val="2"/>
            <w:vMerge w:val="restar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tblPrEx>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59"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648"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29.684542</w:t>
            </w:r>
          </w:p>
        </w:tc>
        <w:tc>
          <w:tcPr>
            <w:tcW w:w="719"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445"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29.684542</w:t>
            </w:r>
          </w:p>
        </w:tc>
        <w:tc>
          <w:tcPr>
            <w:tcW w:w="633"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752" w:type="pct"/>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29.684542</w:t>
            </w:r>
          </w:p>
        </w:tc>
        <w:tc>
          <w:tcPr>
            <w:tcW w:w="750" w:type="pct"/>
            <w:gridSpan w:val="2"/>
            <w:vMerge w:val="continue"/>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59"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648"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9"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445"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33"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752" w:type="pct"/>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0" w:type="pct"/>
            <w:gridSpan w:val="2"/>
            <w:vMerge w:val="continue"/>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59"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648"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9"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445"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33"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752" w:type="pct"/>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0" w:type="pct"/>
            <w:gridSpan w:val="2"/>
            <w:vMerge w:val="continue"/>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59"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648"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9"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445"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33"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752" w:type="pct"/>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0" w:type="pct"/>
            <w:gridSpan w:val="2"/>
            <w:vMerge w:val="continue"/>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59"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648"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9"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445"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33"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752" w:type="pct"/>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0" w:type="pct"/>
            <w:gridSpan w:val="2"/>
            <w:vMerge w:val="continue"/>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91" w:type="pct"/>
            <w:vMerge w:val="restar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三、目标完成</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2026" w:type="pct"/>
            <w:gridSpan w:val="4"/>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年度预期目标</w:t>
            </w:r>
          </w:p>
        </w:tc>
        <w:tc>
          <w:tcPr>
            <w:tcW w:w="1831" w:type="pct"/>
            <w:gridSpan w:val="5"/>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具体完成情况</w:t>
            </w:r>
          </w:p>
        </w:tc>
        <w:tc>
          <w:tcPr>
            <w:tcW w:w="750" w:type="pct"/>
            <w:gridSpan w:val="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总体完成率(%)</w:t>
            </w:r>
          </w:p>
        </w:tc>
      </w:tr>
      <w:tr>
        <w:tblPrEx>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2026" w:type="pct"/>
            <w:gridSpan w:val="4"/>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促进我县高校毕业生就业</w:t>
            </w:r>
          </w:p>
        </w:tc>
        <w:tc>
          <w:tcPr>
            <w:tcW w:w="1831" w:type="pct"/>
            <w:gridSpan w:val="5"/>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已完成</w:t>
            </w:r>
          </w:p>
        </w:tc>
        <w:tc>
          <w:tcPr>
            <w:tcW w:w="750" w:type="pct"/>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tblPrEx>
          <w:tblCellMar>
            <w:top w:w="0" w:type="dxa"/>
            <w:left w:w="0" w:type="dxa"/>
            <w:bottom w:w="0" w:type="dxa"/>
            <w:right w:w="0" w:type="dxa"/>
          </w:tblCellMar>
        </w:tblPrEx>
        <w:trPr>
          <w:trHeight w:val="450" w:hRule="atLeast"/>
        </w:trPr>
        <w:tc>
          <w:tcPr>
            <w:tcW w:w="391" w:type="pct"/>
            <w:vMerge w:val="restar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四、年度绩效</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指标完成情况</w:t>
            </w:r>
          </w:p>
        </w:tc>
        <w:tc>
          <w:tcPr>
            <w:tcW w:w="319" w:type="pct"/>
            <w:vMerge w:val="restar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一级指标</w:t>
            </w:r>
          </w:p>
        </w:tc>
        <w:tc>
          <w:tcPr>
            <w:tcW w:w="339" w:type="pct"/>
            <w:vMerge w:val="restar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二级指标</w:t>
            </w:r>
          </w:p>
        </w:tc>
        <w:tc>
          <w:tcPr>
            <w:tcW w:w="648" w:type="pct"/>
            <w:vMerge w:val="restar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三级指标</w:t>
            </w:r>
          </w:p>
        </w:tc>
        <w:tc>
          <w:tcPr>
            <w:tcW w:w="719" w:type="pct"/>
            <w:vMerge w:val="restar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指标说明</w:t>
            </w:r>
          </w:p>
        </w:tc>
        <w:tc>
          <w:tcPr>
            <w:tcW w:w="445" w:type="pct"/>
            <w:vMerge w:val="restar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指标分值</w:t>
            </w:r>
          </w:p>
        </w:tc>
        <w:tc>
          <w:tcPr>
            <w:tcW w:w="1083" w:type="pct"/>
            <w:gridSpan w:val="3"/>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预期指标值</w:t>
            </w:r>
          </w:p>
        </w:tc>
        <w:tc>
          <w:tcPr>
            <w:tcW w:w="301" w:type="pct"/>
            <w:vMerge w:val="restar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实际完成值</w:t>
            </w:r>
          </w:p>
        </w:tc>
        <w:tc>
          <w:tcPr>
            <w:tcW w:w="441" w:type="pct"/>
            <w:vMerge w:val="restar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完成情况</w:t>
            </w:r>
          </w:p>
        </w:tc>
        <w:tc>
          <w:tcPr>
            <w:tcW w:w="308" w:type="pct"/>
            <w:vMerge w:val="restar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自评得分</w:t>
            </w:r>
          </w:p>
        </w:tc>
      </w:tr>
      <w:tr>
        <w:tblPrEx>
          <w:tblCellMar>
            <w:top w:w="0" w:type="dxa"/>
            <w:left w:w="0" w:type="dxa"/>
            <w:bottom w:w="0" w:type="dxa"/>
            <w:right w:w="0" w:type="dxa"/>
          </w:tblCellMar>
        </w:tblPrEx>
        <w:trPr>
          <w:trHeight w:val="68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19"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39"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48"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719"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45"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08"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符号</w:t>
            </w:r>
          </w:p>
        </w:tc>
        <w:tc>
          <w:tcPr>
            <w:tcW w:w="324"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值</w:t>
            </w:r>
          </w:p>
        </w:tc>
        <w:tc>
          <w:tcPr>
            <w:tcW w:w="450"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单位(文字描述)</w:t>
            </w:r>
          </w:p>
        </w:tc>
        <w:tc>
          <w:tcPr>
            <w:tcW w:w="30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4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08"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555"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19" w:type="pct"/>
            <w:vMerge w:val="restar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产出指标</w:t>
            </w:r>
          </w:p>
        </w:tc>
        <w:tc>
          <w:tcPr>
            <w:tcW w:w="33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数量指标</w:t>
            </w:r>
          </w:p>
        </w:tc>
        <w:tc>
          <w:tcPr>
            <w:tcW w:w="64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享受岗位补贴人数</w:t>
            </w:r>
          </w:p>
        </w:tc>
        <w:tc>
          <w:tcPr>
            <w:tcW w:w="71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基层岗位人员享受岗位补贴人数</w:t>
            </w:r>
          </w:p>
        </w:tc>
        <w:tc>
          <w:tcPr>
            <w:tcW w:w="445"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0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24"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450"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w:t>
            </w:r>
          </w:p>
        </w:tc>
        <w:tc>
          <w:tcPr>
            <w:tcW w:w="301"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7</w:t>
            </w:r>
          </w:p>
        </w:tc>
        <w:tc>
          <w:tcPr>
            <w:tcW w:w="441"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7</w:t>
            </w:r>
          </w:p>
        </w:tc>
        <w:tc>
          <w:tcPr>
            <w:tcW w:w="308"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tblPrEx>
          <w:tblCellMar>
            <w:top w:w="0" w:type="dxa"/>
            <w:left w:w="0" w:type="dxa"/>
            <w:bottom w:w="0" w:type="dxa"/>
            <w:right w:w="0" w:type="dxa"/>
          </w:tblCellMar>
        </w:tblPrEx>
        <w:trPr>
          <w:trHeight w:val="555"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19"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3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质量指标</w:t>
            </w:r>
          </w:p>
        </w:tc>
        <w:tc>
          <w:tcPr>
            <w:tcW w:w="64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高校毕业生招聘会达成意向人数</w:t>
            </w:r>
          </w:p>
        </w:tc>
        <w:tc>
          <w:tcPr>
            <w:tcW w:w="71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高校毕业生招聘会达成意向人数</w:t>
            </w:r>
          </w:p>
        </w:tc>
        <w:tc>
          <w:tcPr>
            <w:tcW w:w="445"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0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24"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450"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w:t>
            </w:r>
          </w:p>
        </w:tc>
        <w:tc>
          <w:tcPr>
            <w:tcW w:w="301"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7</w:t>
            </w:r>
          </w:p>
        </w:tc>
        <w:tc>
          <w:tcPr>
            <w:tcW w:w="441"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7</w:t>
            </w:r>
          </w:p>
        </w:tc>
        <w:tc>
          <w:tcPr>
            <w:tcW w:w="308"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tblPrEx>
          <w:tblCellMar>
            <w:top w:w="0" w:type="dxa"/>
            <w:left w:w="0" w:type="dxa"/>
            <w:bottom w:w="0" w:type="dxa"/>
            <w:right w:w="0" w:type="dxa"/>
          </w:tblCellMar>
        </w:tblPrEx>
        <w:trPr>
          <w:trHeight w:val="555"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19"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3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时效指标</w:t>
            </w:r>
          </w:p>
        </w:tc>
        <w:tc>
          <w:tcPr>
            <w:tcW w:w="64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补贴资金在规定时间内支付到位率</w:t>
            </w:r>
          </w:p>
        </w:tc>
        <w:tc>
          <w:tcPr>
            <w:tcW w:w="71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按月发放岗位补贴及社保补贴</w:t>
            </w:r>
          </w:p>
        </w:tc>
        <w:tc>
          <w:tcPr>
            <w:tcW w:w="445"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30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24"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450"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01"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按要求完成</w:t>
            </w:r>
          </w:p>
        </w:tc>
        <w:tc>
          <w:tcPr>
            <w:tcW w:w="441"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按要求完成</w:t>
            </w:r>
          </w:p>
        </w:tc>
        <w:tc>
          <w:tcPr>
            <w:tcW w:w="308"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tblPrEx>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19"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3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成本指标</w:t>
            </w:r>
          </w:p>
        </w:tc>
        <w:tc>
          <w:tcPr>
            <w:tcW w:w="64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每人补贴金额</w:t>
            </w:r>
          </w:p>
        </w:tc>
        <w:tc>
          <w:tcPr>
            <w:tcW w:w="71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每人补贴金额</w:t>
            </w:r>
          </w:p>
        </w:tc>
        <w:tc>
          <w:tcPr>
            <w:tcW w:w="445"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30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24"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2200</w:t>
            </w:r>
          </w:p>
        </w:tc>
        <w:tc>
          <w:tcPr>
            <w:tcW w:w="450"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元</w:t>
            </w:r>
          </w:p>
        </w:tc>
        <w:tc>
          <w:tcPr>
            <w:tcW w:w="301"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按要求完成</w:t>
            </w:r>
          </w:p>
        </w:tc>
        <w:tc>
          <w:tcPr>
            <w:tcW w:w="441"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按要求完成</w:t>
            </w:r>
          </w:p>
        </w:tc>
        <w:tc>
          <w:tcPr>
            <w:tcW w:w="308"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tblPrEx>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19"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效益指标</w:t>
            </w:r>
          </w:p>
        </w:tc>
        <w:tc>
          <w:tcPr>
            <w:tcW w:w="33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社会效益指标</w:t>
            </w:r>
          </w:p>
        </w:tc>
        <w:tc>
          <w:tcPr>
            <w:tcW w:w="64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发放公益性岗位补贴金额</w:t>
            </w:r>
          </w:p>
        </w:tc>
        <w:tc>
          <w:tcPr>
            <w:tcW w:w="71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岗位补贴金额</w:t>
            </w:r>
          </w:p>
        </w:tc>
        <w:tc>
          <w:tcPr>
            <w:tcW w:w="445"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0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24"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450"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c>
          <w:tcPr>
            <w:tcW w:w="301"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按要求完成</w:t>
            </w:r>
          </w:p>
        </w:tc>
        <w:tc>
          <w:tcPr>
            <w:tcW w:w="441"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按要求完成</w:t>
            </w:r>
          </w:p>
        </w:tc>
        <w:tc>
          <w:tcPr>
            <w:tcW w:w="308"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555"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19"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满意度指标</w:t>
            </w:r>
          </w:p>
        </w:tc>
        <w:tc>
          <w:tcPr>
            <w:tcW w:w="33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服务对象满意度指标</w:t>
            </w:r>
          </w:p>
        </w:tc>
        <w:tc>
          <w:tcPr>
            <w:tcW w:w="64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公共就业服务满意度</w:t>
            </w:r>
          </w:p>
        </w:tc>
        <w:tc>
          <w:tcPr>
            <w:tcW w:w="71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调查服务对象满意度</w:t>
            </w:r>
          </w:p>
        </w:tc>
        <w:tc>
          <w:tcPr>
            <w:tcW w:w="445"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0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24"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85</w:t>
            </w:r>
          </w:p>
        </w:tc>
        <w:tc>
          <w:tcPr>
            <w:tcW w:w="450"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01"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441"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308"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19"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预算执行率</w:t>
            </w:r>
          </w:p>
        </w:tc>
        <w:tc>
          <w:tcPr>
            <w:tcW w:w="339" w:type="pct"/>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预算执行率</w:t>
            </w:r>
          </w:p>
        </w:tc>
        <w:tc>
          <w:tcPr>
            <w:tcW w:w="648" w:type="pct"/>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719" w:type="pct"/>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45"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08" w:type="pct"/>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24" w:type="pct"/>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50" w:type="pct"/>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01" w:type="pct"/>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41" w:type="pct"/>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08"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19"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自评总分</w:t>
            </w:r>
          </w:p>
        </w:tc>
        <w:tc>
          <w:tcPr>
            <w:tcW w:w="4288" w:type="pct"/>
            <w:gridSpan w:val="10"/>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tblPrEx>
          <w:tblCellMar>
            <w:top w:w="0" w:type="dxa"/>
            <w:left w:w="0" w:type="dxa"/>
            <w:bottom w:w="0" w:type="dxa"/>
            <w:right w:w="0" w:type="dxa"/>
          </w:tblCellMar>
        </w:tblPrEx>
        <w:trPr>
          <w:trHeight w:val="450" w:hRule="atLeast"/>
        </w:trPr>
        <w:tc>
          <w:tcPr>
            <w:tcW w:w="391" w:type="pct"/>
            <w:vMerge w:val="restar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五、存在问题</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原因及整改措施</w:t>
            </w:r>
          </w:p>
        </w:tc>
        <w:tc>
          <w:tcPr>
            <w:tcW w:w="4608" w:type="pct"/>
            <w:gridSpan w:val="11"/>
            <w:vMerge w:val="restar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w:t>
            </w:r>
          </w:p>
        </w:tc>
      </w:tr>
      <w:tr>
        <w:tblPrEx>
          <w:tblCellMar>
            <w:top w:w="0" w:type="dxa"/>
            <w:left w:w="0" w:type="dxa"/>
            <w:bottom w:w="0" w:type="dxa"/>
            <w:right w:w="0" w:type="dxa"/>
          </w:tblCellMar>
        </w:tblPrEx>
        <w:trPr>
          <w:trHeight w:val="74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608" w:type="pct"/>
            <w:gridSpan w:val="11"/>
            <w:vMerge w:val="continue"/>
            <w:tcBorders>
              <w:top w:val="nil"/>
              <w:left w:val="nil"/>
              <w:bottom w:val="nil"/>
              <w:right w:val="nil"/>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r>
    </w:tbl>
    <w:p/>
    <w:p/>
    <w:p/>
    <w:tbl>
      <w:tblPr>
        <w:tblStyle w:val="11"/>
        <w:tblW w:w="5000" w:type="pct"/>
        <w:tblInd w:w="0" w:type="dxa"/>
        <w:shd w:val="clear" w:color="auto" w:fill="auto"/>
        <w:tblLayout w:type="autofit"/>
        <w:tblCellMar>
          <w:top w:w="0" w:type="dxa"/>
          <w:left w:w="0" w:type="dxa"/>
          <w:bottom w:w="0" w:type="dxa"/>
          <w:right w:w="0" w:type="dxa"/>
        </w:tblCellMar>
      </w:tblPr>
      <w:tblGrid>
        <w:gridCol w:w="530"/>
        <w:gridCol w:w="553"/>
        <w:gridCol w:w="1130"/>
        <w:gridCol w:w="1039"/>
        <w:gridCol w:w="1122"/>
        <w:gridCol w:w="634"/>
        <w:gridCol w:w="472"/>
        <w:gridCol w:w="667"/>
        <w:gridCol w:w="567"/>
        <w:gridCol w:w="709"/>
        <w:gridCol w:w="1130"/>
        <w:gridCol w:w="549"/>
      </w:tblGrid>
      <w:tr>
        <w:tblPrEx>
          <w:shd w:val="clear" w:color="auto" w:fill="auto"/>
          <w:tblCellMar>
            <w:top w:w="0" w:type="dxa"/>
            <w:left w:w="0" w:type="dxa"/>
            <w:bottom w:w="0" w:type="dxa"/>
            <w:right w:w="0" w:type="dxa"/>
          </w:tblCellMar>
        </w:tblPrEx>
        <w:trPr>
          <w:trHeight w:val="450" w:hRule="atLeast"/>
        </w:trPr>
        <w:tc>
          <w:tcPr>
            <w:tcW w:w="5000" w:type="pct"/>
            <w:gridSpan w:val="12"/>
            <w:vMerge w:val="restar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36"/>
                <w:szCs w:val="36"/>
                <w:u w:val="none"/>
              </w:rPr>
            </w:pPr>
            <w:r>
              <w:rPr>
                <w:rFonts w:ascii="宋体" w:hAnsi="宋体" w:eastAsia="宋体" w:cs="宋体"/>
                <w:b/>
                <w:i w:val="0"/>
                <w:color w:val="000000"/>
                <w:kern w:val="0"/>
                <w:sz w:val="36"/>
                <w:szCs w:val="36"/>
                <w:u w:val="none"/>
                <w:lang w:val="en-US" w:eastAsia="zh-CN" w:bidi="ar"/>
              </w:rPr>
              <w:t>2025年度预算项目绩效自评表</w:t>
            </w:r>
          </w:p>
        </w:tc>
      </w:tr>
      <w:tr>
        <w:tblPrEx>
          <w:tblCellMar>
            <w:top w:w="0" w:type="dxa"/>
            <w:left w:w="0" w:type="dxa"/>
            <w:bottom w:w="0" w:type="dxa"/>
            <w:right w:w="0" w:type="dxa"/>
          </w:tblCellMar>
        </w:tblPrEx>
        <w:trPr>
          <w:trHeight w:val="450" w:hRule="atLeast"/>
        </w:trPr>
        <w:tc>
          <w:tcPr>
            <w:tcW w:w="5000" w:type="pct"/>
            <w:gridSpan w:val="12"/>
            <w:vMerge w:val="continue"/>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36"/>
                <w:szCs w:val="36"/>
                <w:u w:val="none"/>
              </w:rPr>
            </w:pPr>
          </w:p>
        </w:tc>
      </w:tr>
      <w:tr>
        <w:tblPrEx>
          <w:tblCellMar>
            <w:top w:w="0" w:type="dxa"/>
            <w:left w:w="0" w:type="dxa"/>
            <w:bottom w:w="0" w:type="dxa"/>
            <w:right w:w="0" w:type="dxa"/>
          </w:tblCellMar>
        </w:tblPrEx>
        <w:trPr>
          <w:trHeight w:val="72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一、基本情况</w:t>
            </w:r>
          </w:p>
        </w:tc>
        <w:tc>
          <w:tcPr>
            <w:tcW w:w="3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项目名称</w:t>
            </w:r>
          </w:p>
        </w:tc>
        <w:tc>
          <w:tcPr>
            <w:tcW w:w="108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2025年度机关事业单位工作人员年度考核奖励经费县级资金</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项目级次</w:t>
            </w:r>
          </w:p>
        </w:tc>
        <w:tc>
          <w:tcPr>
            <w:tcW w:w="3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本级</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实施主管单位</w:t>
            </w:r>
          </w:p>
        </w:tc>
        <w:tc>
          <w:tcPr>
            <w:tcW w:w="77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317001-正定县人力资源和社会保障局本级</w:t>
            </w:r>
          </w:p>
        </w:tc>
        <w:tc>
          <w:tcPr>
            <w:tcW w:w="37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金额单位</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r>
      <w:tr>
        <w:tblPrEx>
          <w:tblCellMar>
            <w:top w:w="0" w:type="dxa"/>
            <w:left w:w="0" w:type="dxa"/>
            <w:bottom w:w="0" w:type="dxa"/>
            <w:right w:w="0" w:type="dxa"/>
          </w:tblCellMar>
        </w:tblPrEx>
        <w:trPr>
          <w:trHeight w:val="450" w:hRule="atLeast"/>
        </w:trPr>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二、预算执行</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42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预算安排情况(调整后)</w:t>
            </w:r>
          </w:p>
        </w:tc>
        <w:tc>
          <w:tcPr>
            <w:tcW w:w="104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资金到位情况</w:t>
            </w:r>
          </w:p>
        </w:tc>
        <w:tc>
          <w:tcPr>
            <w:tcW w:w="1483"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资金执行情况</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预算执行进度(%)</w:t>
            </w:r>
          </w:p>
        </w:tc>
      </w:tr>
      <w:tr>
        <w:tblPrEx>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81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预算数</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256.2</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到位数</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256.2</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执行数</w:t>
            </w:r>
          </w:p>
        </w:tc>
        <w:tc>
          <w:tcPr>
            <w:tcW w:w="77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256.2</w:t>
            </w:r>
          </w:p>
        </w:tc>
        <w:tc>
          <w:tcPr>
            <w:tcW w:w="71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tblPrEx>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81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256.2</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256.2</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77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256.2</w:t>
            </w:r>
          </w:p>
        </w:tc>
        <w:tc>
          <w:tcPr>
            <w:tcW w:w="71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81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77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81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77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81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77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81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77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三、目标完成</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208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年度预期目标</w:t>
            </w:r>
          </w:p>
        </w:tc>
        <w:tc>
          <w:tcPr>
            <w:tcW w:w="1872"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具体完成情况</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总体完成率(%)</w:t>
            </w:r>
          </w:p>
        </w:tc>
      </w:tr>
      <w:tr>
        <w:tblPrEx>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208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提高机关单位工作人员依法行政的能力</w:t>
            </w:r>
          </w:p>
        </w:tc>
        <w:tc>
          <w:tcPr>
            <w:tcW w:w="1872"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已完成</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tblPrEx>
          <w:tblCellMar>
            <w:top w:w="0" w:type="dxa"/>
            <w:left w:w="0" w:type="dxa"/>
            <w:bottom w:w="0" w:type="dxa"/>
            <w:right w:w="0" w:type="dxa"/>
          </w:tblCellMar>
        </w:tblPrEx>
        <w:trPr>
          <w:trHeight w:val="450" w:hRule="atLeast"/>
        </w:trPr>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四、年度绩效</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指标完成情况</w:t>
            </w:r>
          </w:p>
        </w:tc>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一级指标</w:t>
            </w:r>
          </w:p>
        </w:tc>
        <w:tc>
          <w:tcPr>
            <w:tcW w:w="47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二级指标</w:t>
            </w:r>
          </w:p>
        </w:tc>
        <w:tc>
          <w:tcPr>
            <w:tcW w:w="61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三级指标</w:t>
            </w:r>
          </w:p>
        </w:tc>
        <w:tc>
          <w:tcPr>
            <w:tcW w:w="655"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指标说明</w:t>
            </w:r>
          </w:p>
        </w:tc>
        <w:tc>
          <w:tcPr>
            <w:tcW w:w="38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指标分值</w:t>
            </w:r>
          </w:p>
        </w:tc>
        <w:tc>
          <w:tcPr>
            <w:tcW w:w="1056"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预期指标值</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实际完成值</w:t>
            </w:r>
          </w:p>
        </w:tc>
        <w:tc>
          <w:tcPr>
            <w:tcW w:w="37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完成情况</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自评得分</w:t>
            </w:r>
          </w:p>
        </w:tc>
      </w:tr>
      <w:tr>
        <w:tblPrEx>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1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符号</w:t>
            </w:r>
          </w:p>
        </w:tc>
        <w:tc>
          <w:tcPr>
            <w:tcW w:w="40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值</w:t>
            </w:r>
          </w:p>
        </w:tc>
        <w:tc>
          <w:tcPr>
            <w:tcW w:w="35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单位(文字描述)</w:t>
            </w: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81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产出指标</w:t>
            </w:r>
          </w:p>
        </w:tc>
        <w:tc>
          <w:tcPr>
            <w:tcW w:w="47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数量指标</w:t>
            </w:r>
          </w:p>
        </w:tc>
        <w:tc>
          <w:tcPr>
            <w:tcW w:w="6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事业单位考核完成率</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事业单位考核、奖惩、申诉控告、岗位统计等工作完成情况与计划完成情况相比较</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2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35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tblPrEx>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质量指标</w:t>
            </w:r>
          </w:p>
        </w:tc>
        <w:tc>
          <w:tcPr>
            <w:tcW w:w="6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受考核奖励人数</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年度内受考核奖励人数</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2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1000</w:t>
            </w:r>
          </w:p>
        </w:tc>
        <w:tc>
          <w:tcPr>
            <w:tcW w:w="35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w:t>
            </w:r>
          </w:p>
        </w:tc>
        <w:tc>
          <w:tcPr>
            <w:tcW w:w="4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tblPrEx>
          <w:tblCellMar>
            <w:top w:w="0" w:type="dxa"/>
            <w:left w:w="0" w:type="dxa"/>
            <w:bottom w:w="0" w:type="dxa"/>
            <w:right w:w="0" w:type="dxa"/>
          </w:tblCellMar>
        </w:tblPrEx>
        <w:trPr>
          <w:trHeight w:val="81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时效指标</w:t>
            </w:r>
          </w:p>
        </w:tc>
        <w:tc>
          <w:tcPr>
            <w:tcW w:w="6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事业单位考核按期完成率</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事业单位考核、奖惩、申诉控告、岗位统计等工作完成时间与计划完成时间相比较</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2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35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tblPrEx>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成本指标</w:t>
            </w:r>
          </w:p>
        </w:tc>
        <w:tc>
          <w:tcPr>
            <w:tcW w:w="6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人均奖励金额</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人均奖励金额</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2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1000</w:t>
            </w:r>
          </w:p>
        </w:tc>
        <w:tc>
          <w:tcPr>
            <w:tcW w:w="35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元</w:t>
            </w:r>
          </w:p>
        </w:tc>
        <w:tc>
          <w:tcPr>
            <w:tcW w:w="4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tblPrEx>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效益指标</w:t>
            </w:r>
          </w:p>
        </w:tc>
        <w:tc>
          <w:tcPr>
            <w:tcW w:w="47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社会效益指标</w:t>
            </w:r>
          </w:p>
        </w:tc>
        <w:tc>
          <w:tcPr>
            <w:tcW w:w="6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提高效率</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提高效率</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2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35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555"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满意度指标</w:t>
            </w:r>
          </w:p>
        </w:tc>
        <w:tc>
          <w:tcPr>
            <w:tcW w:w="47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服务对象满意度指标</w:t>
            </w:r>
          </w:p>
        </w:tc>
        <w:tc>
          <w:tcPr>
            <w:tcW w:w="6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相关单位人员满意度</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相关单位人员对人事管理工作的满意情况</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2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80</w:t>
            </w:r>
          </w:p>
        </w:tc>
        <w:tc>
          <w:tcPr>
            <w:tcW w:w="35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预算执行率</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预算执行率</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自评总分</w:t>
            </w:r>
          </w:p>
        </w:tc>
        <w:tc>
          <w:tcPr>
            <w:tcW w:w="4323" w:type="pct"/>
            <w:gridSpan w:val="10"/>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tblPrEx>
          <w:tblCellMar>
            <w:top w:w="0" w:type="dxa"/>
            <w:left w:w="0" w:type="dxa"/>
            <w:bottom w:w="0" w:type="dxa"/>
            <w:right w:w="0" w:type="dxa"/>
          </w:tblCellMar>
        </w:tblPrEx>
        <w:trPr>
          <w:trHeight w:val="450" w:hRule="atLeast"/>
        </w:trPr>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五、存在问题</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原因及整改措施</w:t>
            </w:r>
          </w:p>
        </w:tc>
        <w:tc>
          <w:tcPr>
            <w:tcW w:w="4668" w:type="pct"/>
            <w:gridSpan w:val="11"/>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w:t>
            </w:r>
          </w:p>
        </w:tc>
      </w:tr>
      <w:tr>
        <w:tblPrEx>
          <w:tblCellMar>
            <w:top w:w="0" w:type="dxa"/>
            <w:left w:w="0" w:type="dxa"/>
            <w:bottom w:w="0" w:type="dxa"/>
            <w:right w:w="0" w:type="dxa"/>
          </w:tblCellMar>
        </w:tblPrEx>
        <w:trPr>
          <w:trHeight w:val="82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668" w:type="pct"/>
            <w:gridSpan w:val="11"/>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r>
    </w:tbl>
    <w:p/>
    <w:p/>
    <w:p/>
    <w:p/>
    <w:p/>
    <w:p/>
    <w:p/>
    <w:p/>
    <w:p/>
    <w:p/>
    <w:tbl>
      <w:tblPr>
        <w:tblStyle w:val="11"/>
        <w:tblW w:w="5000" w:type="pct"/>
        <w:tblInd w:w="0" w:type="dxa"/>
        <w:shd w:val="clear" w:color="auto" w:fill="auto"/>
        <w:tblLayout w:type="autofit"/>
        <w:tblCellMar>
          <w:top w:w="0" w:type="dxa"/>
          <w:left w:w="0" w:type="dxa"/>
          <w:bottom w:w="0" w:type="dxa"/>
          <w:right w:w="0" w:type="dxa"/>
        </w:tblCellMar>
      </w:tblPr>
      <w:tblGrid>
        <w:gridCol w:w="655"/>
        <w:gridCol w:w="635"/>
        <w:gridCol w:w="1130"/>
        <w:gridCol w:w="750"/>
        <w:gridCol w:w="1165"/>
        <w:gridCol w:w="817"/>
        <w:gridCol w:w="642"/>
        <w:gridCol w:w="598"/>
        <w:gridCol w:w="875"/>
        <w:gridCol w:w="485"/>
        <w:gridCol w:w="676"/>
        <w:gridCol w:w="674"/>
      </w:tblGrid>
      <w:tr>
        <w:tblPrEx>
          <w:shd w:val="clear" w:color="auto" w:fill="auto"/>
          <w:tblCellMar>
            <w:top w:w="0" w:type="dxa"/>
            <w:left w:w="0" w:type="dxa"/>
            <w:bottom w:w="0" w:type="dxa"/>
            <w:right w:w="0" w:type="dxa"/>
          </w:tblCellMar>
        </w:tblPrEx>
        <w:trPr>
          <w:trHeight w:val="450" w:hRule="atLeast"/>
        </w:trPr>
        <w:tc>
          <w:tcPr>
            <w:tcW w:w="5000" w:type="pct"/>
            <w:gridSpan w:val="12"/>
            <w:vMerge w:val="restar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36"/>
                <w:szCs w:val="36"/>
                <w:u w:val="none"/>
              </w:rPr>
            </w:pPr>
            <w:r>
              <w:rPr>
                <w:rFonts w:ascii="宋体" w:hAnsi="宋体" w:eastAsia="宋体" w:cs="宋体"/>
                <w:b/>
                <w:i w:val="0"/>
                <w:color w:val="000000"/>
                <w:kern w:val="0"/>
                <w:sz w:val="36"/>
                <w:szCs w:val="36"/>
                <w:u w:val="none"/>
                <w:lang w:val="en-US" w:eastAsia="zh-CN" w:bidi="ar"/>
              </w:rPr>
              <w:t>2025年度预算项目绩效自评表</w:t>
            </w:r>
          </w:p>
        </w:tc>
      </w:tr>
      <w:tr>
        <w:tblPrEx>
          <w:tblCellMar>
            <w:top w:w="0" w:type="dxa"/>
            <w:left w:w="0" w:type="dxa"/>
            <w:bottom w:w="0" w:type="dxa"/>
            <w:right w:w="0" w:type="dxa"/>
          </w:tblCellMar>
        </w:tblPrEx>
        <w:trPr>
          <w:trHeight w:val="450" w:hRule="atLeast"/>
        </w:trPr>
        <w:tc>
          <w:tcPr>
            <w:tcW w:w="5000" w:type="pct"/>
            <w:gridSpan w:val="12"/>
            <w:vMerge w:val="continue"/>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36"/>
                <w:szCs w:val="36"/>
                <w:u w:val="none"/>
              </w:rPr>
            </w:pPr>
          </w:p>
        </w:tc>
      </w:tr>
      <w:tr>
        <w:tblPrEx>
          <w:tblCellMar>
            <w:top w:w="0" w:type="dxa"/>
            <w:left w:w="0" w:type="dxa"/>
            <w:bottom w:w="0" w:type="dxa"/>
            <w:right w:w="0" w:type="dxa"/>
          </w:tblCellMar>
        </w:tblPrEx>
        <w:trPr>
          <w:trHeight w:val="84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一、基本情况</w:t>
            </w:r>
          </w:p>
        </w:tc>
        <w:tc>
          <w:tcPr>
            <w:tcW w:w="35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项目名称</w:t>
            </w:r>
          </w:p>
        </w:tc>
        <w:tc>
          <w:tcPr>
            <w:tcW w:w="95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2025年度专业技术职务任职资格评审费县级资金</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项目级次</w:t>
            </w:r>
          </w:p>
        </w:tc>
        <w:tc>
          <w:tcPr>
            <w:tcW w:w="45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本级</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实施主管单位</w:t>
            </w:r>
          </w:p>
        </w:tc>
        <w:tc>
          <w:tcPr>
            <w:tcW w:w="7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317001-正定县人力资源和社会保障局本级</w:t>
            </w:r>
          </w:p>
        </w:tc>
        <w:tc>
          <w:tcPr>
            <w:tcW w:w="37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金额单位</w:t>
            </w:r>
          </w:p>
        </w:tc>
        <w:tc>
          <w:tcPr>
            <w:tcW w:w="3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r>
      <w:tr>
        <w:tblPrEx>
          <w:tblCellMar>
            <w:top w:w="0" w:type="dxa"/>
            <w:left w:w="0" w:type="dxa"/>
            <w:bottom w:w="0" w:type="dxa"/>
            <w:right w:w="0" w:type="dxa"/>
          </w:tblCellMar>
        </w:tblPrEx>
        <w:trPr>
          <w:trHeight w:val="450" w:hRule="atLeast"/>
        </w:trPr>
        <w:tc>
          <w:tcPr>
            <w:tcW w:w="36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二、预算执行</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3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预算安排情况(调整后)</w:t>
            </w:r>
          </w:p>
        </w:tc>
        <w:tc>
          <w:tcPr>
            <w:tcW w:w="110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资金到位情况</w:t>
            </w:r>
          </w:p>
        </w:tc>
        <w:tc>
          <w:tcPr>
            <w:tcW w:w="1461"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资金执行情况</w:t>
            </w:r>
          </w:p>
        </w:tc>
        <w:tc>
          <w:tcPr>
            <w:tcW w:w="75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预算执行进度(%)</w:t>
            </w:r>
          </w:p>
        </w:tc>
      </w:tr>
      <w:tr>
        <w:tblPrEx>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88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预算数</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8.629</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到位数</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执行数</w:t>
            </w:r>
          </w:p>
        </w:tc>
        <w:tc>
          <w:tcPr>
            <w:tcW w:w="762"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8.629</w:t>
            </w:r>
          </w:p>
        </w:tc>
        <w:tc>
          <w:tcPr>
            <w:tcW w:w="75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43.15</w:t>
            </w:r>
          </w:p>
        </w:tc>
      </w:tr>
      <w:tr>
        <w:tblPrEx>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88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8.629</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762"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8.629</w:t>
            </w:r>
          </w:p>
        </w:tc>
        <w:tc>
          <w:tcPr>
            <w:tcW w:w="7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88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762"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88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762"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88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762"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88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762"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36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三、目标完成</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957"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年度预期目标</w:t>
            </w:r>
          </w:p>
        </w:tc>
        <w:tc>
          <w:tcPr>
            <w:tcW w:w="1918"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具体完成情况</w:t>
            </w:r>
          </w:p>
        </w:tc>
        <w:tc>
          <w:tcPr>
            <w:tcW w:w="75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总体完成率(%)</w:t>
            </w:r>
          </w:p>
        </w:tc>
      </w:tr>
      <w:tr>
        <w:tblPrEx>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957"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确保专业技术职务任职资格评审，全部上缴国库</w:t>
            </w:r>
          </w:p>
        </w:tc>
        <w:tc>
          <w:tcPr>
            <w:tcW w:w="1918"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755"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680" w:hRule="atLeast"/>
        </w:trPr>
        <w:tc>
          <w:tcPr>
            <w:tcW w:w="36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四、年度绩效</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指标完成情况</w:t>
            </w:r>
          </w:p>
        </w:tc>
        <w:tc>
          <w:tcPr>
            <w:tcW w:w="3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一级指标</w:t>
            </w:r>
          </w:p>
        </w:tc>
        <w:tc>
          <w:tcPr>
            <w:tcW w:w="53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二级指标</w:t>
            </w:r>
          </w:p>
        </w:tc>
        <w:tc>
          <w:tcPr>
            <w:tcW w:w="420"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三级指标</w:t>
            </w:r>
          </w:p>
        </w:tc>
        <w:tc>
          <w:tcPr>
            <w:tcW w:w="64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指标说明</w:t>
            </w:r>
          </w:p>
        </w:tc>
        <w:tc>
          <w:tcPr>
            <w:tcW w:w="4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指标分值</w:t>
            </w:r>
          </w:p>
        </w:tc>
        <w:tc>
          <w:tcPr>
            <w:tcW w:w="118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预期指标值</w:t>
            </w:r>
          </w:p>
        </w:tc>
        <w:tc>
          <w:tcPr>
            <w:tcW w:w="27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实际完成值</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完成情况</w:t>
            </w:r>
          </w:p>
        </w:tc>
        <w:tc>
          <w:tcPr>
            <w:tcW w:w="37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自评得分</w:t>
            </w:r>
          </w:p>
        </w:tc>
      </w:tr>
      <w:tr>
        <w:tblPrEx>
          <w:tblCellMar>
            <w:top w:w="0" w:type="dxa"/>
            <w:left w:w="0" w:type="dxa"/>
            <w:bottom w:w="0" w:type="dxa"/>
            <w:right w:w="0" w:type="dxa"/>
          </w:tblCellMar>
        </w:tblPrEx>
        <w:trPr>
          <w:trHeight w:val="78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4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符号</w:t>
            </w:r>
          </w:p>
        </w:tc>
        <w:tc>
          <w:tcPr>
            <w:tcW w:w="33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值</w:t>
            </w:r>
          </w:p>
        </w:tc>
        <w:tc>
          <w:tcPr>
            <w:tcW w:w="4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单位(文字描述)</w:t>
            </w:r>
          </w:p>
        </w:tc>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产出指标</w:t>
            </w:r>
          </w:p>
        </w:tc>
        <w:tc>
          <w:tcPr>
            <w:tcW w:w="5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数量指标</w:t>
            </w:r>
          </w:p>
        </w:tc>
        <w:tc>
          <w:tcPr>
            <w:tcW w:w="42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申报高级职称人数</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申报高级职称人数</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3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50</w:t>
            </w:r>
          </w:p>
        </w:tc>
        <w:tc>
          <w:tcPr>
            <w:tcW w:w="4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w:t>
            </w:r>
          </w:p>
        </w:tc>
        <w:tc>
          <w:tcPr>
            <w:tcW w:w="2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157</w:t>
            </w: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157</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tblPrEx>
          <w:tblCellMar>
            <w:top w:w="0" w:type="dxa"/>
            <w:left w:w="0" w:type="dxa"/>
            <w:bottom w:w="0" w:type="dxa"/>
            <w:right w:w="0" w:type="dxa"/>
          </w:tblCellMar>
        </w:tblPrEx>
        <w:trPr>
          <w:trHeight w:val="72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5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质量指标</w:t>
            </w:r>
          </w:p>
        </w:tc>
        <w:tc>
          <w:tcPr>
            <w:tcW w:w="42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中级职称评审合格率</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中级职称评审合格率</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3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50</w:t>
            </w:r>
          </w:p>
        </w:tc>
        <w:tc>
          <w:tcPr>
            <w:tcW w:w="4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212</w:t>
            </w: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212</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tblPrEx>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5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时效指标</w:t>
            </w:r>
          </w:p>
        </w:tc>
        <w:tc>
          <w:tcPr>
            <w:tcW w:w="42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收费上缴市局及时率</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收费上缴市局及时率</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3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4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按时上缴</w:t>
            </w:r>
          </w:p>
        </w:tc>
        <w:tc>
          <w:tcPr>
            <w:tcW w:w="37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按时上缴</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tblPrEx>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5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成本指标</w:t>
            </w:r>
          </w:p>
        </w:tc>
        <w:tc>
          <w:tcPr>
            <w:tcW w:w="42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人均收费金额</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人均收费金额</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&lt;</w:t>
            </w:r>
          </w:p>
        </w:tc>
        <w:tc>
          <w:tcPr>
            <w:tcW w:w="33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300</w:t>
            </w:r>
          </w:p>
        </w:tc>
        <w:tc>
          <w:tcPr>
            <w:tcW w:w="4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元</w:t>
            </w:r>
          </w:p>
        </w:tc>
        <w:tc>
          <w:tcPr>
            <w:tcW w:w="2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234</w:t>
            </w: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234</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tblPrEx>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5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效益指标</w:t>
            </w:r>
          </w:p>
        </w:tc>
        <w:tc>
          <w:tcPr>
            <w:tcW w:w="5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社会效益指标</w:t>
            </w:r>
          </w:p>
        </w:tc>
        <w:tc>
          <w:tcPr>
            <w:tcW w:w="42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资金的使用效率</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资金的使用效率</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3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4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555"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5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满意度指标</w:t>
            </w:r>
          </w:p>
        </w:tc>
        <w:tc>
          <w:tcPr>
            <w:tcW w:w="5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服务对象满意度指标</w:t>
            </w:r>
          </w:p>
        </w:tc>
        <w:tc>
          <w:tcPr>
            <w:tcW w:w="42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参评人员满意度</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参评人员满意度</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3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85</w:t>
            </w:r>
          </w:p>
        </w:tc>
        <w:tc>
          <w:tcPr>
            <w:tcW w:w="4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5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预算执行率</w:t>
            </w:r>
          </w:p>
        </w:tc>
        <w:tc>
          <w:tcPr>
            <w:tcW w:w="53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预算执行率</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5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自评总分</w:t>
            </w:r>
          </w:p>
        </w:tc>
        <w:tc>
          <w:tcPr>
            <w:tcW w:w="4274" w:type="pct"/>
            <w:gridSpan w:val="10"/>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tblPrEx>
          <w:tblCellMar>
            <w:top w:w="0" w:type="dxa"/>
            <w:left w:w="0" w:type="dxa"/>
            <w:bottom w:w="0" w:type="dxa"/>
            <w:right w:w="0" w:type="dxa"/>
          </w:tblCellMar>
        </w:tblPrEx>
        <w:trPr>
          <w:trHeight w:val="450" w:hRule="atLeast"/>
        </w:trPr>
        <w:tc>
          <w:tcPr>
            <w:tcW w:w="36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五、存在问题</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原因及整改措施</w:t>
            </w:r>
          </w:p>
        </w:tc>
        <w:tc>
          <w:tcPr>
            <w:tcW w:w="4631" w:type="pct"/>
            <w:gridSpan w:val="11"/>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w:t>
            </w:r>
          </w:p>
        </w:tc>
      </w:tr>
      <w:tr>
        <w:tblPrEx>
          <w:tblCellMar>
            <w:top w:w="0" w:type="dxa"/>
            <w:left w:w="0" w:type="dxa"/>
            <w:bottom w:w="0" w:type="dxa"/>
            <w:right w:w="0" w:type="dxa"/>
          </w:tblCellMar>
        </w:tblPrEx>
        <w:trPr>
          <w:trHeight w:val="76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631" w:type="pct"/>
            <w:gridSpan w:val="11"/>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r>
    </w:tbl>
    <w:p/>
    <w:p/>
    <w:p/>
    <w:p/>
    <w:p/>
    <w:p/>
    <w:p/>
    <w:p/>
    <w:p/>
    <w:p/>
    <w:p/>
    <w:p/>
    <w:p/>
    <w:tbl>
      <w:tblPr>
        <w:tblStyle w:val="11"/>
        <w:tblW w:w="5000" w:type="pct"/>
        <w:tblInd w:w="0" w:type="dxa"/>
        <w:shd w:val="clear" w:color="auto" w:fill="auto"/>
        <w:tblLayout w:type="autofit"/>
        <w:tblCellMar>
          <w:top w:w="0" w:type="dxa"/>
          <w:left w:w="0" w:type="dxa"/>
          <w:bottom w:w="0" w:type="dxa"/>
          <w:right w:w="0" w:type="dxa"/>
        </w:tblCellMar>
      </w:tblPr>
      <w:tblGrid>
        <w:gridCol w:w="830"/>
        <w:gridCol w:w="481"/>
        <w:gridCol w:w="1130"/>
        <w:gridCol w:w="630"/>
        <w:gridCol w:w="1380"/>
        <w:gridCol w:w="654"/>
        <w:gridCol w:w="512"/>
        <w:gridCol w:w="658"/>
        <w:gridCol w:w="840"/>
        <w:gridCol w:w="519"/>
        <w:gridCol w:w="910"/>
        <w:gridCol w:w="558"/>
      </w:tblGrid>
      <w:tr>
        <w:tblPrEx>
          <w:shd w:val="clear" w:color="auto" w:fill="auto"/>
          <w:tblCellMar>
            <w:top w:w="0" w:type="dxa"/>
            <w:left w:w="0" w:type="dxa"/>
            <w:bottom w:w="0" w:type="dxa"/>
            <w:right w:w="0" w:type="dxa"/>
          </w:tblCellMar>
        </w:tblPrEx>
        <w:trPr>
          <w:trHeight w:val="450" w:hRule="atLeast"/>
        </w:trPr>
        <w:tc>
          <w:tcPr>
            <w:tcW w:w="5000" w:type="pct"/>
            <w:gridSpan w:val="12"/>
            <w:vMerge w:val="restar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36"/>
                <w:szCs w:val="36"/>
                <w:u w:val="none"/>
              </w:rPr>
            </w:pPr>
            <w:r>
              <w:rPr>
                <w:rFonts w:ascii="宋体" w:hAnsi="宋体" w:eastAsia="宋体" w:cs="宋体"/>
                <w:b/>
                <w:i w:val="0"/>
                <w:color w:val="000000"/>
                <w:kern w:val="0"/>
                <w:sz w:val="36"/>
                <w:szCs w:val="36"/>
                <w:u w:val="none"/>
                <w:lang w:val="en-US" w:eastAsia="zh-CN" w:bidi="ar"/>
              </w:rPr>
              <w:t>2025年度预算项目绩效自评表</w:t>
            </w:r>
          </w:p>
        </w:tc>
      </w:tr>
      <w:tr>
        <w:tblPrEx>
          <w:tblCellMar>
            <w:top w:w="0" w:type="dxa"/>
            <w:left w:w="0" w:type="dxa"/>
            <w:bottom w:w="0" w:type="dxa"/>
            <w:right w:w="0" w:type="dxa"/>
          </w:tblCellMar>
        </w:tblPrEx>
        <w:trPr>
          <w:trHeight w:val="450" w:hRule="atLeast"/>
        </w:trPr>
        <w:tc>
          <w:tcPr>
            <w:tcW w:w="5000" w:type="pct"/>
            <w:gridSpan w:val="12"/>
            <w:vMerge w:val="continue"/>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36"/>
                <w:szCs w:val="36"/>
                <w:u w:val="none"/>
              </w:rPr>
            </w:pPr>
          </w:p>
        </w:tc>
      </w:tr>
      <w:tr>
        <w:tblPrEx>
          <w:tblCellMar>
            <w:top w:w="0" w:type="dxa"/>
            <w:left w:w="0" w:type="dxa"/>
            <w:bottom w:w="0" w:type="dxa"/>
            <w:right w:w="0" w:type="dxa"/>
          </w:tblCellMar>
        </w:tblPrEx>
        <w:trPr>
          <w:trHeight w:val="560" w:hRule="atLeast"/>
        </w:trPr>
        <w:tc>
          <w:tcPr>
            <w:tcW w:w="50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一、基本情况</w:t>
            </w: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项目名称</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2025年度人事档案管理专项经费县级资金</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项目级次</w:t>
            </w:r>
          </w:p>
        </w:tc>
        <w:tc>
          <w:tcPr>
            <w:tcW w:w="4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本级</w:t>
            </w:r>
          </w:p>
        </w:tc>
        <w:tc>
          <w:tcPr>
            <w:tcW w:w="7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实施主管单位</w:t>
            </w:r>
          </w:p>
        </w:tc>
        <w:tc>
          <w:tcPr>
            <w:tcW w:w="83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317001-正定县人力资源和社会保障局本级</w:t>
            </w:r>
          </w:p>
        </w:tc>
        <w:tc>
          <w:tcPr>
            <w:tcW w:w="2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金额单位</w:t>
            </w:r>
          </w:p>
        </w:tc>
        <w:tc>
          <w:tcPr>
            <w:tcW w:w="35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r>
      <w:tr>
        <w:tblPrEx>
          <w:tblCellMar>
            <w:top w:w="0" w:type="dxa"/>
            <w:left w:w="0" w:type="dxa"/>
            <w:bottom w:w="0" w:type="dxa"/>
            <w:right w:w="0" w:type="dxa"/>
          </w:tblCellMar>
        </w:tblPrEx>
        <w:trPr>
          <w:trHeight w:val="450" w:hRule="atLeast"/>
        </w:trPr>
        <w:tc>
          <w:tcPr>
            <w:tcW w:w="50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二、预算执行</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065"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预算安排情况(调整后)</w:t>
            </w:r>
          </w:p>
        </w:tc>
        <w:tc>
          <w:tcPr>
            <w:tcW w:w="121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资金到位情况</w:t>
            </w:r>
          </w:p>
        </w:tc>
        <w:tc>
          <w:tcPr>
            <w:tcW w:w="157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资金执行情况</w:t>
            </w:r>
          </w:p>
        </w:tc>
        <w:tc>
          <w:tcPr>
            <w:tcW w:w="64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预算执行进度(%)</w:t>
            </w:r>
          </w:p>
        </w:tc>
      </w:tr>
      <w:tr>
        <w:tblPrEx>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7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预算数</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到位数</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7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执行数</w:t>
            </w:r>
          </w:p>
        </w:tc>
        <w:tc>
          <w:tcPr>
            <w:tcW w:w="83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64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tblPrEx>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7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7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83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6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7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83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7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83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7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83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67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83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50" w:hRule="atLeast"/>
        </w:trPr>
        <w:tc>
          <w:tcPr>
            <w:tcW w:w="50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三、目标完成</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870"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年度预期目标</w:t>
            </w:r>
          </w:p>
        </w:tc>
        <w:tc>
          <w:tcPr>
            <w:tcW w:w="198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具体完成情况</w:t>
            </w:r>
          </w:p>
        </w:tc>
        <w:tc>
          <w:tcPr>
            <w:tcW w:w="64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总体完成率(%)</w:t>
            </w:r>
          </w:p>
        </w:tc>
      </w:tr>
      <w:tr>
        <w:tblPrEx>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870"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为流动人员提供便捷高效的人事档案管理服务</w:t>
            </w:r>
          </w:p>
        </w:tc>
        <w:tc>
          <w:tcPr>
            <w:tcW w:w="198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644"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tblPrEx>
          <w:tblCellMar>
            <w:top w:w="0" w:type="dxa"/>
            <w:left w:w="0" w:type="dxa"/>
            <w:bottom w:w="0" w:type="dxa"/>
            <w:right w:w="0" w:type="dxa"/>
          </w:tblCellMar>
        </w:tblPrEx>
        <w:trPr>
          <w:trHeight w:val="450" w:hRule="atLeast"/>
        </w:trPr>
        <w:tc>
          <w:tcPr>
            <w:tcW w:w="50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四、年度绩效</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指标完成情况</w:t>
            </w:r>
          </w:p>
        </w:tc>
        <w:tc>
          <w:tcPr>
            <w:tcW w:w="31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一级指标</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二级指标</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三级指标</w:t>
            </w:r>
          </w:p>
        </w:tc>
        <w:tc>
          <w:tcPr>
            <w:tcW w:w="805"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指标说明</w:t>
            </w: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指标分值</w:t>
            </w:r>
          </w:p>
        </w:tc>
        <w:tc>
          <w:tcPr>
            <w:tcW w:w="124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预期指标值</w:t>
            </w: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实际完成值</w:t>
            </w:r>
          </w:p>
        </w:tc>
        <w:tc>
          <w:tcPr>
            <w:tcW w:w="29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完成情况</w:t>
            </w: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自评得分</w:t>
            </w:r>
          </w:p>
        </w:tc>
      </w:tr>
      <w:tr>
        <w:tblPrEx>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805"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2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符号</w:t>
            </w:r>
          </w:p>
        </w:tc>
        <w:tc>
          <w:tcPr>
            <w:tcW w:w="4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值</w:t>
            </w:r>
          </w:p>
        </w:tc>
        <w:tc>
          <w:tcPr>
            <w:tcW w:w="5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单位(文字描述)</w:t>
            </w: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29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555"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hd w:val="clear"/>
              <w:jc w:val="center"/>
              <w:rPr>
                <w:rFonts w:hint="eastAsia" w:ascii="宋体" w:hAnsi="宋体" w:eastAsia="宋体" w:cs="宋体"/>
                <w:b/>
                <w:i w:val="0"/>
                <w:color w:val="000000"/>
                <w:sz w:val="22"/>
                <w:szCs w:val="22"/>
                <w:u w:val="none"/>
              </w:rPr>
            </w:pPr>
          </w:p>
        </w:tc>
        <w:tc>
          <w:tcPr>
            <w:tcW w:w="31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产出指标</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数量指标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新增档案数字化率</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新增数字化档案占新增档案的比例</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2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5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3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3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tblPrEx>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hd w:val="clear"/>
              <w:jc w:val="center"/>
              <w:rPr>
                <w:rFonts w:hint="eastAsia" w:ascii="宋体" w:hAnsi="宋体" w:eastAsia="宋体" w:cs="宋体"/>
                <w:b/>
                <w:i w:val="0"/>
                <w:color w:val="000000"/>
                <w:sz w:val="22"/>
                <w:szCs w:val="22"/>
                <w:u w:val="none"/>
              </w:rPr>
            </w:pPr>
          </w:p>
        </w:tc>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hd w:val="clear"/>
              <w:jc w:val="center"/>
              <w:rPr>
                <w:rFonts w:hint="eastAsia" w:ascii="宋体" w:hAnsi="宋体" w:eastAsia="宋体" w:cs="宋体"/>
                <w:b/>
                <w:i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质量指标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制作电子档案份数</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年度内制作完成电子档案份数</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2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1500</w:t>
            </w:r>
          </w:p>
        </w:tc>
        <w:tc>
          <w:tcPr>
            <w:tcW w:w="5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份</w:t>
            </w:r>
          </w:p>
        </w:tc>
        <w:tc>
          <w:tcPr>
            <w:tcW w:w="33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2000</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2000</w:t>
            </w:r>
          </w:p>
        </w:tc>
        <w:tc>
          <w:tcPr>
            <w:tcW w:w="3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tblPrEx>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hd w:val="clear"/>
              <w:jc w:val="center"/>
              <w:rPr>
                <w:rFonts w:hint="eastAsia" w:ascii="宋体" w:hAnsi="宋体" w:eastAsia="宋体" w:cs="宋体"/>
                <w:b/>
                <w:i w:val="0"/>
                <w:color w:val="000000"/>
                <w:sz w:val="22"/>
                <w:szCs w:val="22"/>
                <w:u w:val="none"/>
              </w:rPr>
            </w:pPr>
          </w:p>
        </w:tc>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hd w:val="clear"/>
              <w:jc w:val="center"/>
              <w:rPr>
                <w:rFonts w:hint="eastAsia" w:ascii="宋体" w:hAnsi="宋体" w:eastAsia="宋体" w:cs="宋体"/>
                <w:b/>
                <w:i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时效指标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资金支付及时率</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资金支付及时率</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32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5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3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3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tblPrEx>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hd w:val="clear"/>
              <w:jc w:val="center"/>
              <w:rPr>
                <w:rFonts w:hint="eastAsia" w:ascii="宋体" w:hAnsi="宋体" w:eastAsia="宋体" w:cs="宋体"/>
                <w:b/>
                <w:i w:val="0"/>
                <w:color w:val="000000"/>
                <w:sz w:val="22"/>
                <w:szCs w:val="22"/>
                <w:u w:val="none"/>
              </w:rPr>
            </w:pPr>
          </w:p>
        </w:tc>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hd w:val="clear"/>
              <w:jc w:val="center"/>
              <w:rPr>
                <w:rFonts w:hint="eastAsia" w:ascii="宋体" w:hAnsi="宋体" w:eastAsia="宋体" w:cs="宋体"/>
                <w:b/>
                <w:i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成本指标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每份档案数字化成本</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每份档案数字化成本</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32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40</w:t>
            </w:r>
          </w:p>
        </w:tc>
        <w:tc>
          <w:tcPr>
            <w:tcW w:w="5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元</w:t>
            </w:r>
          </w:p>
        </w:tc>
        <w:tc>
          <w:tcPr>
            <w:tcW w:w="33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40</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40</w:t>
            </w:r>
          </w:p>
        </w:tc>
        <w:tc>
          <w:tcPr>
            <w:tcW w:w="3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tblPrEx>
          <w:tblCellMar>
            <w:top w:w="0" w:type="dxa"/>
            <w:left w:w="0" w:type="dxa"/>
            <w:bottom w:w="0" w:type="dxa"/>
            <w:right w:w="0" w:type="dxa"/>
          </w:tblCellMar>
        </w:tblPrEx>
        <w:trPr>
          <w:trHeight w:val="555"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hd w:val="clear"/>
              <w:jc w:val="center"/>
              <w:rPr>
                <w:rFonts w:hint="eastAsia" w:ascii="宋体" w:hAnsi="宋体" w:eastAsia="宋体" w:cs="宋体"/>
                <w:b/>
                <w:i w:val="0"/>
                <w:color w:val="000000"/>
                <w:sz w:val="22"/>
                <w:szCs w:val="22"/>
                <w:u w:val="none"/>
              </w:rPr>
            </w:pP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效益指标</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社会效益指标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档案查询效率提高</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档案查询效率提高</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2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文字描述</w:t>
            </w:r>
          </w:p>
        </w:tc>
        <w:tc>
          <w:tcPr>
            <w:tcW w:w="4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hd w:val="clear"/>
              <w:jc w:val="left"/>
              <w:rPr>
                <w:rFonts w:hint="eastAsia" w:ascii="宋体" w:hAnsi="宋体" w:eastAsia="宋体" w:cs="宋体"/>
                <w:i w:val="0"/>
                <w:color w:val="000000"/>
                <w:sz w:val="22"/>
                <w:szCs w:val="22"/>
                <w:u w:val="none"/>
              </w:rPr>
            </w:pPr>
          </w:p>
        </w:tc>
        <w:tc>
          <w:tcPr>
            <w:tcW w:w="5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档案查询效率提高</w:t>
            </w:r>
          </w:p>
        </w:tc>
        <w:tc>
          <w:tcPr>
            <w:tcW w:w="33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提升效率</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提升效率</w:t>
            </w:r>
          </w:p>
        </w:tc>
        <w:tc>
          <w:tcPr>
            <w:tcW w:w="3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555"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hd w:val="clear"/>
              <w:jc w:val="center"/>
              <w:rPr>
                <w:rFonts w:hint="eastAsia" w:ascii="宋体" w:hAnsi="宋体" w:eastAsia="宋体" w:cs="宋体"/>
                <w:b/>
                <w:i w:val="0"/>
                <w:color w:val="000000"/>
                <w:sz w:val="22"/>
                <w:szCs w:val="22"/>
                <w:u w:val="none"/>
              </w:rPr>
            </w:pP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满意度指标</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群众满意度</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群众满意度</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2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95</w:t>
            </w:r>
          </w:p>
        </w:tc>
        <w:tc>
          <w:tcPr>
            <w:tcW w:w="5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3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95</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95</w:t>
            </w:r>
          </w:p>
        </w:tc>
        <w:tc>
          <w:tcPr>
            <w:tcW w:w="3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hd w:val="clear"/>
              <w:jc w:val="center"/>
              <w:rPr>
                <w:rFonts w:hint="eastAsia" w:ascii="宋体" w:hAnsi="宋体" w:eastAsia="宋体" w:cs="宋体"/>
                <w:b/>
                <w:i w:val="0"/>
                <w:color w:val="000000"/>
                <w:sz w:val="22"/>
                <w:szCs w:val="22"/>
                <w:u w:val="none"/>
              </w:rPr>
            </w:pP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预算执行率</w:t>
            </w: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预算执行率</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hd w:val="clear"/>
              <w:jc w:val="right"/>
              <w:rPr>
                <w:rFonts w:hint="eastAsia" w:ascii="宋体" w:hAnsi="宋体" w:eastAsia="宋体" w:cs="宋体"/>
                <w:i w:val="0"/>
                <w:color w:val="000000"/>
                <w:sz w:val="22"/>
                <w:szCs w:val="22"/>
                <w:u w:val="none"/>
              </w:rPr>
            </w:pPr>
          </w:p>
        </w:tc>
        <w:tc>
          <w:tcPr>
            <w:tcW w:w="8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hd w:val="clear"/>
              <w:jc w:val="right"/>
              <w:rPr>
                <w:rFonts w:hint="eastAsia" w:ascii="宋体" w:hAnsi="宋体" w:eastAsia="宋体" w:cs="宋体"/>
                <w:i w:val="0"/>
                <w:color w:val="000000"/>
                <w:sz w:val="22"/>
                <w:szCs w:val="22"/>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hd w:val="clear"/>
              <w:jc w:val="right"/>
              <w:rPr>
                <w:rFonts w:hint="eastAsia" w:ascii="宋体" w:hAnsi="宋体" w:eastAsia="宋体" w:cs="宋体"/>
                <w:i w:val="0"/>
                <w:color w:val="000000"/>
                <w:sz w:val="22"/>
                <w:szCs w:val="22"/>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hd w:val="clear"/>
              <w:jc w:val="right"/>
              <w:rPr>
                <w:rFonts w:hint="eastAsia" w:ascii="宋体" w:hAnsi="宋体" w:eastAsia="宋体" w:cs="宋体"/>
                <w:i w:val="0"/>
                <w:color w:val="000000"/>
                <w:sz w:val="22"/>
                <w:szCs w:val="22"/>
                <w:u w:val="none"/>
              </w:rPr>
            </w:pP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hd w:val="clear"/>
              <w:jc w:val="right"/>
              <w:rPr>
                <w:rFonts w:hint="eastAsia" w:ascii="宋体" w:hAnsi="宋体" w:eastAsia="宋体" w:cs="宋体"/>
                <w:i w:val="0"/>
                <w:color w:val="000000"/>
                <w:sz w:val="22"/>
                <w:szCs w:val="22"/>
                <w:u w:val="none"/>
              </w:rPr>
            </w:pP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hd w:val="clear"/>
              <w:jc w:val="right"/>
              <w:rPr>
                <w:rFonts w:hint="eastAsia" w:ascii="宋体" w:hAnsi="宋体" w:eastAsia="宋体" w:cs="宋体"/>
                <w:i w:val="0"/>
                <w:color w:val="000000"/>
                <w:sz w:val="22"/>
                <w:szCs w:val="22"/>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shd w:val="clear"/>
              <w:jc w:val="right"/>
              <w:rPr>
                <w:rFonts w:hint="eastAsia" w:ascii="宋体" w:hAnsi="宋体" w:eastAsia="宋体" w:cs="宋体"/>
                <w:i w:val="0"/>
                <w:color w:val="000000"/>
                <w:sz w:val="22"/>
                <w:szCs w:val="22"/>
                <w:u w:val="none"/>
              </w:rPr>
            </w:pPr>
          </w:p>
        </w:tc>
        <w:tc>
          <w:tcPr>
            <w:tcW w:w="3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tblPrEx>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hd w:val="clear"/>
              <w:jc w:val="center"/>
              <w:rPr>
                <w:rFonts w:hint="eastAsia" w:ascii="宋体" w:hAnsi="宋体" w:eastAsia="宋体" w:cs="宋体"/>
                <w:b/>
                <w:i w:val="0"/>
                <w:color w:val="000000"/>
                <w:sz w:val="22"/>
                <w:szCs w:val="22"/>
                <w:u w:val="none"/>
              </w:rPr>
            </w:pP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自评总分</w:t>
            </w:r>
          </w:p>
        </w:tc>
        <w:tc>
          <w:tcPr>
            <w:tcW w:w="4185" w:type="pct"/>
            <w:gridSpan w:val="10"/>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tblPrEx>
          <w:tblCellMar>
            <w:top w:w="0" w:type="dxa"/>
            <w:left w:w="0" w:type="dxa"/>
            <w:bottom w:w="0" w:type="dxa"/>
            <w:right w:w="0" w:type="dxa"/>
          </w:tblCellMar>
        </w:tblPrEx>
        <w:trPr>
          <w:trHeight w:val="450" w:hRule="atLeast"/>
        </w:trPr>
        <w:tc>
          <w:tcPr>
            <w:tcW w:w="50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五、存在问题</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原因及整改措施</w:t>
            </w:r>
          </w:p>
        </w:tc>
        <w:tc>
          <w:tcPr>
            <w:tcW w:w="4496" w:type="pct"/>
            <w:gridSpan w:val="11"/>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w:t>
            </w:r>
          </w:p>
        </w:tc>
      </w:tr>
      <w:tr>
        <w:tblPrEx>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hd w:val="clear"/>
              <w:jc w:val="center"/>
              <w:rPr>
                <w:rFonts w:hint="eastAsia" w:ascii="宋体" w:hAnsi="宋体" w:eastAsia="宋体" w:cs="宋体"/>
                <w:b/>
                <w:i w:val="0"/>
                <w:color w:val="000000"/>
                <w:sz w:val="22"/>
                <w:szCs w:val="22"/>
                <w:u w:val="none"/>
              </w:rPr>
            </w:pPr>
          </w:p>
        </w:tc>
        <w:tc>
          <w:tcPr>
            <w:tcW w:w="4496" w:type="pct"/>
            <w:gridSpan w:val="11"/>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hd w:val="clear"/>
              <w:jc w:val="left"/>
              <w:rPr>
                <w:rFonts w:hint="eastAsia" w:ascii="宋体" w:hAnsi="宋体" w:eastAsia="宋体" w:cs="宋体"/>
                <w:i w:val="0"/>
                <w:color w:val="000000"/>
                <w:sz w:val="22"/>
                <w:szCs w:val="22"/>
                <w:u w:val="none"/>
              </w:rPr>
            </w:pPr>
          </w:p>
        </w:tc>
      </w:tr>
    </w:tbl>
    <w:p>
      <w:pPr>
        <w:shd w:val="clear"/>
      </w:pPr>
    </w:p>
    <w:p>
      <w:pPr>
        <w:shd w:val="clear"/>
      </w:pPr>
    </w:p>
    <w:p>
      <w:pPr>
        <w:shd w:val="clear"/>
      </w:pPr>
    </w:p>
    <w:p/>
    <w:p>
      <w:pPr>
        <w:widowControl/>
        <w:spacing w:before="0" w:beforeLines="0" w:beforeAutospacing="0" w:after="0" w:afterLines="0" w:afterAutospacing="0" w:line="360" w:lineRule="auto"/>
        <w:ind w:firstLine="640" w:firstLineChars="200"/>
        <w:jc w:val="left"/>
        <w:rPr>
          <w:rFonts w:hint="default" w:ascii="仿宋_GB2312" w:hAnsi="仿宋_GB2312" w:eastAsia="仿宋_GB2312" w:cs="仿宋_GB2312"/>
          <w:i w:val="0"/>
          <w:iCs w:val="0"/>
          <w:caps w:val="0"/>
          <w:color w:val="0F1115"/>
          <w:spacing w:val="0"/>
          <w:sz w:val="32"/>
          <w:szCs w:val="32"/>
          <w:shd w:val="clear" w:fill="FFFFFF"/>
          <w:lang w:val="en-US" w:eastAsia="zh-CN"/>
        </w:rPr>
      </w:pPr>
    </w:p>
    <w:p>
      <w:pPr>
        <w:widowControl/>
        <w:spacing w:before="0" w:beforeLines="0" w:beforeAutospacing="0" w:after="0" w:afterLines="0" w:afterAutospacing="0" w:line="360" w:lineRule="auto"/>
        <w:jc w:val="left"/>
        <w:rPr>
          <w:rFonts w:hint="default" w:ascii="仿宋_GB2312" w:hAnsi="仿宋_GB2312" w:eastAsia="仿宋_GB2312" w:cs="仿宋_GB2312"/>
          <w:i w:val="0"/>
          <w:iCs w:val="0"/>
          <w:caps w:val="0"/>
          <w:color w:val="0F1115"/>
          <w:spacing w:val="0"/>
          <w:sz w:val="32"/>
          <w:szCs w:val="32"/>
          <w:shd w:val="clear" w:fill="FFFFFF"/>
          <w:lang w:val="en-US" w:eastAsia="zh-CN"/>
        </w:rPr>
      </w:pP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i w:val="0"/>
          <w:iCs w:val="0"/>
          <w:caps w:val="0"/>
          <w:color w:val="0F1115"/>
          <w:spacing w:val="0"/>
          <w:sz w:val="32"/>
          <w:szCs w:val="32"/>
          <w:shd w:val="clear" w:fill="FFFFFF"/>
        </w:rPr>
      </w:pP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i w:val="0"/>
          <w:iCs w:val="0"/>
          <w:caps w:val="0"/>
          <w:color w:val="0F1115"/>
          <w:spacing w:val="0"/>
          <w:sz w:val="32"/>
          <w:szCs w:val="32"/>
          <w:shd w:val="clear" w:fill="FFFFFF"/>
        </w:rPr>
      </w:pP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i w:val="0"/>
          <w:iCs w:val="0"/>
          <w:caps w:val="0"/>
          <w:color w:val="0F1115"/>
          <w:spacing w:val="0"/>
          <w:sz w:val="32"/>
          <w:szCs w:val="32"/>
          <w:shd w:val="clear" w:fill="FFFFFF"/>
        </w:rPr>
      </w:pP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i w:val="0"/>
          <w:iCs w:val="0"/>
          <w:caps w:val="0"/>
          <w:color w:val="0F1115"/>
          <w:spacing w:val="0"/>
          <w:sz w:val="32"/>
          <w:szCs w:val="32"/>
          <w:shd w:val="clear" w:fill="FFFFFF"/>
        </w:rPr>
      </w:pP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i w:val="0"/>
          <w:iCs w:val="0"/>
          <w:caps w:val="0"/>
          <w:color w:val="0F1115"/>
          <w:spacing w:val="0"/>
          <w:sz w:val="32"/>
          <w:szCs w:val="32"/>
          <w:shd w:val="clear" w:fill="FFFFFF"/>
        </w:rPr>
      </w:pPr>
      <w:bookmarkStart w:id="0" w:name="_GoBack"/>
      <w:bookmarkEnd w:id="0"/>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无</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b w:val="0"/>
          <w:sz w:val="44"/>
          <w:szCs w:val="44"/>
        </w:rPr>
      </w:pPr>
    </w:p>
    <w:p>
      <w:pPr>
        <w:widowControl/>
        <w:spacing w:before="0" w:beforeLines="0" w:beforeAutospacing="0" w:after="0" w:afterLines="0" w:afterAutospacing="0" w:line="360" w:lineRule="auto"/>
        <w:jc w:val="both"/>
        <w:outlineLvl w:val="0"/>
        <w:rPr>
          <w:rFonts w:ascii="Times New Roman" w:eastAsia="黑体"/>
          <w:b w:val="0"/>
          <w:sz w:val="44"/>
          <w:szCs w:val="44"/>
        </w:rPr>
      </w:pPr>
    </w:p>
    <w:p>
      <w:pPr>
        <w:widowControl/>
        <w:spacing w:before="0" w:beforeLines="0" w:beforeAutospacing="0" w:after="0" w:afterLines="0" w:afterAutospacing="0" w:line="360" w:lineRule="auto"/>
        <w:jc w:val="center"/>
        <w:outlineLvl w:val="0"/>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eastAsia="黑体"/>
          <w:b w:val="0"/>
          <w:sz w:val="44"/>
          <w:szCs w:val="44"/>
        </w:rPr>
        <w:t>第四部分 名词解释</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A13E704A-6E20-4BFF-A942-D6F90E99A3FB}"/>
  </w:font>
  <w:font w:name="黑体">
    <w:panose1 w:val="02010609060101010101"/>
    <w:charset w:val="86"/>
    <w:family w:val="auto"/>
    <w:pitch w:val="default"/>
    <w:sig w:usb0="800002BF" w:usb1="38CF7CFA" w:usb2="00000016" w:usb3="00000000" w:csb0="00040001" w:csb1="00000000"/>
    <w:embedRegular r:id="rId2" w:fontKey="{AB2AF438-3921-47E4-86A0-A887DD3DBBD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CAA22370-408E-48B3-8B43-85487A7F9CB4}"/>
  </w:font>
  <w:font w:name="仿宋">
    <w:panose1 w:val="02010609060101010101"/>
    <w:charset w:val="86"/>
    <w:family w:val="modern"/>
    <w:pitch w:val="default"/>
    <w:sig w:usb0="800002BF" w:usb1="38CF7CFA" w:usb2="00000016" w:usb3="00000000" w:csb0="00040001" w:csb1="00000000"/>
    <w:embedRegular r:id="rId4" w:fontKey="{34193881-87BD-4C51-9C6B-BC023CFC8489}"/>
  </w:font>
  <w:font w:name="Calibri Light">
    <w:altName w:val="Calibri"/>
    <w:panose1 w:val="020F0302020204030204"/>
    <w:charset w:val="00"/>
    <w:family w:val="auto"/>
    <w:pitch w:val="default"/>
    <w:sig w:usb0="00000000" w:usb1="00000000"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7F757C13-74FF-4F2C-84A6-133B1FDF2B2B}"/>
  </w:font>
  <w:font w:name="楷体_GB2312">
    <w:panose1 w:val="02010609030101010101"/>
    <w:charset w:val="86"/>
    <w:family w:val="auto"/>
    <w:pitch w:val="default"/>
    <w:sig w:usb0="00000000" w:usb1="00000000" w:usb2="00000000" w:usb3="00000000" w:csb0="00000000" w:csb1="00000000"/>
    <w:embedRegular r:id="rId6" w:fontKey="{BC075735-90AC-46DB-A296-BAB9B2A358F8}"/>
  </w:font>
  <w:font w:name="微软雅黑">
    <w:panose1 w:val="020B0503020204020204"/>
    <w:charset w:val="86"/>
    <w:family w:val="auto"/>
    <w:pitch w:val="default"/>
    <w:sig w:usb0="80000287" w:usb1="280F3C52" w:usb2="00000016" w:usb3="00000000" w:csb0="0004001F" w:csb1="00000000"/>
    <w:embedRegular r:id="rId7" w:fontKey="{40D2F4F4-2DD1-48D6-9E31-A50770082478}"/>
  </w:font>
  <w:font w:name="仿宋_GB2312">
    <w:panose1 w:val="02010609030101010101"/>
    <w:charset w:val="86"/>
    <w:family w:val="auto"/>
    <w:pitch w:val="default"/>
    <w:sig w:usb0="00000000" w:usb1="00000000" w:usb2="00000000" w:usb3="00000000" w:csb0="00000000" w:csb1="00000000"/>
    <w:embedRegular r:id="rId8" w:fontKey="{E1B8E98D-E501-4D9A-9C63-38D296107770}"/>
  </w:font>
  <w:font w:name="ArialUnicodeMS">
    <w:altName w:val="Malgun Gothic"/>
    <w:panose1 w:val="00000000000000000000"/>
    <w:charset w:val="81"/>
    <w:family w:val="auto"/>
    <w:pitch w:val="default"/>
    <w:sig w:usb0="00000000" w:usb1="00000000" w:usb2="00000010" w:usb3="00000000" w:csb0="00080001" w:csb1="00000000"/>
    <w:embedRegular r:id="rId9" w:fontKey="{FFFF299E-9161-4C24-92E2-D02B800E8D11}"/>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B561F2"/>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5A424C"/>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8B21FAB"/>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2112.85</c:v>
                </c:pt>
                <c:pt idx="1">
                  <c:v>2094.97</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21128505.62</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9121995.01</c:v>
                </c:pt>
                <c:pt idx="1">
                  <c:v>12006510.61</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2094.97</c:v>
                </c:pt>
                <c:pt idx="1">
                  <c:v>2094.97</c:v>
                </c:pt>
                <c:pt idx="2">
                  <c:v>2094.97</c:v>
                </c:pt>
                <c:pt idx="3">
                  <c:v>2094.97</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2112.85</c:v>
                </c:pt>
                <c:pt idx="1">
                  <c:v>2112.85</c:v>
                </c:pt>
                <c:pt idx="2">
                  <c:v>2112.85</c:v>
                </c:pt>
                <c:pt idx="3">
                  <c:v>2112.85</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2174.16</c:v>
                </c:pt>
                <c:pt idx="1">
                  <c:v>2174.16</c:v>
                </c:pt>
                <c:pt idx="2">
                  <c:v>2174.16</c:v>
                </c:pt>
                <c:pt idx="3">
                  <c:v>2174.16</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2112.85</c:v>
                </c:pt>
                <c:pt idx="1">
                  <c:v>2112.85</c:v>
                </c:pt>
                <c:pt idx="2">
                  <c:v>2112.85</c:v>
                </c:pt>
                <c:pt idx="3">
                  <c:v>2112.85</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3</TotalTime>
  <ScaleCrop>false</ScaleCrop>
  <LinksUpToDate>false</LinksUpToDate>
  <CharactersWithSpaces>6550</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2026-10-15T09:07:08Z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